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CBB2BC7" w14:textId="41A1C306" w:rsidR="00F3601D" w:rsidRPr="00B302AE" w:rsidRDefault="00F3601D" w:rsidP="00F3601D">
      <w:pPr>
        <w:pStyle w:val="Caption"/>
        <w:keepNext/>
        <w:rPr>
          <w:sz w:val="24"/>
          <w:szCs w:val="24"/>
        </w:rPr>
      </w:pPr>
      <w:bookmarkStart w:id="0" w:name="_Toc463429793"/>
      <w:r w:rsidRPr="00B302AE">
        <w:rPr>
          <w:sz w:val="24"/>
          <w:szCs w:val="24"/>
        </w:rPr>
        <w:t xml:space="preserve">Appendix </w:t>
      </w:r>
      <w:r w:rsidR="009B4423" w:rsidRPr="00B302AE">
        <w:rPr>
          <w:sz w:val="24"/>
          <w:szCs w:val="24"/>
        </w:rPr>
        <w:t xml:space="preserve">2 </w:t>
      </w:r>
      <w:r w:rsidR="009B4423" w:rsidRPr="00B302AE">
        <w:rPr>
          <w:noProof/>
          <w:sz w:val="24"/>
          <w:szCs w:val="24"/>
        </w:rPr>
        <w:t>Excluded</w:t>
      </w:r>
      <w:r w:rsidRPr="00B302AE">
        <w:rPr>
          <w:noProof/>
          <w:sz w:val="24"/>
          <w:szCs w:val="24"/>
        </w:rPr>
        <w:t xml:space="preserve"> studies</w:t>
      </w:r>
      <w:bookmarkEnd w:id="0"/>
    </w:p>
    <w:tbl>
      <w:tblPr>
        <w:tblStyle w:val="GridTable4-Accent2"/>
        <w:tblW w:w="9209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5554"/>
        <w:gridCol w:w="3655"/>
      </w:tblGrid>
      <w:tr w:rsidR="0075721E" w:rsidRPr="00006993" w14:paraId="265D5710" w14:textId="77777777" w:rsidTr="0075721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54" w:type="dxa"/>
            <w:tcBorders>
              <w:top w:val="none" w:sz="0" w:space="0" w:color="auto"/>
              <w:left w:val="none" w:sz="0" w:space="0" w:color="auto"/>
              <w:bottom w:val="single" w:sz="4" w:space="0" w:color="000000" w:themeColor="text1"/>
              <w:right w:val="none" w:sz="0" w:space="0" w:color="auto"/>
            </w:tcBorders>
            <w:shd w:val="clear" w:color="auto" w:fill="BFBFBF" w:themeFill="background1" w:themeFillShade="BF"/>
          </w:tcPr>
          <w:p w14:paraId="1A7AB876" w14:textId="77777777" w:rsidR="0075721E" w:rsidRPr="00006993" w:rsidRDefault="0075721E" w:rsidP="007A3DC8">
            <w:pPr>
              <w:spacing w:line="360" w:lineRule="auto"/>
              <w:ind w:left="227" w:right="113"/>
              <w:rPr>
                <w:rFonts w:cstheme="majorBidi"/>
                <w:sz w:val="20"/>
                <w:szCs w:val="20"/>
              </w:rPr>
            </w:pPr>
            <w:r w:rsidRPr="00006993">
              <w:rPr>
                <w:rFonts w:cstheme="majorBidi"/>
                <w:sz w:val="20"/>
                <w:szCs w:val="20"/>
              </w:rPr>
              <w:t xml:space="preserve">Article </w:t>
            </w:r>
          </w:p>
        </w:tc>
        <w:tc>
          <w:tcPr>
            <w:tcW w:w="3655" w:type="dxa"/>
            <w:tcBorders>
              <w:top w:val="none" w:sz="0" w:space="0" w:color="auto"/>
              <w:left w:val="none" w:sz="0" w:space="0" w:color="auto"/>
              <w:bottom w:val="single" w:sz="4" w:space="0" w:color="000000" w:themeColor="text1"/>
              <w:right w:val="none" w:sz="0" w:space="0" w:color="auto"/>
            </w:tcBorders>
            <w:shd w:val="clear" w:color="auto" w:fill="BFBFBF" w:themeFill="background1" w:themeFillShade="BF"/>
          </w:tcPr>
          <w:p w14:paraId="71034AE6" w14:textId="77777777" w:rsidR="0075721E" w:rsidRPr="00006993" w:rsidRDefault="0075721E" w:rsidP="007A3DC8">
            <w:pPr>
              <w:spacing w:line="360" w:lineRule="auto"/>
              <w:ind w:left="227" w:right="113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ajorBidi"/>
                <w:sz w:val="20"/>
                <w:szCs w:val="20"/>
              </w:rPr>
            </w:pPr>
            <w:r w:rsidRPr="00006993">
              <w:rPr>
                <w:rFonts w:cstheme="majorBidi"/>
                <w:sz w:val="20"/>
                <w:szCs w:val="20"/>
              </w:rPr>
              <w:t xml:space="preserve">Reason of exclusion </w:t>
            </w:r>
          </w:p>
        </w:tc>
      </w:tr>
      <w:tr w:rsidR="0075721E" w:rsidRPr="00006993" w14:paraId="0E90AEFC" w14:textId="77777777" w:rsidTr="00B302A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54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65E1BDE1" w14:textId="77777777" w:rsidR="0075721E" w:rsidRPr="0080424D" w:rsidRDefault="0075721E" w:rsidP="0080424D">
            <w:pPr>
              <w:pStyle w:val="ListParagraph"/>
              <w:numPr>
                <w:ilvl w:val="0"/>
                <w:numId w:val="1"/>
              </w:numPr>
              <w:spacing w:line="360" w:lineRule="auto"/>
              <w:ind w:right="113"/>
              <w:rPr>
                <w:rFonts w:cstheme="majorBidi"/>
                <w:sz w:val="20"/>
                <w:szCs w:val="20"/>
              </w:rPr>
            </w:pPr>
            <w:bookmarkStart w:id="1" w:name="_GoBack" w:colFirst="0" w:colLast="0"/>
            <w:r w:rsidRPr="0080424D">
              <w:rPr>
                <w:rFonts w:cstheme="majorBidi"/>
                <w:sz w:val="20"/>
                <w:szCs w:val="20"/>
              </w:rPr>
              <w:t>A prospective study of the risk factors associated with failure of mini-implants used for orthodontic anchorage.(Cheng et al., 2004)</w:t>
            </w:r>
          </w:p>
        </w:tc>
        <w:tc>
          <w:tcPr>
            <w:tcW w:w="3655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203E3C01" w14:textId="77777777" w:rsidR="0075721E" w:rsidRPr="00006993" w:rsidRDefault="0075721E" w:rsidP="007A3DC8">
            <w:pPr>
              <w:spacing w:line="360" w:lineRule="auto"/>
              <w:ind w:right="11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ajorBidi"/>
                <w:sz w:val="20"/>
                <w:szCs w:val="20"/>
              </w:rPr>
            </w:pPr>
            <w:r w:rsidRPr="00006993">
              <w:rPr>
                <w:rFonts w:cstheme="majorBidi"/>
                <w:sz w:val="20"/>
                <w:szCs w:val="20"/>
              </w:rPr>
              <w:t>Not randomised clinical trial ( Cohort )</w:t>
            </w:r>
          </w:p>
        </w:tc>
      </w:tr>
      <w:tr w:rsidR="0075721E" w:rsidRPr="00006993" w14:paraId="7723A989" w14:textId="77777777" w:rsidTr="0075721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54" w:type="dxa"/>
            <w:shd w:val="clear" w:color="auto" w:fill="auto"/>
          </w:tcPr>
          <w:p w14:paraId="5F95AAFF" w14:textId="77777777" w:rsidR="0075721E" w:rsidRPr="0080424D" w:rsidRDefault="0075721E" w:rsidP="0080424D">
            <w:pPr>
              <w:pStyle w:val="ListParagraph"/>
              <w:numPr>
                <w:ilvl w:val="0"/>
                <w:numId w:val="1"/>
              </w:numPr>
              <w:spacing w:line="360" w:lineRule="auto"/>
              <w:ind w:right="113"/>
              <w:rPr>
                <w:rFonts w:cstheme="majorBidi"/>
                <w:sz w:val="20"/>
                <w:szCs w:val="20"/>
              </w:rPr>
            </w:pPr>
            <w:r w:rsidRPr="0080424D">
              <w:rPr>
                <w:rFonts w:cstheme="majorBidi"/>
                <w:sz w:val="20"/>
                <w:szCs w:val="20"/>
              </w:rPr>
              <w:t>Anchorage value of surgical titanium screws in orthodontic tooth movement. (</w:t>
            </w:r>
            <w:proofErr w:type="spellStart"/>
            <w:r w:rsidRPr="0080424D">
              <w:rPr>
                <w:rFonts w:cstheme="majorBidi"/>
                <w:sz w:val="20"/>
                <w:szCs w:val="20"/>
              </w:rPr>
              <w:t>Hedayati</w:t>
            </w:r>
            <w:proofErr w:type="spellEnd"/>
            <w:r w:rsidRPr="0080424D">
              <w:rPr>
                <w:rFonts w:cstheme="majorBidi"/>
                <w:sz w:val="20"/>
                <w:szCs w:val="20"/>
              </w:rPr>
              <w:t xml:space="preserve"> et al.,2007)</w:t>
            </w:r>
          </w:p>
        </w:tc>
        <w:tc>
          <w:tcPr>
            <w:tcW w:w="3655" w:type="dxa"/>
            <w:shd w:val="clear" w:color="auto" w:fill="auto"/>
          </w:tcPr>
          <w:p w14:paraId="0BCDF459" w14:textId="77777777" w:rsidR="0075721E" w:rsidRPr="00006993" w:rsidRDefault="0075721E" w:rsidP="007A3DC8">
            <w:pPr>
              <w:spacing w:line="360" w:lineRule="auto"/>
              <w:ind w:right="11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ajorBidi"/>
                <w:sz w:val="20"/>
                <w:szCs w:val="20"/>
              </w:rPr>
            </w:pPr>
            <w:r w:rsidRPr="00006993">
              <w:rPr>
                <w:rFonts w:cstheme="majorBidi"/>
                <w:sz w:val="20"/>
                <w:szCs w:val="20"/>
              </w:rPr>
              <w:t>Not randomised clinical trial ( Cohort )</w:t>
            </w:r>
          </w:p>
        </w:tc>
      </w:tr>
      <w:tr w:rsidR="0075721E" w:rsidRPr="00006993" w14:paraId="434B5CF5" w14:textId="77777777" w:rsidTr="0075721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54" w:type="dxa"/>
            <w:shd w:val="clear" w:color="auto" w:fill="auto"/>
          </w:tcPr>
          <w:p w14:paraId="2E2BD73E" w14:textId="77777777" w:rsidR="0075721E" w:rsidRPr="0080424D" w:rsidRDefault="0075721E" w:rsidP="0080424D">
            <w:pPr>
              <w:pStyle w:val="ListParagraph"/>
              <w:numPr>
                <w:ilvl w:val="0"/>
                <w:numId w:val="1"/>
              </w:numPr>
              <w:spacing w:line="360" w:lineRule="auto"/>
              <w:ind w:right="113"/>
              <w:rPr>
                <w:rFonts w:cstheme="majorBidi"/>
                <w:sz w:val="20"/>
                <w:szCs w:val="20"/>
              </w:rPr>
            </w:pPr>
            <w:r w:rsidRPr="0080424D">
              <w:rPr>
                <w:rFonts w:cstheme="majorBidi"/>
                <w:sz w:val="20"/>
                <w:szCs w:val="20"/>
              </w:rPr>
              <w:t>Application of orthodontic mini-implants in adolescents. (</w:t>
            </w:r>
            <w:proofErr w:type="spellStart"/>
            <w:r w:rsidRPr="0080424D">
              <w:rPr>
                <w:rFonts w:cstheme="majorBidi"/>
                <w:sz w:val="20"/>
                <w:szCs w:val="20"/>
              </w:rPr>
              <w:t>Motoyoshi</w:t>
            </w:r>
            <w:proofErr w:type="spellEnd"/>
            <w:r w:rsidRPr="0080424D">
              <w:rPr>
                <w:rFonts w:cstheme="majorBidi"/>
                <w:sz w:val="20"/>
                <w:szCs w:val="20"/>
              </w:rPr>
              <w:t xml:space="preserve"> et al., 2007)</w:t>
            </w:r>
          </w:p>
        </w:tc>
        <w:tc>
          <w:tcPr>
            <w:tcW w:w="3655" w:type="dxa"/>
            <w:shd w:val="clear" w:color="auto" w:fill="auto"/>
          </w:tcPr>
          <w:p w14:paraId="62ED43B5" w14:textId="77777777" w:rsidR="0075721E" w:rsidRPr="00006993" w:rsidRDefault="0075721E" w:rsidP="007A3DC8">
            <w:pPr>
              <w:spacing w:line="360" w:lineRule="auto"/>
              <w:ind w:right="11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ajorBidi"/>
                <w:sz w:val="20"/>
                <w:szCs w:val="20"/>
              </w:rPr>
            </w:pPr>
            <w:r w:rsidRPr="00006993">
              <w:rPr>
                <w:rFonts w:cstheme="majorBidi"/>
                <w:sz w:val="20"/>
                <w:szCs w:val="20"/>
              </w:rPr>
              <w:t>Not randomised clinical trial ( Cohort )</w:t>
            </w:r>
          </w:p>
        </w:tc>
      </w:tr>
      <w:tr w:rsidR="0075721E" w:rsidRPr="00006993" w14:paraId="2B144007" w14:textId="77777777" w:rsidTr="0075721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54" w:type="dxa"/>
            <w:shd w:val="clear" w:color="auto" w:fill="auto"/>
          </w:tcPr>
          <w:p w14:paraId="3D39F38D" w14:textId="77777777" w:rsidR="0075721E" w:rsidRPr="0080424D" w:rsidRDefault="0075721E" w:rsidP="0080424D">
            <w:pPr>
              <w:pStyle w:val="ListParagraph"/>
              <w:numPr>
                <w:ilvl w:val="0"/>
                <w:numId w:val="1"/>
              </w:numPr>
              <w:spacing w:line="360" w:lineRule="auto"/>
              <w:ind w:right="113"/>
              <w:rPr>
                <w:rFonts w:cstheme="majorBidi"/>
                <w:sz w:val="20"/>
                <w:szCs w:val="20"/>
              </w:rPr>
            </w:pPr>
            <w:r w:rsidRPr="0080424D">
              <w:rPr>
                <w:rFonts w:cstheme="majorBidi"/>
                <w:sz w:val="20"/>
                <w:szCs w:val="20"/>
              </w:rPr>
              <w:t>Clinical outcome of miniscrews used as orthodontic anchorage. (</w:t>
            </w:r>
            <w:proofErr w:type="spellStart"/>
            <w:r w:rsidRPr="0080424D">
              <w:rPr>
                <w:rFonts w:cstheme="majorBidi"/>
                <w:sz w:val="20"/>
                <w:szCs w:val="20"/>
              </w:rPr>
              <w:t>Justens</w:t>
            </w:r>
            <w:proofErr w:type="spellEnd"/>
            <w:r w:rsidRPr="0080424D">
              <w:rPr>
                <w:rFonts w:cstheme="majorBidi"/>
                <w:sz w:val="20"/>
                <w:szCs w:val="20"/>
              </w:rPr>
              <w:t xml:space="preserve"> &amp; De </w:t>
            </w:r>
            <w:proofErr w:type="spellStart"/>
            <w:r w:rsidRPr="0080424D">
              <w:rPr>
                <w:rFonts w:cstheme="majorBidi"/>
                <w:sz w:val="20"/>
                <w:szCs w:val="20"/>
              </w:rPr>
              <w:t>Bruyn</w:t>
            </w:r>
            <w:proofErr w:type="spellEnd"/>
            <w:r w:rsidRPr="0080424D">
              <w:rPr>
                <w:rFonts w:cstheme="majorBidi"/>
                <w:sz w:val="20"/>
                <w:szCs w:val="20"/>
              </w:rPr>
              <w:t>, 2008)</w:t>
            </w:r>
          </w:p>
        </w:tc>
        <w:tc>
          <w:tcPr>
            <w:tcW w:w="3655" w:type="dxa"/>
            <w:shd w:val="clear" w:color="auto" w:fill="auto"/>
          </w:tcPr>
          <w:p w14:paraId="73414C2D" w14:textId="77777777" w:rsidR="0075721E" w:rsidRPr="00006993" w:rsidRDefault="0075721E" w:rsidP="007A3DC8">
            <w:pPr>
              <w:spacing w:line="360" w:lineRule="auto"/>
              <w:ind w:right="11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ajorBidi"/>
                <w:sz w:val="20"/>
                <w:szCs w:val="20"/>
              </w:rPr>
            </w:pPr>
            <w:r w:rsidRPr="00006993">
              <w:rPr>
                <w:rFonts w:cstheme="majorBidi"/>
                <w:sz w:val="20"/>
                <w:szCs w:val="20"/>
              </w:rPr>
              <w:t>Not a randomised clinical trial.  Intervention do not include a type of conventional anchorage.</w:t>
            </w:r>
          </w:p>
        </w:tc>
      </w:tr>
      <w:tr w:rsidR="0075721E" w:rsidRPr="00006993" w14:paraId="3147AA77" w14:textId="77777777" w:rsidTr="00B302A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54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42E912C0" w14:textId="77777777" w:rsidR="0075721E" w:rsidRPr="0080424D" w:rsidRDefault="0075721E" w:rsidP="0080424D">
            <w:pPr>
              <w:pStyle w:val="ListParagraph"/>
              <w:numPr>
                <w:ilvl w:val="0"/>
                <w:numId w:val="1"/>
              </w:numPr>
              <w:spacing w:line="360" w:lineRule="auto"/>
              <w:ind w:right="113"/>
              <w:rPr>
                <w:rFonts w:cstheme="majorBidi"/>
                <w:sz w:val="20"/>
                <w:szCs w:val="20"/>
              </w:rPr>
            </w:pPr>
            <w:r w:rsidRPr="0080424D">
              <w:rPr>
                <w:rFonts w:cstheme="majorBidi"/>
                <w:sz w:val="20"/>
                <w:szCs w:val="20"/>
              </w:rPr>
              <w:t xml:space="preserve">Clinical suitability of titanium </w:t>
            </w:r>
            <w:proofErr w:type="spellStart"/>
            <w:r w:rsidRPr="0080424D">
              <w:rPr>
                <w:rFonts w:cstheme="majorBidi"/>
                <w:sz w:val="20"/>
                <w:szCs w:val="20"/>
              </w:rPr>
              <w:t>microscrews</w:t>
            </w:r>
            <w:proofErr w:type="spellEnd"/>
            <w:r w:rsidRPr="0080424D">
              <w:rPr>
                <w:rFonts w:cstheme="majorBidi"/>
                <w:sz w:val="20"/>
                <w:szCs w:val="20"/>
              </w:rPr>
              <w:t xml:space="preserve"> for orthodontic anchorage: preliminary experiences. (Fritz et al. ,  2004)</w:t>
            </w:r>
          </w:p>
        </w:tc>
        <w:tc>
          <w:tcPr>
            <w:tcW w:w="3655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02813129" w14:textId="77777777" w:rsidR="0075721E" w:rsidRPr="00006993" w:rsidRDefault="0075721E" w:rsidP="007A3DC8">
            <w:pPr>
              <w:spacing w:line="360" w:lineRule="auto"/>
              <w:ind w:right="11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ajorBidi"/>
                <w:sz w:val="20"/>
                <w:szCs w:val="20"/>
              </w:rPr>
            </w:pPr>
            <w:r w:rsidRPr="00006993">
              <w:rPr>
                <w:rFonts w:cstheme="majorBidi"/>
                <w:sz w:val="20"/>
                <w:szCs w:val="20"/>
              </w:rPr>
              <w:t>Not randomised clinical trial ( Cohort )</w:t>
            </w:r>
          </w:p>
        </w:tc>
      </w:tr>
      <w:tr w:rsidR="0075721E" w:rsidRPr="00006993" w14:paraId="6ACA748A" w14:textId="77777777" w:rsidTr="00B302A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54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25637665" w14:textId="77777777" w:rsidR="0075721E" w:rsidRPr="0080424D" w:rsidRDefault="0075721E" w:rsidP="0080424D">
            <w:pPr>
              <w:pStyle w:val="ListParagraph"/>
              <w:numPr>
                <w:ilvl w:val="0"/>
                <w:numId w:val="1"/>
              </w:numPr>
              <w:spacing w:line="360" w:lineRule="auto"/>
              <w:ind w:right="113"/>
              <w:rPr>
                <w:rFonts w:cstheme="majorBidi"/>
                <w:sz w:val="20"/>
                <w:szCs w:val="20"/>
              </w:rPr>
            </w:pPr>
            <w:r w:rsidRPr="0080424D">
              <w:rPr>
                <w:rFonts w:cstheme="majorBidi"/>
                <w:sz w:val="20"/>
                <w:szCs w:val="20"/>
              </w:rPr>
              <w:t>Clinical use of miniscrew implants as orthodontic anchorage: success rates and postoperative discomfort. (Kuroda et al.,2007</w:t>
            </w:r>
          </w:p>
        </w:tc>
        <w:tc>
          <w:tcPr>
            <w:tcW w:w="3655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73C1BF07" w14:textId="77777777" w:rsidR="0075721E" w:rsidRPr="00006993" w:rsidRDefault="0075721E" w:rsidP="007A3DC8">
            <w:pPr>
              <w:spacing w:line="360" w:lineRule="auto"/>
              <w:ind w:right="11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ajorBidi"/>
                <w:sz w:val="20"/>
                <w:szCs w:val="20"/>
              </w:rPr>
            </w:pPr>
            <w:r w:rsidRPr="00006993">
              <w:rPr>
                <w:rFonts w:cstheme="majorBidi"/>
                <w:sz w:val="20"/>
                <w:szCs w:val="20"/>
              </w:rPr>
              <w:t>Not randomised clinical trial ( retrospective )</w:t>
            </w:r>
          </w:p>
        </w:tc>
      </w:tr>
      <w:tr w:rsidR="0075721E" w:rsidRPr="00006993" w14:paraId="6338F924" w14:textId="77777777" w:rsidTr="00B302A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54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73E5BBDB" w14:textId="77777777" w:rsidR="0075721E" w:rsidRPr="0080424D" w:rsidRDefault="0075721E" w:rsidP="0080424D">
            <w:pPr>
              <w:pStyle w:val="ListParagraph"/>
              <w:numPr>
                <w:ilvl w:val="0"/>
                <w:numId w:val="1"/>
              </w:numPr>
              <w:spacing w:line="360" w:lineRule="auto"/>
              <w:ind w:right="113"/>
              <w:rPr>
                <w:rFonts w:cstheme="majorBidi"/>
                <w:sz w:val="20"/>
                <w:szCs w:val="20"/>
              </w:rPr>
            </w:pPr>
            <w:r w:rsidRPr="0080424D">
              <w:rPr>
                <w:rFonts w:cstheme="majorBidi"/>
                <w:sz w:val="20"/>
                <w:szCs w:val="20"/>
              </w:rPr>
              <w:t>Comparison and measurement of the amount of anchorage loss of the molars with and without the use of implant anchorage during canine retraction. (</w:t>
            </w:r>
            <w:proofErr w:type="spellStart"/>
            <w:r w:rsidRPr="0080424D">
              <w:rPr>
                <w:rFonts w:cstheme="majorBidi"/>
                <w:sz w:val="20"/>
                <w:szCs w:val="20"/>
              </w:rPr>
              <w:t>Thiruvenkatachari</w:t>
            </w:r>
            <w:proofErr w:type="spellEnd"/>
            <w:r w:rsidRPr="0080424D">
              <w:rPr>
                <w:rFonts w:cstheme="majorBidi"/>
                <w:sz w:val="20"/>
                <w:szCs w:val="20"/>
              </w:rPr>
              <w:t xml:space="preserve">  et al. , 2006) </w:t>
            </w:r>
          </w:p>
        </w:tc>
        <w:tc>
          <w:tcPr>
            <w:tcW w:w="3655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4F64A5C9" w14:textId="77777777" w:rsidR="0075721E" w:rsidRPr="00006993" w:rsidRDefault="0075721E" w:rsidP="007A3DC8">
            <w:pPr>
              <w:spacing w:line="360" w:lineRule="auto"/>
              <w:ind w:right="11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ajorBidi"/>
                <w:sz w:val="20"/>
                <w:szCs w:val="20"/>
              </w:rPr>
            </w:pPr>
            <w:r w:rsidRPr="00006993">
              <w:rPr>
                <w:rFonts w:cstheme="majorBidi"/>
                <w:sz w:val="20"/>
                <w:szCs w:val="20"/>
              </w:rPr>
              <w:t>Not randomised clinical trial ( Cohort )</w:t>
            </w:r>
          </w:p>
        </w:tc>
      </w:tr>
      <w:tr w:rsidR="0075721E" w:rsidRPr="00006993" w14:paraId="6E219642" w14:textId="77777777" w:rsidTr="0075721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54" w:type="dxa"/>
            <w:shd w:val="clear" w:color="auto" w:fill="auto"/>
          </w:tcPr>
          <w:p w14:paraId="1BBAD437" w14:textId="77777777" w:rsidR="0075721E" w:rsidRPr="0080424D" w:rsidRDefault="0075721E" w:rsidP="0080424D">
            <w:pPr>
              <w:pStyle w:val="ListParagraph"/>
              <w:numPr>
                <w:ilvl w:val="0"/>
                <w:numId w:val="1"/>
              </w:numPr>
              <w:spacing w:line="360" w:lineRule="auto"/>
              <w:ind w:right="113"/>
              <w:rPr>
                <w:rFonts w:cstheme="majorBidi"/>
                <w:sz w:val="20"/>
                <w:szCs w:val="20"/>
              </w:rPr>
            </w:pPr>
            <w:r w:rsidRPr="0080424D">
              <w:rPr>
                <w:rFonts w:cstheme="majorBidi"/>
                <w:sz w:val="20"/>
                <w:szCs w:val="20"/>
              </w:rPr>
              <w:t>Comparison of skeletal and conventional anchorage methods in conjunction with pre-operative decompensation of a skeletal Class III malocclusion. (</w:t>
            </w:r>
            <w:proofErr w:type="spellStart"/>
            <w:r w:rsidRPr="0080424D">
              <w:rPr>
                <w:rFonts w:cstheme="majorBidi"/>
                <w:sz w:val="20"/>
                <w:szCs w:val="20"/>
              </w:rPr>
              <w:t>Wilmes</w:t>
            </w:r>
            <w:proofErr w:type="spellEnd"/>
            <w:r w:rsidRPr="0080424D">
              <w:rPr>
                <w:rFonts w:cstheme="majorBidi"/>
                <w:sz w:val="20"/>
                <w:szCs w:val="20"/>
              </w:rPr>
              <w:t xml:space="preserve"> et al., 2009)</w:t>
            </w:r>
          </w:p>
        </w:tc>
        <w:tc>
          <w:tcPr>
            <w:tcW w:w="3655" w:type="dxa"/>
            <w:shd w:val="clear" w:color="auto" w:fill="auto"/>
          </w:tcPr>
          <w:p w14:paraId="696BF84D" w14:textId="77777777" w:rsidR="0075721E" w:rsidRPr="00006993" w:rsidRDefault="0075721E" w:rsidP="007A3DC8">
            <w:pPr>
              <w:spacing w:line="360" w:lineRule="auto"/>
              <w:ind w:right="11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ajorBidi"/>
                <w:sz w:val="20"/>
                <w:szCs w:val="20"/>
              </w:rPr>
            </w:pPr>
            <w:r w:rsidRPr="00006993">
              <w:rPr>
                <w:rFonts w:cstheme="majorBidi"/>
                <w:sz w:val="20"/>
                <w:szCs w:val="20"/>
              </w:rPr>
              <w:t>Not randomised clinical trial ( Cohort)</w:t>
            </w:r>
          </w:p>
        </w:tc>
      </w:tr>
      <w:tr w:rsidR="0075721E" w:rsidRPr="00006993" w14:paraId="7E3C9E1B" w14:textId="77777777" w:rsidTr="0075721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54" w:type="dxa"/>
            <w:shd w:val="clear" w:color="auto" w:fill="auto"/>
          </w:tcPr>
          <w:p w14:paraId="198E5E96" w14:textId="77777777" w:rsidR="0075721E" w:rsidRPr="0080424D" w:rsidRDefault="0075721E" w:rsidP="0080424D">
            <w:pPr>
              <w:pStyle w:val="ListParagraph"/>
              <w:numPr>
                <w:ilvl w:val="0"/>
                <w:numId w:val="1"/>
              </w:numPr>
              <w:spacing w:line="360" w:lineRule="auto"/>
              <w:ind w:right="113"/>
              <w:rPr>
                <w:rFonts w:cstheme="majorBidi"/>
                <w:sz w:val="20"/>
                <w:szCs w:val="20"/>
              </w:rPr>
            </w:pPr>
            <w:r w:rsidRPr="0080424D">
              <w:rPr>
                <w:rFonts w:cstheme="majorBidi"/>
                <w:sz w:val="20"/>
                <w:szCs w:val="20"/>
              </w:rPr>
              <w:t>Contact damage to root surfaces of premolars touching miniscrews during orthodontic treatment. (</w:t>
            </w:r>
            <w:proofErr w:type="spellStart"/>
            <w:r w:rsidRPr="0080424D">
              <w:rPr>
                <w:rFonts w:cstheme="majorBidi"/>
                <w:sz w:val="20"/>
                <w:szCs w:val="20"/>
              </w:rPr>
              <w:t>Kadioglu</w:t>
            </w:r>
            <w:proofErr w:type="spellEnd"/>
            <w:r w:rsidRPr="0080424D">
              <w:rPr>
                <w:rFonts w:cstheme="majorBidi"/>
                <w:sz w:val="20"/>
                <w:szCs w:val="20"/>
              </w:rPr>
              <w:t xml:space="preserve"> et al., 2008) </w:t>
            </w:r>
          </w:p>
        </w:tc>
        <w:tc>
          <w:tcPr>
            <w:tcW w:w="3655" w:type="dxa"/>
            <w:shd w:val="clear" w:color="auto" w:fill="auto"/>
          </w:tcPr>
          <w:p w14:paraId="05CF56AB" w14:textId="77777777" w:rsidR="0075721E" w:rsidRPr="00006993" w:rsidRDefault="0075721E" w:rsidP="007A3DC8">
            <w:pPr>
              <w:spacing w:line="360" w:lineRule="auto"/>
              <w:ind w:right="11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ajorBidi"/>
                <w:sz w:val="20"/>
                <w:szCs w:val="20"/>
              </w:rPr>
            </w:pPr>
            <w:r w:rsidRPr="00006993">
              <w:rPr>
                <w:rFonts w:cstheme="majorBidi"/>
                <w:sz w:val="20"/>
                <w:szCs w:val="20"/>
              </w:rPr>
              <w:t xml:space="preserve">Not a randomised clinical trial.  Intervention do not include a type of conventional anchorage. </w:t>
            </w:r>
          </w:p>
        </w:tc>
      </w:tr>
      <w:tr w:rsidR="0075721E" w:rsidRPr="00006993" w14:paraId="7301CD65" w14:textId="77777777" w:rsidTr="00B302A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54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768A76A7" w14:textId="77777777" w:rsidR="0075721E" w:rsidRPr="0080424D" w:rsidRDefault="0075721E" w:rsidP="0080424D">
            <w:pPr>
              <w:pStyle w:val="ListParagraph"/>
              <w:numPr>
                <w:ilvl w:val="0"/>
                <w:numId w:val="1"/>
              </w:numPr>
              <w:spacing w:line="360" w:lineRule="auto"/>
              <w:ind w:right="113"/>
              <w:rPr>
                <w:rFonts w:cstheme="majorBidi"/>
                <w:sz w:val="20"/>
                <w:szCs w:val="20"/>
              </w:rPr>
            </w:pPr>
            <w:r w:rsidRPr="0080424D">
              <w:rPr>
                <w:rFonts w:cstheme="majorBidi"/>
                <w:sz w:val="20"/>
                <w:szCs w:val="20"/>
              </w:rPr>
              <w:t>Displacement pattern of the maxillary arch depending on miniscrews position in sliding mechanics. (Lee et al., 2011)</w:t>
            </w:r>
          </w:p>
        </w:tc>
        <w:tc>
          <w:tcPr>
            <w:tcW w:w="3655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38F6E6D2" w14:textId="77777777" w:rsidR="0075721E" w:rsidRPr="00006993" w:rsidRDefault="0075721E" w:rsidP="007A3DC8">
            <w:pPr>
              <w:spacing w:line="360" w:lineRule="auto"/>
              <w:ind w:right="11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ajorBidi"/>
                <w:sz w:val="20"/>
                <w:szCs w:val="20"/>
              </w:rPr>
            </w:pPr>
            <w:r w:rsidRPr="00006993">
              <w:rPr>
                <w:rFonts w:cstheme="majorBidi"/>
                <w:sz w:val="20"/>
                <w:szCs w:val="20"/>
              </w:rPr>
              <w:t>Not a randomised clinical trial.  Intervention do not include a type of conventional anchorage.</w:t>
            </w:r>
          </w:p>
        </w:tc>
      </w:tr>
      <w:tr w:rsidR="0075721E" w:rsidRPr="00006993" w14:paraId="1AFD118E" w14:textId="77777777" w:rsidTr="0075721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54" w:type="dxa"/>
            <w:shd w:val="clear" w:color="auto" w:fill="auto"/>
          </w:tcPr>
          <w:p w14:paraId="273183FE" w14:textId="77777777" w:rsidR="0075721E" w:rsidRPr="0080424D" w:rsidRDefault="0075721E" w:rsidP="0080424D">
            <w:pPr>
              <w:pStyle w:val="ListParagraph"/>
              <w:numPr>
                <w:ilvl w:val="0"/>
                <w:numId w:val="1"/>
              </w:numPr>
              <w:spacing w:line="360" w:lineRule="auto"/>
              <w:ind w:right="113"/>
              <w:rPr>
                <w:rFonts w:cstheme="majorBidi"/>
                <w:sz w:val="20"/>
                <w:szCs w:val="20"/>
              </w:rPr>
            </w:pPr>
            <w:r w:rsidRPr="0080424D">
              <w:rPr>
                <w:rFonts w:cstheme="majorBidi"/>
                <w:sz w:val="20"/>
                <w:szCs w:val="20"/>
              </w:rPr>
              <w:t>Effect of cervical anchorage studied by the implant method. (</w:t>
            </w:r>
            <w:proofErr w:type="spellStart"/>
            <w:r w:rsidRPr="0080424D">
              <w:rPr>
                <w:rFonts w:cstheme="majorBidi"/>
                <w:sz w:val="20"/>
                <w:szCs w:val="20"/>
              </w:rPr>
              <w:t>Melsen</w:t>
            </w:r>
            <w:proofErr w:type="spellEnd"/>
            <w:r w:rsidRPr="0080424D">
              <w:rPr>
                <w:rFonts w:cstheme="majorBidi"/>
                <w:sz w:val="20"/>
                <w:szCs w:val="20"/>
              </w:rPr>
              <w:t xml:space="preserve"> &amp; </w:t>
            </w:r>
            <w:proofErr w:type="spellStart"/>
            <w:r w:rsidRPr="0080424D">
              <w:rPr>
                <w:rFonts w:cstheme="majorBidi"/>
                <w:sz w:val="20"/>
                <w:szCs w:val="20"/>
              </w:rPr>
              <w:t>Enemark</w:t>
            </w:r>
            <w:proofErr w:type="spellEnd"/>
            <w:r w:rsidRPr="0080424D">
              <w:rPr>
                <w:rFonts w:cstheme="majorBidi"/>
                <w:sz w:val="20"/>
                <w:szCs w:val="20"/>
              </w:rPr>
              <w:t xml:space="preserve"> , 2007) </w:t>
            </w:r>
          </w:p>
        </w:tc>
        <w:tc>
          <w:tcPr>
            <w:tcW w:w="3655" w:type="dxa"/>
            <w:shd w:val="clear" w:color="auto" w:fill="auto"/>
          </w:tcPr>
          <w:p w14:paraId="31A17B1F" w14:textId="77777777" w:rsidR="0075721E" w:rsidRPr="00006993" w:rsidRDefault="0075721E" w:rsidP="007A3DC8">
            <w:pPr>
              <w:spacing w:line="360" w:lineRule="auto"/>
              <w:ind w:right="11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ajorBidi"/>
                <w:sz w:val="20"/>
                <w:szCs w:val="20"/>
              </w:rPr>
            </w:pPr>
            <w:r w:rsidRPr="00006993">
              <w:rPr>
                <w:rFonts w:cstheme="majorBidi"/>
                <w:sz w:val="20"/>
                <w:szCs w:val="20"/>
              </w:rPr>
              <w:t xml:space="preserve">Interventions do not include miniscrews. </w:t>
            </w:r>
          </w:p>
        </w:tc>
      </w:tr>
      <w:tr w:rsidR="0075721E" w:rsidRPr="00006993" w14:paraId="77FE14DA" w14:textId="77777777" w:rsidTr="0075721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54" w:type="dxa"/>
            <w:shd w:val="clear" w:color="auto" w:fill="auto"/>
          </w:tcPr>
          <w:p w14:paraId="79973E63" w14:textId="77777777" w:rsidR="0075721E" w:rsidRPr="0080424D" w:rsidRDefault="0075721E" w:rsidP="0080424D">
            <w:pPr>
              <w:pStyle w:val="ListParagraph"/>
              <w:numPr>
                <w:ilvl w:val="0"/>
                <w:numId w:val="1"/>
              </w:numPr>
              <w:spacing w:line="360" w:lineRule="auto"/>
              <w:ind w:right="113"/>
              <w:rPr>
                <w:rFonts w:cstheme="majorBidi"/>
                <w:sz w:val="20"/>
                <w:szCs w:val="20"/>
              </w:rPr>
            </w:pPr>
            <w:r w:rsidRPr="0080424D">
              <w:rPr>
                <w:rFonts w:cstheme="majorBidi"/>
                <w:sz w:val="20"/>
                <w:szCs w:val="20"/>
              </w:rPr>
              <w:t>Evaluation of orthodontic mini-implant anchorage in premolar extraction therapy in adolescents.(</w:t>
            </w:r>
            <w:proofErr w:type="spellStart"/>
            <w:r w:rsidRPr="0080424D">
              <w:rPr>
                <w:rFonts w:cstheme="majorBidi"/>
                <w:sz w:val="20"/>
                <w:szCs w:val="20"/>
              </w:rPr>
              <w:t>Grafinkle</w:t>
            </w:r>
            <w:proofErr w:type="spellEnd"/>
            <w:r w:rsidRPr="0080424D">
              <w:rPr>
                <w:rFonts w:cstheme="majorBidi"/>
                <w:sz w:val="20"/>
                <w:szCs w:val="20"/>
              </w:rPr>
              <w:t xml:space="preserve"> et al., 2008) </w:t>
            </w:r>
          </w:p>
        </w:tc>
        <w:tc>
          <w:tcPr>
            <w:tcW w:w="3655" w:type="dxa"/>
            <w:shd w:val="clear" w:color="auto" w:fill="auto"/>
          </w:tcPr>
          <w:p w14:paraId="3A4158F2" w14:textId="77777777" w:rsidR="0075721E" w:rsidRPr="00006993" w:rsidRDefault="0075721E" w:rsidP="007A3DC8">
            <w:pPr>
              <w:spacing w:line="360" w:lineRule="auto"/>
              <w:ind w:right="11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ajorBidi"/>
                <w:sz w:val="20"/>
                <w:szCs w:val="20"/>
              </w:rPr>
            </w:pPr>
            <w:r w:rsidRPr="00006993">
              <w:rPr>
                <w:rFonts w:cstheme="majorBidi"/>
                <w:sz w:val="20"/>
                <w:szCs w:val="20"/>
              </w:rPr>
              <w:t xml:space="preserve">Split mouth design </w:t>
            </w:r>
          </w:p>
        </w:tc>
      </w:tr>
      <w:tr w:rsidR="0075721E" w:rsidRPr="00006993" w14:paraId="01A76DAF" w14:textId="77777777" w:rsidTr="0075721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54" w:type="dxa"/>
            <w:shd w:val="clear" w:color="auto" w:fill="auto"/>
          </w:tcPr>
          <w:p w14:paraId="6972E056" w14:textId="77777777" w:rsidR="0075721E" w:rsidRPr="0080424D" w:rsidRDefault="0075721E" w:rsidP="0080424D">
            <w:pPr>
              <w:pStyle w:val="ListParagraph"/>
              <w:numPr>
                <w:ilvl w:val="0"/>
                <w:numId w:val="1"/>
              </w:numPr>
              <w:spacing w:line="360" w:lineRule="auto"/>
              <w:ind w:right="113"/>
              <w:rPr>
                <w:rFonts w:cstheme="majorBidi"/>
                <w:sz w:val="20"/>
                <w:szCs w:val="20"/>
              </w:rPr>
            </w:pPr>
            <w:r w:rsidRPr="0080424D">
              <w:rPr>
                <w:rFonts w:cstheme="majorBidi"/>
                <w:sz w:val="20"/>
                <w:szCs w:val="20"/>
              </w:rPr>
              <w:lastRenderedPageBreak/>
              <w:t xml:space="preserve">Expectations, acceptance and preferences of patients in the treatment with orthodontic mini-implants: part II: implants removal. ( </w:t>
            </w:r>
            <w:proofErr w:type="spellStart"/>
            <w:r w:rsidRPr="0080424D">
              <w:rPr>
                <w:rFonts w:cstheme="majorBidi"/>
                <w:sz w:val="20"/>
                <w:szCs w:val="20"/>
              </w:rPr>
              <w:t>Lehnen</w:t>
            </w:r>
            <w:proofErr w:type="spellEnd"/>
            <w:r w:rsidRPr="0080424D">
              <w:rPr>
                <w:rFonts w:cstheme="majorBidi"/>
                <w:sz w:val="20"/>
                <w:szCs w:val="20"/>
              </w:rPr>
              <w:t xml:space="preserve"> et al., 2011) </w:t>
            </w:r>
          </w:p>
        </w:tc>
        <w:tc>
          <w:tcPr>
            <w:tcW w:w="3655" w:type="dxa"/>
            <w:shd w:val="clear" w:color="auto" w:fill="auto"/>
          </w:tcPr>
          <w:p w14:paraId="771527DE" w14:textId="77777777" w:rsidR="0075721E" w:rsidRPr="00006993" w:rsidRDefault="0075721E" w:rsidP="007A3DC8">
            <w:pPr>
              <w:spacing w:line="360" w:lineRule="auto"/>
              <w:ind w:right="11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ajorBidi"/>
                <w:sz w:val="20"/>
                <w:szCs w:val="20"/>
              </w:rPr>
            </w:pPr>
            <w:r w:rsidRPr="00006993">
              <w:rPr>
                <w:rFonts w:cstheme="majorBidi"/>
                <w:sz w:val="20"/>
                <w:szCs w:val="20"/>
              </w:rPr>
              <w:t>Comparison was performed between two placement types of miniscrews. Intervention do not include a type of conventional anchorage.</w:t>
            </w:r>
          </w:p>
        </w:tc>
      </w:tr>
      <w:tr w:rsidR="0075721E" w:rsidRPr="00006993" w14:paraId="136A8443" w14:textId="77777777" w:rsidTr="00B302A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54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0F2773C5" w14:textId="77777777" w:rsidR="0075721E" w:rsidRPr="0080424D" w:rsidRDefault="0075721E" w:rsidP="0080424D">
            <w:pPr>
              <w:pStyle w:val="ListParagraph"/>
              <w:numPr>
                <w:ilvl w:val="0"/>
                <w:numId w:val="1"/>
              </w:numPr>
              <w:spacing w:line="360" w:lineRule="auto"/>
              <w:ind w:right="113"/>
              <w:rPr>
                <w:rFonts w:cstheme="majorBidi"/>
                <w:sz w:val="20"/>
                <w:szCs w:val="20"/>
              </w:rPr>
            </w:pPr>
            <w:r w:rsidRPr="0080424D">
              <w:rPr>
                <w:rFonts w:cstheme="majorBidi"/>
                <w:sz w:val="20"/>
                <w:szCs w:val="20"/>
              </w:rPr>
              <w:t xml:space="preserve">Expectations, acceptance, and preferences regarding </w:t>
            </w:r>
            <w:proofErr w:type="spellStart"/>
            <w:r w:rsidRPr="0080424D">
              <w:rPr>
                <w:rFonts w:cstheme="majorBidi"/>
                <w:sz w:val="20"/>
                <w:szCs w:val="20"/>
              </w:rPr>
              <w:t>microimplant</w:t>
            </w:r>
            <w:proofErr w:type="spellEnd"/>
            <w:r w:rsidRPr="0080424D">
              <w:rPr>
                <w:rFonts w:cstheme="majorBidi"/>
                <w:sz w:val="20"/>
                <w:szCs w:val="20"/>
              </w:rPr>
              <w:t xml:space="preserve"> treatment in orthodontic patients: A randomized controlled trial. (</w:t>
            </w:r>
            <w:proofErr w:type="spellStart"/>
            <w:r w:rsidRPr="0080424D">
              <w:rPr>
                <w:rFonts w:cstheme="majorBidi"/>
                <w:sz w:val="20"/>
                <w:szCs w:val="20"/>
              </w:rPr>
              <w:t>Baxmann</w:t>
            </w:r>
            <w:proofErr w:type="spellEnd"/>
            <w:r w:rsidRPr="0080424D">
              <w:rPr>
                <w:rFonts w:cstheme="majorBidi"/>
                <w:sz w:val="20"/>
                <w:szCs w:val="20"/>
              </w:rPr>
              <w:t xml:space="preserve"> et al., 2010)</w:t>
            </w:r>
          </w:p>
        </w:tc>
        <w:tc>
          <w:tcPr>
            <w:tcW w:w="3655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779111F3" w14:textId="77777777" w:rsidR="0075721E" w:rsidRPr="00006993" w:rsidRDefault="0075721E" w:rsidP="007A3DC8">
            <w:pPr>
              <w:spacing w:line="360" w:lineRule="auto"/>
              <w:ind w:right="11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ajorBidi"/>
                <w:sz w:val="20"/>
                <w:szCs w:val="20"/>
              </w:rPr>
            </w:pPr>
            <w:r w:rsidRPr="00006993">
              <w:rPr>
                <w:rFonts w:cstheme="majorBidi"/>
                <w:sz w:val="20"/>
                <w:szCs w:val="20"/>
              </w:rPr>
              <w:t>Comparison was performed between two placement techniques of miniscrews. Intervention do not include a type of conventional anchorage.</w:t>
            </w:r>
          </w:p>
        </w:tc>
      </w:tr>
      <w:tr w:rsidR="0075721E" w:rsidRPr="00006993" w14:paraId="336E8BD4" w14:textId="77777777" w:rsidTr="00B302A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54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7860CCA3" w14:textId="77777777" w:rsidR="0075721E" w:rsidRPr="0080424D" w:rsidRDefault="0075721E" w:rsidP="0080424D">
            <w:pPr>
              <w:pStyle w:val="ListParagraph"/>
              <w:numPr>
                <w:ilvl w:val="0"/>
                <w:numId w:val="1"/>
              </w:numPr>
              <w:spacing w:line="360" w:lineRule="auto"/>
              <w:ind w:right="113"/>
              <w:rPr>
                <w:rFonts w:cstheme="majorBidi"/>
                <w:sz w:val="20"/>
                <w:szCs w:val="20"/>
              </w:rPr>
            </w:pPr>
            <w:r w:rsidRPr="0080424D">
              <w:rPr>
                <w:rFonts w:cstheme="majorBidi"/>
                <w:sz w:val="20"/>
                <w:szCs w:val="20"/>
              </w:rPr>
              <w:t>Factors associated with the success rate of orthodontic miniscrews placed in the upper and lower posterior buccal region. (Moon et al,  2008)</w:t>
            </w:r>
          </w:p>
        </w:tc>
        <w:tc>
          <w:tcPr>
            <w:tcW w:w="3655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3497824D" w14:textId="77777777" w:rsidR="0075721E" w:rsidRPr="00006993" w:rsidRDefault="0075721E" w:rsidP="007A3DC8">
            <w:pPr>
              <w:spacing w:line="360" w:lineRule="auto"/>
              <w:ind w:right="11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ajorBidi"/>
                <w:sz w:val="20"/>
                <w:szCs w:val="20"/>
              </w:rPr>
            </w:pPr>
            <w:r w:rsidRPr="00006993">
              <w:rPr>
                <w:rFonts w:cstheme="majorBidi"/>
                <w:sz w:val="20"/>
                <w:szCs w:val="20"/>
              </w:rPr>
              <w:t>Not randomised clinical trial ( retrospective )</w:t>
            </w:r>
          </w:p>
        </w:tc>
      </w:tr>
      <w:tr w:rsidR="0075721E" w:rsidRPr="00006993" w14:paraId="7D859FFF" w14:textId="77777777" w:rsidTr="00B302A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54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32F72546" w14:textId="77777777" w:rsidR="0075721E" w:rsidRPr="0080424D" w:rsidRDefault="0075721E" w:rsidP="0080424D">
            <w:pPr>
              <w:pStyle w:val="ListParagraph"/>
              <w:numPr>
                <w:ilvl w:val="0"/>
                <w:numId w:val="1"/>
              </w:numPr>
              <w:spacing w:line="360" w:lineRule="auto"/>
              <w:ind w:right="113"/>
              <w:rPr>
                <w:rFonts w:cstheme="majorBidi"/>
                <w:sz w:val="20"/>
                <w:szCs w:val="20"/>
              </w:rPr>
            </w:pPr>
            <w:r w:rsidRPr="0080424D">
              <w:rPr>
                <w:rFonts w:cstheme="majorBidi"/>
                <w:sz w:val="20"/>
                <w:szCs w:val="20"/>
              </w:rPr>
              <w:t>Immediate vs. conventional loading of palatal implants in humans. (</w:t>
            </w:r>
            <w:proofErr w:type="spellStart"/>
            <w:r w:rsidRPr="0080424D">
              <w:rPr>
                <w:rFonts w:cstheme="majorBidi"/>
                <w:sz w:val="20"/>
                <w:szCs w:val="20"/>
              </w:rPr>
              <w:t>Gollner</w:t>
            </w:r>
            <w:proofErr w:type="spellEnd"/>
            <w:r w:rsidRPr="0080424D">
              <w:rPr>
                <w:rFonts w:cstheme="majorBidi"/>
                <w:sz w:val="20"/>
                <w:szCs w:val="20"/>
              </w:rPr>
              <w:t xml:space="preserve"> et al., 2009)</w:t>
            </w:r>
          </w:p>
        </w:tc>
        <w:tc>
          <w:tcPr>
            <w:tcW w:w="3655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4E5DBF6D" w14:textId="77777777" w:rsidR="0075721E" w:rsidRPr="00006993" w:rsidRDefault="0075721E" w:rsidP="007A3DC8">
            <w:pPr>
              <w:spacing w:line="360" w:lineRule="auto"/>
              <w:ind w:right="11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ajorBidi"/>
                <w:sz w:val="20"/>
                <w:szCs w:val="20"/>
              </w:rPr>
            </w:pPr>
            <w:r w:rsidRPr="00006993">
              <w:rPr>
                <w:rFonts w:cstheme="majorBidi"/>
                <w:sz w:val="20"/>
                <w:szCs w:val="20"/>
              </w:rPr>
              <w:t xml:space="preserve">Comparison was  between two loading techniques of palatal implants </w:t>
            </w:r>
          </w:p>
        </w:tc>
      </w:tr>
      <w:tr w:rsidR="0075721E" w:rsidRPr="00006993" w14:paraId="6B782C5B" w14:textId="77777777" w:rsidTr="00B302A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54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0A57ECF4" w14:textId="77777777" w:rsidR="0075721E" w:rsidRPr="0080424D" w:rsidRDefault="0075721E" w:rsidP="0080424D">
            <w:pPr>
              <w:pStyle w:val="ListParagraph"/>
              <w:numPr>
                <w:ilvl w:val="0"/>
                <w:numId w:val="1"/>
              </w:numPr>
              <w:spacing w:line="360" w:lineRule="auto"/>
              <w:ind w:right="113"/>
              <w:rPr>
                <w:rFonts w:cstheme="majorBidi"/>
                <w:sz w:val="20"/>
                <w:szCs w:val="20"/>
              </w:rPr>
            </w:pPr>
            <w:r w:rsidRPr="0080424D">
              <w:rPr>
                <w:rFonts w:cstheme="majorBidi"/>
                <w:sz w:val="20"/>
                <w:szCs w:val="20"/>
              </w:rPr>
              <w:t>Influence of surface characteristics on survival rates of mini-implants. (</w:t>
            </w:r>
            <w:proofErr w:type="spellStart"/>
            <w:r w:rsidRPr="0080424D">
              <w:rPr>
                <w:rFonts w:cstheme="majorBidi"/>
                <w:sz w:val="20"/>
                <w:szCs w:val="20"/>
              </w:rPr>
              <w:t>Cheddad</w:t>
            </w:r>
            <w:proofErr w:type="spellEnd"/>
            <w:r w:rsidRPr="0080424D">
              <w:rPr>
                <w:rFonts w:cstheme="majorBidi"/>
                <w:sz w:val="20"/>
                <w:szCs w:val="20"/>
              </w:rPr>
              <w:t xml:space="preserve"> et al. , 2008) </w:t>
            </w:r>
          </w:p>
        </w:tc>
        <w:tc>
          <w:tcPr>
            <w:tcW w:w="3655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6A2A1518" w14:textId="77777777" w:rsidR="0075721E" w:rsidRPr="00006993" w:rsidRDefault="0075721E" w:rsidP="007A3DC8">
            <w:pPr>
              <w:spacing w:line="360" w:lineRule="auto"/>
              <w:ind w:right="11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ajorBidi"/>
                <w:sz w:val="20"/>
                <w:szCs w:val="20"/>
              </w:rPr>
            </w:pPr>
            <w:r w:rsidRPr="00006993">
              <w:rPr>
                <w:rFonts w:cstheme="majorBidi"/>
                <w:sz w:val="20"/>
                <w:szCs w:val="20"/>
              </w:rPr>
              <w:t>Not a randomised clinical trial.  Intervention do not include a type of conventional anchorage.</w:t>
            </w:r>
          </w:p>
        </w:tc>
      </w:tr>
      <w:tr w:rsidR="0075721E" w:rsidRPr="00006993" w14:paraId="5558E874" w14:textId="77777777" w:rsidTr="0075721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54" w:type="dxa"/>
            <w:shd w:val="clear" w:color="auto" w:fill="auto"/>
          </w:tcPr>
          <w:p w14:paraId="7C4A9BD0" w14:textId="77777777" w:rsidR="0075721E" w:rsidRPr="0080424D" w:rsidRDefault="0075721E" w:rsidP="0080424D">
            <w:pPr>
              <w:pStyle w:val="ListParagraph"/>
              <w:numPr>
                <w:ilvl w:val="0"/>
                <w:numId w:val="1"/>
              </w:numPr>
              <w:spacing w:line="360" w:lineRule="auto"/>
              <w:ind w:right="113"/>
              <w:rPr>
                <w:rFonts w:cstheme="majorBidi"/>
                <w:sz w:val="20"/>
                <w:szCs w:val="20"/>
              </w:rPr>
            </w:pPr>
            <w:r w:rsidRPr="0080424D">
              <w:rPr>
                <w:rFonts w:cstheme="majorBidi"/>
                <w:sz w:val="20"/>
                <w:szCs w:val="20"/>
              </w:rPr>
              <w:t>Loss of anchorage of miniscrews: a 3-dimensional assessment. (</w:t>
            </w:r>
            <w:proofErr w:type="spellStart"/>
            <w:r w:rsidRPr="0080424D">
              <w:rPr>
                <w:rFonts w:cstheme="majorBidi"/>
                <w:sz w:val="20"/>
                <w:szCs w:val="20"/>
              </w:rPr>
              <w:t>ElBeily</w:t>
            </w:r>
            <w:proofErr w:type="spellEnd"/>
            <w:r w:rsidRPr="0080424D">
              <w:rPr>
                <w:rFonts w:cstheme="majorBidi"/>
                <w:sz w:val="20"/>
                <w:szCs w:val="20"/>
              </w:rPr>
              <w:t xml:space="preserve"> et al. ,2009)</w:t>
            </w:r>
          </w:p>
        </w:tc>
        <w:tc>
          <w:tcPr>
            <w:tcW w:w="3655" w:type="dxa"/>
            <w:shd w:val="clear" w:color="auto" w:fill="auto"/>
          </w:tcPr>
          <w:p w14:paraId="55486509" w14:textId="77777777" w:rsidR="0075721E" w:rsidRPr="00006993" w:rsidRDefault="0075721E" w:rsidP="007A3DC8">
            <w:pPr>
              <w:spacing w:line="360" w:lineRule="auto"/>
              <w:ind w:right="11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ajorBidi"/>
                <w:sz w:val="20"/>
                <w:szCs w:val="20"/>
              </w:rPr>
            </w:pPr>
            <w:r w:rsidRPr="00006993">
              <w:rPr>
                <w:rFonts w:cstheme="majorBidi"/>
                <w:sz w:val="20"/>
                <w:szCs w:val="20"/>
              </w:rPr>
              <w:t>Not randomised clinical trial ( Cohort )</w:t>
            </w:r>
          </w:p>
        </w:tc>
      </w:tr>
      <w:tr w:rsidR="0075721E" w:rsidRPr="00006993" w14:paraId="057DBBE9" w14:textId="77777777" w:rsidTr="00B302A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54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4EDA9058" w14:textId="77777777" w:rsidR="0075721E" w:rsidRPr="0080424D" w:rsidRDefault="0075721E" w:rsidP="0080424D">
            <w:pPr>
              <w:pStyle w:val="ListParagraph"/>
              <w:numPr>
                <w:ilvl w:val="0"/>
                <w:numId w:val="1"/>
              </w:numPr>
              <w:spacing w:line="360" w:lineRule="auto"/>
              <w:ind w:right="113"/>
              <w:rPr>
                <w:rFonts w:cstheme="majorBidi"/>
                <w:sz w:val="20"/>
                <w:szCs w:val="20"/>
              </w:rPr>
            </w:pPr>
            <w:r w:rsidRPr="0080424D">
              <w:rPr>
                <w:rFonts w:cstheme="majorBidi"/>
                <w:sz w:val="20"/>
                <w:szCs w:val="20"/>
              </w:rPr>
              <w:t>Maxillary canine retraction with self-ligating and conventional brackets: A randomized clinical trial (</w:t>
            </w:r>
            <w:proofErr w:type="spellStart"/>
            <w:r w:rsidRPr="0080424D">
              <w:rPr>
                <w:rFonts w:cstheme="majorBidi"/>
                <w:sz w:val="20"/>
                <w:szCs w:val="20"/>
              </w:rPr>
              <w:t>Mezomo</w:t>
            </w:r>
            <w:proofErr w:type="spellEnd"/>
            <w:r w:rsidRPr="0080424D">
              <w:rPr>
                <w:rFonts w:cstheme="majorBidi"/>
                <w:sz w:val="20"/>
                <w:szCs w:val="20"/>
              </w:rPr>
              <w:t xml:space="preserve"> et al., 2011)</w:t>
            </w:r>
          </w:p>
        </w:tc>
        <w:tc>
          <w:tcPr>
            <w:tcW w:w="3655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31E05085" w14:textId="77777777" w:rsidR="0075721E" w:rsidRPr="00006993" w:rsidRDefault="0075721E" w:rsidP="007A3DC8">
            <w:pPr>
              <w:spacing w:line="360" w:lineRule="auto"/>
              <w:ind w:right="11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ajorBidi"/>
                <w:sz w:val="20"/>
                <w:szCs w:val="20"/>
              </w:rPr>
            </w:pPr>
            <w:r w:rsidRPr="00006993">
              <w:rPr>
                <w:rFonts w:cstheme="majorBidi"/>
                <w:sz w:val="20"/>
                <w:szCs w:val="20"/>
              </w:rPr>
              <w:t xml:space="preserve">Not relevant </w:t>
            </w:r>
          </w:p>
        </w:tc>
      </w:tr>
      <w:tr w:rsidR="0075721E" w:rsidRPr="00006993" w14:paraId="701797F0" w14:textId="77777777" w:rsidTr="0075721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54" w:type="dxa"/>
            <w:shd w:val="clear" w:color="auto" w:fill="auto"/>
          </w:tcPr>
          <w:p w14:paraId="439E98F6" w14:textId="77777777" w:rsidR="0075721E" w:rsidRPr="0080424D" w:rsidRDefault="0075721E" w:rsidP="0080424D">
            <w:pPr>
              <w:pStyle w:val="ListParagraph"/>
              <w:numPr>
                <w:ilvl w:val="0"/>
                <w:numId w:val="1"/>
              </w:numPr>
              <w:spacing w:line="360" w:lineRule="auto"/>
              <w:ind w:right="113"/>
              <w:rPr>
                <w:rFonts w:cstheme="majorBidi"/>
                <w:sz w:val="20"/>
                <w:szCs w:val="20"/>
              </w:rPr>
            </w:pPr>
            <w:r w:rsidRPr="0080424D">
              <w:rPr>
                <w:rFonts w:cstheme="majorBidi"/>
                <w:sz w:val="20"/>
                <w:szCs w:val="20"/>
              </w:rPr>
              <w:t>Mini- and micro-screws for temporary skeletal anchorage in orthodontic therapy. (Berens et al , 2006)</w:t>
            </w:r>
          </w:p>
        </w:tc>
        <w:tc>
          <w:tcPr>
            <w:tcW w:w="3655" w:type="dxa"/>
            <w:shd w:val="clear" w:color="auto" w:fill="auto"/>
          </w:tcPr>
          <w:p w14:paraId="365EDB80" w14:textId="77777777" w:rsidR="0075721E" w:rsidRPr="00006993" w:rsidRDefault="0075721E" w:rsidP="007A3DC8">
            <w:pPr>
              <w:spacing w:line="360" w:lineRule="auto"/>
              <w:ind w:right="11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ajorBidi"/>
                <w:sz w:val="20"/>
                <w:szCs w:val="20"/>
              </w:rPr>
            </w:pPr>
            <w:r w:rsidRPr="00006993">
              <w:rPr>
                <w:rFonts w:cstheme="majorBidi"/>
                <w:sz w:val="20"/>
                <w:szCs w:val="20"/>
              </w:rPr>
              <w:t>Not randomised clinical trial ( Cohort )</w:t>
            </w:r>
          </w:p>
        </w:tc>
      </w:tr>
      <w:tr w:rsidR="0075721E" w:rsidRPr="00006993" w14:paraId="5FFC69A9" w14:textId="77777777" w:rsidTr="0075721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54" w:type="dxa"/>
            <w:shd w:val="clear" w:color="auto" w:fill="auto"/>
          </w:tcPr>
          <w:p w14:paraId="542CB53E" w14:textId="77777777" w:rsidR="0075721E" w:rsidRPr="0080424D" w:rsidRDefault="0075721E" w:rsidP="0080424D">
            <w:pPr>
              <w:pStyle w:val="ListParagraph"/>
              <w:numPr>
                <w:ilvl w:val="0"/>
                <w:numId w:val="1"/>
              </w:numPr>
              <w:spacing w:line="360" w:lineRule="auto"/>
              <w:ind w:right="113"/>
              <w:rPr>
                <w:rFonts w:cstheme="majorBidi"/>
                <w:sz w:val="20"/>
                <w:szCs w:val="20"/>
              </w:rPr>
            </w:pPr>
            <w:r w:rsidRPr="0080424D">
              <w:rPr>
                <w:rFonts w:cstheme="majorBidi"/>
                <w:sz w:val="20"/>
                <w:szCs w:val="20"/>
              </w:rPr>
              <w:t xml:space="preserve">Mini-implant anchorage for </w:t>
            </w:r>
            <w:proofErr w:type="spellStart"/>
            <w:r w:rsidRPr="0080424D">
              <w:rPr>
                <w:rFonts w:cstheme="majorBidi"/>
                <w:sz w:val="20"/>
                <w:szCs w:val="20"/>
              </w:rPr>
              <w:t>enmasse</w:t>
            </w:r>
            <w:proofErr w:type="spellEnd"/>
            <w:r w:rsidRPr="0080424D">
              <w:rPr>
                <w:rFonts w:cstheme="majorBidi"/>
                <w:sz w:val="20"/>
                <w:szCs w:val="20"/>
              </w:rPr>
              <w:t xml:space="preserve"> retraction of maxillary anterior teeth: a clinical cephalometric study. (Upadhyay et al. ,  2008) </w:t>
            </w:r>
          </w:p>
        </w:tc>
        <w:tc>
          <w:tcPr>
            <w:tcW w:w="3655" w:type="dxa"/>
            <w:shd w:val="clear" w:color="auto" w:fill="auto"/>
          </w:tcPr>
          <w:p w14:paraId="5231EA75" w14:textId="77777777" w:rsidR="0075721E" w:rsidRPr="00006993" w:rsidRDefault="0075721E" w:rsidP="007A3DC8">
            <w:pPr>
              <w:spacing w:line="360" w:lineRule="auto"/>
              <w:ind w:right="11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ajorBidi"/>
                <w:sz w:val="20"/>
                <w:szCs w:val="20"/>
              </w:rPr>
            </w:pPr>
            <w:r w:rsidRPr="00006993">
              <w:rPr>
                <w:rFonts w:cstheme="majorBidi"/>
                <w:sz w:val="20"/>
                <w:szCs w:val="20"/>
              </w:rPr>
              <w:t>Not randomised clinical trial ( Cohort )</w:t>
            </w:r>
          </w:p>
        </w:tc>
      </w:tr>
      <w:tr w:rsidR="0075721E" w:rsidRPr="00006993" w14:paraId="23322FB8" w14:textId="77777777" w:rsidTr="00B302A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54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716E6C75" w14:textId="77777777" w:rsidR="0075721E" w:rsidRPr="0080424D" w:rsidRDefault="0075721E" w:rsidP="0080424D">
            <w:pPr>
              <w:pStyle w:val="ListParagraph"/>
              <w:numPr>
                <w:ilvl w:val="0"/>
                <w:numId w:val="1"/>
              </w:numPr>
              <w:spacing w:line="360" w:lineRule="auto"/>
              <w:ind w:right="113"/>
              <w:rPr>
                <w:rFonts w:cstheme="majorBidi"/>
                <w:sz w:val="20"/>
                <w:szCs w:val="20"/>
              </w:rPr>
            </w:pPr>
            <w:r w:rsidRPr="0080424D">
              <w:rPr>
                <w:rFonts w:cstheme="majorBidi"/>
                <w:sz w:val="20"/>
                <w:szCs w:val="20"/>
              </w:rPr>
              <w:t>Mini-implant anchorage for maxillary canine retraction: a pilot study. (Herman et al. , 2006)</w:t>
            </w:r>
          </w:p>
        </w:tc>
        <w:tc>
          <w:tcPr>
            <w:tcW w:w="3655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3443AC35" w14:textId="77777777" w:rsidR="0075721E" w:rsidRPr="00006993" w:rsidRDefault="0075721E" w:rsidP="007A3DC8">
            <w:pPr>
              <w:spacing w:line="360" w:lineRule="auto"/>
              <w:ind w:right="11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ajorBidi"/>
                <w:sz w:val="20"/>
                <w:szCs w:val="20"/>
              </w:rPr>
            </w:pPr>
            <w:r w:rsidRPr="00006993">
              <w:rPr>
                <w:rFonts w:cstheme="majorBidi"/>
                <w:sz w:val="20"/>
                <w:szCs w:val="20"/>
              </w:rPr>
              <w:t>Not randomised clinical trial ( Cohort )</w:t>
            </w:r>
          </w:p>
        </w:tc>
      </w:tr>
      <w:tr w:rsidR="0075721E" w:rsidRPr="00006993" w14:paraId="31F4862B" w14:textId="77777777" w:rsidTr="00B302A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54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575D5DBD" w14:textId="77777777" w:rsidR="0075721E" w:rsidRPr="0080424D" w:rsidRDefault="0075721E" w:rsidP="0080424D">
            <w:pPr>
              <w:pStyle w:val="ListParagraph"/>
              <w:numPr>
                <w:ilvl w:val="0"/>
                <w:numId w:val="1"/>
              </w:numPr>
              <w:spacing w:line="360" w:lineRule="auto"/>
              <w:ind w:right="113"/>
              <w:rPr>
                <w:rFonts w:cstheme="majorBidi"/>
                <w:sz w:val="20"/>
                <w:szCs w:val="20"/>
              </w:rPr>
            </w:pPr>
            <w:r w:rsidRPr="0080424D">
              <w:rPr>
                <w:rFonts w:cstheme="majorBidi"/>
                <w:sz w:val="20"/>
                <w:szCs w:val="20"/>
              </w:rPr>
              <w:t>Mini-implants vs fixed functional appliances for treatment of</w:t>
            </w:r>
          </w:p>
          <w:p w14:paraId="33E208D5" w14:textId="77777777" w:rsidR="0075721E" w:rsidRPr="0080424D" w:rsidRDefault="0075721E" w:rsidP="0080424D">
            <w:pPr>
              <w:pStyle w:val="ListParagraph"/>
              <w:numPr>
                <w:ilvl w:val="0"/>
                <w:numId w:val="1"/>
              </w:numPr>
              <w:spacing w:line="360" w:lineRule="auto"/>
              <w:ind w:right="113"/>
              <w:rPr>
                <w:rFonts w:cstheme="majorBidi"/>
                <w:sz w:val="20"/>
                <w:szCs w:val="20"/>
              </w:rPr>
            </w:pPr>
            <w:r w:rsidRPr="0080424D">
              <w:rPr>
                <w:rFonts w:cstheme="majorBidi"/>
                <w:sz w:val="20"/>
                <w:szCs w:val="20"/>
              </w:rPr>
              <w:t>young adult Class II female patients: a prospective clinical trial. (Upadhyay et al., 2012)</w:t>
            </w:r>
          </w:p>
        </w:tc>
        <w:tc>
          <w:tcPr>
            <w:tcW w:w="3655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01799FCF" w14:textId="77777777" w:rsidR="0075721E" w:rsidRPr="00006993" w:rsidRDefault="0075721E" w:rsidP="007A3DC8">
            <w:pPr>
              <w:spacing w:line="360" w:lineRule="auto"/>
              <w:ind w:right="11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ajorBidi"/>
                <w:sz w:val="20"/>
                <w:szCs w:val="20"/>
              </w:rPr>
            </w:pPr>
            <w:r w:rsidRPr="00006993">
              <w:rPr>
                <w:rFonts w:cstheme="majorBidi"/>
                <w:sz w:val="20"/>
                <w:szCs w:val="20"/>
              </w:rPr>
              <w:t>Not randomised clinical trial (Cohort)</w:t>
            </w:r>
          </w:p>
        </w:tc>
      </w:tr>
      <w:tr w:rsidR="0075721E" w:rsidRPr="00006993" w14:paraId="2B9EE684" w14:textId="77777777" w:rsidTr="0075721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54" w:type="dxa"/>
            <w:shd w:val="clear" w:color="auto" w:fill="auto"/>
          </w:tcPr>
          <w:p w14:paraId="0CCBDB6B" w14:textId="77777777" w:rsidR="0075721E" w:rsidRPr="0080424D" w:rsidRDefault="0075721E" w:rsidP="0080424D">
            <w:pPr>
              <w:pStyle w:val="ListParagraph"/>
              <w:numPr>
                <w:ilvl w:val="0"/>
                <w:numId w:val="1"/>
              </w:numPr>
              <w:spacing w:line="360" w:lineRule="auto"/>
              <w:ind w:right="113"/>
              <w:rPr>
                <w:rFonts w:cstheme="majorBidi"/>
                <w:sz w:val="20"/>
                <w:szCs w:val="20"/>
              </w:rPr>
            </w:pPr>
            <w:r w:rsidRPr="0080424D">
              <w:rPr>
                <w:rFonts w:cstheme="majorBidi"/>
                <w:sz w:val="20"/>
                <w:szCs w:val="20"/>
              </w:rPr>
              <w:t>Reinforcement of anchorage during orthodontic brace treatment with implants or other surgical methods(Jambi et al., 2014)</w:t>
            </w:r>
          </w:p>
        </w:tc>
        <w:tc>
          <w:tcPr>
            <w:tcW w:w="3655" w:type="dxa"/>
            <w:shd w:val="clear" w:color="auto" w:fill="auto"/>
          </w:tcPr>
          <w:p w14:paraId="03AD54E7" w14:textId="77777777" w:rsidR="0075721E" w:rsidRPr="00006993" w:rsidRDefault="0075721E" w:rsidP="007A3DC8">
            <w:pPr>
              <w:spacing w:line="360" w:lineRule="auto"/>
              <w:ind w:right="11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ajorBidi"/>
                <w:sz w:val="20"/>
                <w:szCs w:val="20"/>
              </w:rPr>
            </w:pPr>
            <w:r w:rsidRPr="00006993">
              <w:rPr>
                <w:rFonts w:cstheme="majorBidi"/>
                <w:sz w:val="20"/>
                <w:szCs w:val="20"/>
              </w:rPr>
              <w:t xml:space="preserve">Cochrane review </w:t>
            </w:r>
          </w:p>
        </w:tc>
      </w:tr>
      <w:tr w:rsidR="0075721E" w:rsidRPr="00006993" w14:paraId="16DAE4E8" w14:textId="77777777" w:rsidTr="00B302A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54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09FE27D1" w14:textId="77777777" w:rsidR="0075721E" w:rsidRPr="0080424D" w:rsidRDefault="0075721E" w:rsidP="0080424D">
            <w:pPr>
              <w:pStyle w:val="ListParagraph"/>
              <w:numPr>
                <w:ilvl w:val="0"/>
                <w:numId w:val="1"/>
              </w:numPr>
              <w:spacing w:line="360" w:lineRule="auto"/>
              <w:ind w:right="113"/>
              <w:rPr>
                <w:rFonts w:cstheme="majorBidi"/>
                <w:sz w:val="20"/>
                <w:szCs w:val="20"/>
              </w:rPr>
            </w:pPr>
            <w:r w:rsidRPr="0080424D">
              <w:rPr>
                <w:rFonts w:cstheme="majorBidi"/>
                <w:sz w:val="20"/>
                <w:szCs w:val="20"/>
              </w:rPr>
              <w:t>Success rate of mini- and micro-implants used for orthodontic anchorage: a prospective clinical study (</w:t>
            </w:r>
            <w:proofErr w:type="spellStart"/>
            <w:r w:rsidRPr="0080424D">
              <w:rPr>
                <w:rFonts w:cstheme="majorBidi"/>
                <w:sz w:val="20"/>
                <w:szCs w:val="20"/>
              </w:rPr>
              <w:t>Wiechmann</w:t>
            </w:r>
            <w:proofErr w:type="spellEnd"/>
            <w:r w:rsidRPr="0080424D">
              <w:rPr>
                <w:rFonts w:cstheme="majorBidi"/>
                <w:sz w:val="20"/>
                <w:szCs w:val="20"/>
              </w:rPr>
              <w:t xml:space="preserve"> et al , 2007)</w:t>
            </w:r>
          </w:p>
        </w:tc>
        <w:tc>
          <w:tcPr>
            <w:tcW w:w="3655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764A2E30" w14:textId="77777777" w:rsidR="0075721E" w:rsidRPr="00006993" w:rsidRDefault="0075721E" w:rsidP="007A3DC8">
            <w:pPr>
              <w:spacing w:line="360" w:lineRule="auto"/>
              <w:ind w:right="11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ajorBidi"/>
                <w:sz w:val="20"/>
                <w:szCs w:val="20"/>
              </w:rPr>
            </w:pPr>
            <w:r w:rsidRPr="00006993">
              <w:rPr>
                <w:rFonts w:cstheme="majorBidi"/>
                <w:sz w:val="20"/>
                <w:szCs w:val="20"/>
              </w:rPr>
              <w:t>Not randomised clinical trial ( Cohort )</w:t>
            </w:r>
          </w:p>
        </w:tc>
      </w:tr>
      <w:tr w:rsidR="0075721E" w:rsidRPr="00006993" w14:paraId="56A0113D" w14:textId="77777777" w:rsidTr="0075721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54" w:type="dxa"/>
            <w:shd w:val="clear" w:color="auto" w:fill="auto"/>
          </w:tcPr>
          <w:p w14:paraId="668C6515" w14:textId="77777777" w:rsidR="0075721E" w:rsidRPr="0080424D" w:rsidRDefault="0075721E" w:rsidP="0080424D">
            <w:pPr>
              <w:pStyle w:val="ListParagraph"/>
              <w:numPr>
                <w:ilvl w:val="0"/>
                <w:numId w:val="1"/>
              </w:numPr>
              <w:spacing w:line="360" w:lineRule="auto"/>
              <w:ind w:right="113"/>
              <w:rPr>
                <w:rFonts w:cstheme="majorBidi"/>
                <w:sz w:val="20"/>
                <w:szCs w:val="20"/>
              </w:rPr>
            </w:pPr>
            <w:r w:rsidRPr="0080424D">
              <w:rPr>
                <w:rFonts w:cstheme="majorBidi"/>
                <w:sz w:val="20"/>
                <w:szCs w:val="20"/>
              </w:rPr>
              <w:t xml:space="preserve">The effect of drill-free and drilling methods on the stability of mini-implants under early orthodontic loading in adolescent patients ( </w:t>
            </w:r>
            <w:proofErr w:type="spellStart"/>
            <w:r w:rsidRPr="0080424D">
              <w:rPr>
                <w:rFonts w:cstheme="majorBidi"/>
                <w:sz w:val="20"/>
                <w:szCs w:val="20"/>
              </w:rPr>
              <w:t>Turzkoz</w:t>
            </w:r>
            <w:proofErr w:type="spellEnd"/>
            <w:r w:rsidRPr="0080424D">
              <w:rPr>
                <w:rFonts w:cstheme="majorBidi"/>
                <w:sz w:val="20"/>
                <w:szCs w:val="20"/>
              </w:rPr>
              <w:t xml:space="preserve"> et al., 2011)</w:t>
            </w:r>
          </w:p>
        </w:tc>
        <w:tc>
          <w:tcPr>
            <w:tcW w:w="3655" w:type="dxa"/>
            <w:shd w:val="clear" w:color="auto" w:fill="auto"/>
          </w:tcPr>
          <w:p w14:paraId="330EB770" w14:textId="77777777" w:rsidR="0075721E" w:rsidRPr="00006993" w:rsidRDefault="0075721E" w:rsidP="007A3DC8">
            <w:pPr>
              <w:spacing w:line="360" w:lineRule="auto"/>
              <w:ind w:right="11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ajorBidi"/>
                <w:sz w:val="20"/>
                <w:szCs w:val="20"/>
              </w:rPr>
            </w:pPr>
            <w:r w:rsidRPr="00006993">
              <w:rPr>
                <w:rFonts w:cstheme="majorBidi"/>
                <w:sz w:val="20"/>
                <w:szCs w:val="20"/>
              </w:rPr>
              <w:t>Comparison was performed between two placement techniques of miniscrews. Intervention do not include a type of conventional anchorage.</w:t>
            </w:r>
          </w:p>
        </w:tc>
      </w:tr>
      <w:bookmarkEnd w:id="1"/>
    </w:tbl>
    <w:p w14:paraId="4E85A6F0" w14:textId="77777777" w:rsidR="00F3601D" w:rsidRDefault="00F3601D" w:rsidP="00F3601D">
      <w:pPr>
        <w:spacing w:after="160"/>
        <w:rPr>
          <w:rFonts w:cstheme="majorBidi"/>
          <w:szCs w:val="24"/>
        </w:rPr>
      </w:pPr>
    </w:p>
    <w:p w14:paraId="7862349A" w14:textId="77777777" w:rsidR="00A256B3" w:rsidRDefault="00A256B3"/>
    <w:sectPr w:rsidR="00A256B3" w:rsidSect="005F22E9"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8D350DB"/>
    <w:multiLevelType w:val="hybridMultilevel"/>
    <w:tmpl w:val="3286926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601D"/>
    <w:rsid w:val="00007D29"/>
    <w:rsid w:val="00022911"/>
    <w:rsid w:val="00040712"/>
    <w:rsid w:val="00045027"/>
    <w:rsid w:val="000B03C1"/>
    <w:rsid w:val="000B59E5"/>
    <w:rsid w:val="000D61CE"/>
    <w:rsid w:val="000E1597"/>
    <w:rsid w:val="001665BA"/>
    <w:rsid w:val="0017122F"/>
    <w:rsid w:val="0017189C"/>
    <w:rsid w:val="001737C4"/>
    <w:rsid w:val="00182657"/>
    <w:rsid w:val="001A29B2"/>
    <w:rsid w:val="001A4A79"/>
    <w:rsid w:val="001A7B27"/>
    <w:rsid w:val="001B01AE"/>
    <w:rsid w:val="001B0C8C"/>
    <w:rsid w:val="001E74A6"/>
    <w:rsid w:val="001E75B5"/>
    <w:rsid w:val="0022090F"/>
    <w:rsid w:val="00231A79"/>
    <w:rsid w:val="002372CF"/>
    <w:rsid w:val="00241887"/>
    <w:rsid w:val="002459E9"/>
    <w:rsid w:val="00251CE0"/>
    <w:rsid w:val="00253EB8"/>
    <w:rsid w:val="00257BDF"/>
    <w:rsid w:val="00280F56"/>
    <w:rsid w:val="002A011D"/>
    <w:rsid w:val="002A0E16"/>
    <w:rsid w:val="002E5A1B"/>
    <w:rsid w:val="00347833"/>
    <w:rsid w:val="00376B2E"/>
    <w:rsid w:val="003A7A09"/>
    <w:rsid w:val="003A7D1A"/>
    <w:rsid w:val="003C5789"/>
    <w:rsid w:val="003D6481"/>
    <w:rsid w:val="00406800"/>
    <w:rsid w:val="00433EA3"/>
    <w:rsid w:val="0043750C"/>
    <w:rsid w:val="00450116"/>
    <w:rsid w:val="00452880"/>
    <w:rsid w:val="0045734C"/>
    <w:rsid w:val="004913FD"/>
    <w:rsid w:val="004A1686"/>
    <w:rsid w:val="004B0AEF"/>
    <w:rsid w:val="004B3A37"/>
    <w:rsid w:val="004D79D4"/>
    <w:rsid w:val="004E22A9"/>
    <w:rsid w:val="00546A2B"/>
    <w:rsid w:val="00557348"/>
    <w:rsid w:val="00560388"/>
    <w:rsid w:val="005A453B"/>
    <w:rsid w:val="005D43B1"/>
    <w:rsid w:val="005F22E9"/>
    <w:rsid w:val="00601315"/>
    <w:rsid w:val="00604C93"/>
    <w:rsid w:val="00616FCC"/>
    <w:rsid w:val="00626AAA"/>
    <w:rsid w:val="006346E0"/>
    <w:rsid w:val="0063696A"/>
    <w:rsid w:val="00636E61"/>
    <w:rsid w:val="0065576A"/>
    <w:rsid w:val="00680F0E"/>
    <w:rsid w:val="006B1E3A"/>
    <w:rsid w:val="006D2449"/>
    <w:rsid w:val="006E67BF"/>
    <w:rsid w:val="00713C98"/>
    <w:rsid w:val="0071766B"/>
    <w:rsid w:val="00724435"/>
    <w:rsid w:val="0075721E"/>
    <w:rsid w:val="0076357F"/>
    <w:rsid w:val="00780983"/>
    <w:rsid w:val="007951ED"/>
    <w:rsid w:val="007972A9"/>
    <w:rsid w:val="007A25B0"/>
    <w:rsid w:val="007A6DF2"/>
    <w:rsid w:val="007B7FF2"/>
    <w:rsid w:val="007D71B4"/>
    <w:rsid w:val="007F11AE"/>
    <w:rsid w:val="0080424D"/>
    <w:rsid w:val="008248BA"/>
    <w:rsid w:val="00844716"/>
    <w:rsid w:val="00850644"/>
    <w:rsid w:val="00852C58"/>
    <w:rsid w:val="00854188"/>
    <w:rsid w:val="00877B9B"/>
    <w:rsid w:val="00894DB5"/>
    <w:rsid w:val="008B366B"/>
    <w:rsid w:val="008B62B4"/>
    <w:rsid w:val="008C5AD9"/>
    <w:rsid w:val="008D0D79"/>
    <w:rsid w:val="008E7655"/>
    <w:rsid w:val="00900C72"/>
    <w:rsid w:val="00965A77"/>
    <w:rsid w:val="00966401"/>
    <w:rsid w:val="00973B05"/>
    <w:rsid w:val="009813F6"/>
    <w:rsid w:val="009A060A"/>
    <w:rsid w:val="009A294C"/>
    <w:rsid w:val="009A2F0C"/>
    <w:rsid w:val="009B4423"/>
    <w:rsid w:val="009D744E"/>
    <w:rsid w:val="00A178A0"/>
    <w:rsid w:val="00A256B3"/>
    <w:rsid w:val="00A26FB8"/>
    <w:rsid w:val="00A56244"/>
    <w:rsid w:val="00A82FB2"/>
    <w:rsid w:val="00A934DA"/>
    <w:rsid w:val="00AA039C"/>
    <w:rsid w:val="00AD0D3D"/>
    <w:rsid w:val="00AD52D0"/>
    <w:rsid w:val="00B0248C"/>
    <w:rsid w:val="00B04B67"/>
    <w:rsid w:val="00B07598"/>
    <w:rsid w:val="00B27E52"/>
    <w:rsid w:val="00B302AE"/>
    <w:rsid w:val="00B30D0B"/>
    <w:rsid w:val="00B66FB4"/>
    <w:rsid w:val="00B70257"/>
    <w:rsid w:val="00B9655C"/>
    <w:rsid w:val="00BA7029"/>
    <w:rsid w:val="00BB0185"/>
    <w:rsid w:val="00C2609B"/>
    <w:rsid w:val="00C334DD"/>
    <w:rsid w:val="00C6361C"/>
    <w:rsid w:val="00C7511D"/>
    <w:rsid w:val="00C86AA2"/>
    <w:rsid w:val="00CC3DE0"/>
    <w:rsid w:val="00CE70E4"/>
    <w:rsid w:val="00CF207A"/>
    <w:rsid w:val="00D01061"/>
    <w:rsid w:val="00D013A1"/>
    <w:rsid w:val="00D04F7E"/>
    <w:rsid w:val="00D461B3"/>
    <w:rsid w:val="00D81E26"/>
    <w:rsid w:val="00D91751"/>
    <w:rsid w:val="00DA58BD"/>
    <w:rsid w:val="00DB696C"/>
    <w:rsid w:val="00DC0602"/>
    <w:rsid w:val="00DF2F89"/>
    <w:rsid w:val="00E10180"/>
    <w:rsid w:val="00E24D45"/>
    <w:rsid w:val="00E33A35"/>
    <w:rsid w:val="00E42B5D"/>
    <w:rsid w:val="00E860E6"/>
    <w:rsid w:val="00EA24B2"/>
    <w:rsid w:val="00EA5D7C"/>
    <w:rsid w:val="00EB72B5"/>
    <w:rsid w:val="00ED228B"/>
    <w:rsid w:val="00ED74BA"/>
    <w:rsid w:val="00EF1DC3"/>
    <w:rsid w:val="00F05680"/>
    <w:rsid w:val="00F06443"/>
    <w:rsid w:val="00F3601D"/>
    <w:rsid w:val="00F424DE"/>
    <w:rsid w:val="00F42976"/>
    <w:rsid w:val="00F77764"/>
    <w:rsid w:val="00FB14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4EB4DC1F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F3601D"/>
    <w:pPr>
      <w:spacing w:line="259" w:lineRule="auto"/>
    </w:pPr>
    <w:rPr>
      <w:rFonts w:asciiTheme="majorBidi" w:hAnsiTheme="majorBidi"/>
      <w:color w:val="000000" w:themeColor="text1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uiPriority w:val="35"/>
    <w:unhideWhenUsed/>
    <w:qFormat/>
    <w:rsid w:val="00F3601D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styleId="GridTable4-Accent2">
    <w:name w:val="Grid Table 4 Accent 2"/>
    <w:basedOn w:val="TableNormal"/>
    <w:uiPriority w:val="49"/>
    <w:rsid w:val="00F3601D"/>
    <w:rPr>
      <w:sz w:val="22"/>
      <w:szCs w:val="22"/>
    </w:rPr>
    <w:tblPr>
      <w:tblStyleRowBandSize w:val="1"/>
      <w:tblStyleColBandSize w:val="1"/>
      <w:tblInd w:w="0" w:type="dxa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paragraph" w:styleId="ListParagraph">
    <w:name w:val="List Paragraph"/>
    <w:basedOn w:val="Normal"/>
    <w:uiPriority w:val="34"/>
    <w:qFormat/>
    <w:rsid w:val="0075721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715</Words>
  <Characters>4079</Characters>
  <Application>Microsoft Macintosh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4785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 Mohammed ALMUZIAN</dc:creator>
  <cp:keywords/>
  <dc:description/>
  <cp:lastModifiedBy>Dr. Mohammed ALMUZIAN</cp:lastModifiedBy>
  <cp:revision>6</cp:revision>
  <dcterms:created xsi:type="dcterms:W3CDTF">2017-07-07T02:53:00Z</dcterms:created>
  <dcterms:modified xsi:type="dcterms:W3CDTF">2018-03-17T17:43:00Z</dcterms:modified>
</cp:coreProperties>
</file>