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normal21"/>
        <w:tblpPr w:leftFromText="141" w:rightFromText="141" w:vertAnchor="text" w:horzAnchor="margin" w:tblpY="-1700"/>
        <w:tblW w:w="0" w:type="auto"/>
        <w:tblLook w:val="04A0" w:firstRow="1" w:lastRow="0" w:firstColumn="1" w:lastColumn="0" w:noHBand="0" w:noVBand="1"/>
      </w:tblPr>
      <w:tblGrid>
        <w:gridCol w:w="858"/>
        <w:gridCol w:w="4831"/>
        <w:gridCol w:w="2815"/>
      </w:tblGrid>
      <w:tr w:rsidR="00FB6406" w:rsidRPr="00F66533" w:rsidTr="00F66D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674" w:type="dxa"/>
            <w:gridSpan w:val="3"/>
            <w:tcBorders>
              <w:top w:val="nil"/>
              <w:bottom w:val="single" w:sz="4" w:space="0" w:color="auto"/>
            </w:tcBorders>
            <w:noWrap/>
          </w:tcPr>
          <w:p w:rsidR="00FB6406" w:rsidRDefault="00FB6406" w:rsidP="00F66D6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B6406" w:rsidRDefault="00FB6406" w:rsidP="00F66D6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B6406" w:rsidRDefault="00F66533" w:rsidP="00F66D6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Supplementary material</w:t>
            </w:r>
            <w:bookmarkStart w:id="0" w:name="_GoBack"/>
            <w:bookmarkEnd w:id="0"/>
          </w:p>
          <w:p w:rsidR="00F66533" w:rsidRDefault="00F66533" w:rsidP="00F66D6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B6406" w:rsidRDefault="00FB6406" w:rsidP="00F66D6E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z w:val="18"/>
                <w:szCs w:val="18"/>
                <w:lang w:val="en-GB"/>
              </w:rPr>
              <w:t>Table</w:t>
            </w:r>
            <w:r w:rsidR="00F66533">
              <w:rPr>
                <w:rFonts w:ascii="Arial" w:hAnsi="Arial" w:cs="Arial"/>
                <w:sz w:val="18"/>
                <w:szCs w:val="18"/>
                <w:lang w:val="en-GB"/>
              </w:rPr>
              <w:t xml:space="preserve"> A</w:t>
            </w:r>
            <w:r w:rsidRPr="00DE6FD8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DE6FD8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Quality assessment criteria for cohort study through Newcastle-Ottawa Scale for cohort studies</w:t>
            </w:r>
          </w:p>
          <w:p w:rsidR="00FB6406" w:rsidRPr="00BE6733" w:rsidRDefault="00FB6406" w:rsidP="00F66D6E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top w:val="single" w:sz="4" w:space="0" w:color="auto"/>
            </w:tcBorders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tcBorders>
              <w:top w:val="single" w:sz="4" w:space="0" w:color="auto"/>
            </w:tcBorders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194" w:type="dxa"/>
            <w:tcBorders>
              <w:top w:val="single" w:sz="4" w:space="0" w:color="auto"/>
            </w:tcBorders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Cohort </w:t>
            </w: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4194" w:type="dxa"/>
            <w:noWrap/>
            <w:hideMark/>
          </w:tcPr>
          <w:p w:rsidR="00FB6406" w:rsidRPr="00F66533" w:rsidRDefault="008A5171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Lin et al. (2018)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20</w:t>
            </w: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Selection</w:t>
            </w: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1. Representativeness of the exposed cohort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Truly representative of the average ________ (describe) in the community*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Somewhat representative of the average ________ in the community*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(c) Selected group of users, for example, nurses, volunteers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(d) No description of the derivation of the cohort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2. Selection of non-exposed cohort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Drawn from the same community as the exposed cohort*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Drawn from a different source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(c) No description of the derivation of non-exposed cohort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3. Ascertainment of exposure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Secure record (e.g., clinical records)*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Structured interview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(c) Written self-report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(d) No description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4. Demonstration that outcome of interest was not present at the start of the study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Yes*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No b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0" w:type="dxa"/>
            <w:gridSpan w:val="2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Comparability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1. Comparability of cohorts on the basis of the design or analysis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Study controls for age*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Study controls for any additional factor*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b*</w:t>
            </w: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Outcome</w:t>
            </w: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1. Assessment of outcome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Independent blind assessment*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Record linkage*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(c) Self report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(d) No description b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2. Was follow-up long enough for outcomes to occur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Yes (at least 5-year follow-up)*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(b) No 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3. Adequacy of follow-up of cohorts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Complete follow-up – all subjects accounted for*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Subjects lost to follow-up unlikely to introduce bias – small number lost &lt;20%*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b*</w:t>
            </w: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(c) Follow-up rate &lt;80% and no description of those lost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00" w:type="dxa"/>
            <w:tcBorders>
              <w:bottom w:val="single" w:sz="4" w:space="0" w:color="7F7F7F" w:themeColor="text1" w:themeTint="80"/>
            </w:tcBorders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280" w:type="dxa"/>
            <w:tcBorders>
              <w:bottom w:val="single" w:sz="4" w:space="0" w:color="7F7F7F" w:themeColor="text1" w:themeTint="80"/>
            </w:tcBorders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(d) No statement </w:t>
            </w:r>
          </w:p>
        </w:tc>
        <w:tc>
          <w:tcPr>
            <w:tcW w:w="4194" w:type="dxa"/>
            <w:tcBorders>
              <w:bottom w:val="single" w:sz="4" w:space="0" w:color="7F7F7F" w:themeColor="text1" w:themeTint="80"/>
            </w:tcBorders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B6406" w:rsidRPr="00F665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0" w:type="dxa"/>
            <w:gridSpan w:val="2"/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Summary score (risk of bias) </w:t>
            </w:r>
          </w:p>
        </w:tc>
        <w:tc>
          <w:tcPr>
            <w:tcW w:w="4194" w:type="dxa"/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9/9</w:t>
            </w:r>
          </w:p>
        </w:tc>
      </w:tr>
      <w:tr w:rsidR="00FB6406" w:rsidRPr="00F66533" w:rsidTr="00F66D6E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0" w:type="dxa"/>
            <w:gridSpan w:val="2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FB6406" w:rsidRPr="00F66533" w:rsidRDefault="00FB6406" w:rsidP="00F66D6E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Final quality assessment</w:t>
            </w:r>
          </w:p>
        </w:tc>
        <w:tc>
          <w:tcPr>
            <w:tcW w:w="4194" w:type="dxa"/>
            <w:tcBorders>
              <w:top w:val="single" w:sz="4" w:space="0" w:color="7F7F7F" w:themeColor="text1" w:themeTint="80"/>
              <w:bottom w:val="single" w:sz="4" w:space="0" w:color="auto"/>
            </w:tcBorders>
            <w:noWrap/>
            <w:hideMark/>
          </w:tcPr>
          <w:p w:rsidR="00FB6406" w:rsidRPr="00F66533" w:rsidRDefault="00FB6406" w:rsidP="00F66D6E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High quality</w:t>
            </w:r>
          </w:p>
        </w:tc>
      </w:tr>
      <w:tr w:rsidR="00FB6406" w:rsidRPr="00BE6733" w:rsidTr="00F66D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80" w:type="dxa"/>
            <w:gridSpan w:val="2"/>
            <w:tcBorders>
              <w:top w:val="single" w:sz="4" w:space="0" w:color="auto"/>
              <w:bottom w:val="nil"/>
            </w:tcBorders>
            <w:noWrap/>
          </w:tcPr>
          <w:p w:rsidR="00FB6406" w:rsidRDefault="00FB6406" w:rsidP="00F66D6E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  <w:p w:rsidR="00FB6406" w:rsidRPr="00DE6FD8" w:rsidRDefault="00FB6406" w:rsidP="00F66D6E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DE6FD8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* Point/star.</w:t>
            </w:r>
          </w:p>
        </w:tc>
        <w:tc>
          <w:tcPr>
            <w:tcW w:w="4194" w:type="dxa"/>
            <w:tcBorders>
              <w:top w:val="single" w:sz="4" w:space="0" w:color="auto"/>
              <w:bottom w:val="nil"/>
            </w:tcBorders>
            <w:noWrap/>
          </w:tcPr>
          <w:p w:rsidR="00FB6406" w:rsidRPr="00BE6733" w:rsidRDefault="00FB6406" w:rsidP="00F66D6E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</w:tbl>
    <w:p w:rsidR="00FB6406" w:rsidRDefault="00FB6406" w:rsidP="00FB6406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tbl>
      <w:tblPr>
        <w:tblStyle w:val="Tablanormal23"/>
        <w:tblpPr w:leftFromText="141" w:rightFromText="141" w:vertAnchor="text" w:horzAnchor="margin" w:tblpY="-1700"/>
        <w:tblW w:w="0" w:type="auto"/>
        <w:tblLook w:val="04A0" w:firstRow="1" w:lastRow="0" w:firstColumn="1" w:lastColumn="0" w:noHBand="0" w:noVBand="1"/>
      </w:tblPr>
      <w:tblGrid>
        <w:gridCol w:w="645"/>
        <w:gridCol w:w="1608"/>
        <w:gridCol w:w="751"/>
        <w:gridCol w:w="878"/>
        <w:gridCol w:w="751"/>
        <w:gridCol w:w="760"/>
        <w:gridCol w:w="682"/>
        <w:gridCol w:w="927"/>
        <w:gridCol w:w="751"/>
        <w:gridCol w:w="751"/>
      </w:tblGrid>
      <w:tr w:rsidR="00F66533" w:rsidRPr="00F66533" w:rsidTr="007C182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10"/>
            <w:tcBorders>
              <w:top w:val="nil"/>
              <w:bottom w:val="single" w:sz="4" w:space="0" w:color="auto"/>
            </w:tcBorders>
            <w:noWrap/>
          </w:tcPr>
          <w:p w:rsidR="00F66533" w:rsidRDefault="00F66533" w:rsidP="00F66533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66533" w:rsidRDefault="00F66533" w:rsidP="00F66533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66533" w:rsidRDefault="00F66533" w:rsidP="00F66533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  <w:r w:rsidRPr="00F66533">
              <w:rPr>
                <w:rFonts w:ascii="Arial" w:hAnsi="Arial" w:cs="Arial"/>
                <w:sz w:val="18"/>
                <w:szCs w:val="18"/>
                <w:lang w:val="en-GB"/>
              </w:rPr>
              <w:t>Table</w:t>
            </w:r>
            <w:r>
              <w:rPr>
                <w:rFonts w:ascii="Arial" w:hAnsi="Arial" w:cs="Arial"/>
                <w:sz w:val="18"/>
                <w:szCs w:val="18"/>
                <w:lang w:val="en-GB"/>
              </w:rPr>
              <w:t xml:space="preserve"> B</w:t>
            </w:r>
            <w:r w:rsidRPr="00F66533">
              <w:rPr>
                <w:rFonts w:ascii="Arial" w:hAnsi="Arial" w:cs="Arial"/>
                <w:sz w:val="18"/>
                <w:szCs w:val="18"/>
                <w:lang w:val="en-GB"/>
              </w:rPr>
              <w:t xml:space="preserve">: </w:t>
            </w:r>
            <w:r w:rsidRPr="00F6653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Quality assessment criteria for case–control and cross-sectional studies through Newcastle-Ottawa Scale for case–control studies</w:t>
            </w:r>
          </w:p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tcBorders>
              <w:top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tcBorders>
              <w:top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758" w:type="dxa"/>
            <w:gridSpan w:val="6"/>
            <w:tcBorders>
              <w:top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Case-control</w:t>
            </w:r>
          </w:p>
        </w:tc>
        <w:tc>
          <w:tcPr>
            <w:tcW w:w="2434" w:type="dxa"/>
            <w:gridSpan w:val="2"/>
            <w:tcBorders>
              <w:top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Cross-sectional </w:t>
            </w: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proofErr w:type="spellStart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Zervou</w:t>
            </w:r>
            <w:proofErr w:type="spellEnd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et al. (2004)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19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proofErr w:type="spellStart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Grossner</w:t>
            </w:r>
            <w:proofErr w:type="spellEnd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-Schreiber et al (2006)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20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Brito et al. (2008)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21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proofErr w:type="spellStart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Habashneh</w:t>
            </w:r>
            <w:proofErr w:type="spellEnd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et al. (2012)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22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proofErr w:type="spellStart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Vavricka</w:t>
            </w:r>
            <w:proofErr w:type="spellEnd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et al. (2013)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23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proofErr w:type="spellStart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>Koutsochristou</w:t>
            </w:r>
            <w:proofErr w:type="spellEnd"/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 et al (2015)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24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Schmidt et al. (2018)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25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b/>
                <w:bCs/>
                <w:sz w:val="14"/>
                <w:szCs w:val="14"/>
                <w:lang w:val="en-GB"/>
              </w:rPr>
              <w:t xml:space="preserve">Zhang et al. (2019) </w:t>
            </w:r>
            <w:r w:rsidRPr="00F66533">
              <w:rPr>
                <w:rFonts w:ascii="Arial" w:hAnsi="Arial" w:cs="Arial"/>
                <w:b/>
                <w:bCs/>
                <w:sz w:val="14"/>
                <w:szCs w:val="14"/>
                <w:vertAlign w:val="superscript"/>
                <w:lang w:val="en-GB"/>
              </w:rPr>
              <w:t>26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10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Selection</w:t>
            </w: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1. Is the case definition adequate?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Yes, with independent validation*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Yes, for example, record linkage or based on self-reports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(c) No description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2. Representativeness of the cases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Consecutive or obviously representative series of cases*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Potential for selection biases or not stated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3. Selection of controls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Community controls*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Hospital controls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(c) No description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4. Definition of controls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No history of disease (endpoint)*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No description of source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1. Comparability of cases and controls on the basis of the design or analysis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Study controls for age*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Study controls for any additional factor*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b*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b*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b*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b*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10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Exposure</w:t>
            </w: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1. Ascertainment of exposure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10"/>
            <w:noWrap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Comparability</w:t>
            </w: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Secure record (e.g., clinical records)*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Structured interview where blind to case/control status*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(c) Interview not blinded to case/control status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d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(d) Written self-reported or medical record only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(e) No description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2. Same method of ascertainment for cases and controls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Yes*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No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3. Non-response rate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(a) Same rate for both groups (only for case-control studies)*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a*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(b) Non respondents described (only for cross-sectional studies)*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b*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b*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21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(c) Rate different and no designation 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c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2" w:type="dxa"/>
            <w:gridSpan w:val="2"/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Summary score (risk of bias) 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5/9</w:t>
            </w:r>
          </w:p>
        </w:tc>
        <w:tc>
          <w:tcPr>
            <w:tcW w:w="1455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5/9 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6/9</w:t>
            </w:r>
          </w:p>
        </w:tc>
        <w:tc>
          <w:tcPr>
            <w:tcW w:w="1234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8/9</w:t>
            </w:r>
          </w:p>
        </w:tc>
        <w:tc>
          <w:tcPr>
            <w:tcW w:w="1089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8/9</w:t>
            </w:r>
          </w:p>
        </w:tc>
        <w:tc>
          <w:tcPr>
            <w:tcW w:w="1546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5/9 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5/9</w:t>
            </w:r>
          </w:p>
        </w:tc>
        <w:tc>
          <w:tcPr>
            <w:tcW w:w="1217" w:type="dxa"/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8/9 </w:t>
            </w:r>
          </w:p>
        </w:tc>
      </w:tr>
      <w:tr w:rsidR="00F66533" w:rsidRPr="00F66533" w:rsidTr="007C182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842" w:type="dxa"/>
            <w:gridSpan w:val="2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Final quality assessment 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Intermediate quality</w:t>
            </w:r>
          </w:p>
        </w:tc>
        <w:tc>
          <w:tcPr>
            <w:tcW w:w="1455" w:type="dxa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Intermediate quality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Intermediate quality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High quality</w:t>
            </w:r>
          </w:p>
        </w:tc>
        <w:tc>
          <w:tcPr>
            <w:tcW w:w="1089" w:type="dxa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 xml:space="preserve">High quality </w:t>
            </w:r>
          </w:p>
        </w:tc>
        <w:tc>
          <w:tcPr>
            <w:tcW w:w="1546" w:type="dxa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Intermediate quality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Intermediate quality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noWrap/>
            <w:hideMark/>
          </w:tcPr>
          <w:p w:rsidR="00F66533" w:rsidRPr="00F66533" w:rsidRDefault="00F66533" w:rsidP="00F66533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F66533">
              <w:rPr>
                <w:rFonts w:ascii="Arial" w:hAnsi="Arial" w:cs="Arial"/>
                <w:sz w:val="14"/>
                <w:szCs w:val="14"/>
                <w:lang w:val="en-GB"/>
              </w:rPr>
              <w:t>Intermediate quality</w:t>
            </w:r>
          </w:p>
        </w:tc>
      </w:tr>
      <w:tr w:rsidR="00F66533" w:rsidRPr="00F66533" w:rsidTr="007C1828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034" w:type="dxa"/>
            <w:gridSpan w:val="10"/>
            <w:tcBorders>
              <w:top w:val="single" w:sz="4" w:space="0" w:color="auto"/>
              <w:bottom w:val="nil"/>
            </w:tcBorders>
            <w:noWrap/>
          </w:tcPr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b w:val="0"/>
                <w:sz w:val="18"/>
                <w:szCs w:val="18"/>
                <w:lang w:val="en-GB"/>
              </w:rPr>
            </w:pPr>
          </w:p>
          <w:p w:rsidR="00F66533" w:rsidRPr="00F66533" w:rsidRDefault="00F66533" w:rsidP="00F66533">
            <w:pPr>
              <w:spacing w:line="360" w:lineRule="auto"/>
              <w:rPr>
                <w:rFonts w:ascii="Arial" w:hAnsi="Arial" w:cs="Arial"/>
                <w:sz w:val="18"/>
                <w:szCs w:val="18"/>
                <w:lang w:val="en-GB"/>
              </w:rPr>
            </w:pPr>
            <w:r w:rsidRPr="00F66533">
              <w:rPr>
                <w:rFonts w:ascii="Arial" w:hAnsi="Arial" w:cs="Arial"/>
                <w:b w:val="0"/>
                <w:sz w:val="18"/>
                <w:szCs w:val="18"/>
                <w:lang w:val="en-GB"/>
              </w:rPr>
              <w:t>* Point/star.</w:t>
            </w:r>
          </w:p>
        </w:tc>
      </w:tr>
    </w:tbl>
    <w:p w:rsidR="00F66533" w:rsidRPr="00F66533" w:rsidRDefault="00F66533" w:rsidP="00F66533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F66533" w:rsidRPr="00F66533" w:rsidRDefault="00F66533" w:rsidP="00F66533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F66533" w:rsidRPr="00F66533" w:rsidRDefault="00F66533" w:rsidP="00F66533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F66533" w:rsidRPr="00F66533" w:rsidRDefault="00F66533" w:rsidP="00F66533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F66533" w:rsidRPr="00F66533" w:rsidRDefault="00F66533" w:rsidP="00F66533"/>
    <w:p w:rsidR="00FB6406" w:rsidRDefault="00FB6406" w:rsidP="00FB6406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FB6406" w:rsidRDefault="00FB6406" w:rsidP="00FB6406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FB6406" w:rsidRDefault="00FB6406" w:rsidP="00FB6406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FB6406" w:rsidRDefault="00FB6406" w:rsidP="00FB6406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FB6406" w:rsidRDefault="00FB6406" w:rsidP="00FB6406">
      <w:pPr>
        <w:spacing w:line="360" w:lineRule="auto"/>
        <w:rPr>
          <w:rFonts w:ascii="Arial" w:hAnsi="Arial" w:cs="Arial"/>
          <w:sz w:val="18"/>
          <w:szCs w:val="18"/>
          <w:lang w:val="en-GB"/>
        </w:rPr>
      </w:pPr>
    </w:p>
    <w:p w:rsidR="00763654" w:rsidRDefault="00763654"/>
    <w:sectPr w:rsidR="00763654" w:rsidSect="00FB64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27DF" w:rsidRDefault="00B627DF" w:rsidP="00F66533">
      <w:pPr>
        <w:spacing w:after="0" w:line="240" w:lineRule="auto"/>
      </w:pPr>
      <w:r>
        <w:separator/>
      </w:r>
    </w:p>
  </w:endnote>
  <w:endnote w:type="continuationSeparator" w:id="0">
    <w:p w:rsidR="00B627DF" w:rsidRDefault="00B627DF" w:rsidP="00F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27DF" w:rsidRDefault="00B627DF" w:rsidP="00F66533">
      <w:pPr>
        <w:spacing w:after="0" w:line="240" w:lineRule="auto"/>
      </w:pPr>
      <w:r>
        <w:separator/>
      </w:r>
    </w:p>
  </w:footnote>
  <w:footnote w:type="continuationSeparator" w:id="0">
    <w:p w:rsidR="00B627DF" w:rsidRDefault="00B627DF" w:rsidP="00F665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06"/>
    <w:rsid w:val="00763654"/>
    <w:rsid w:val="008A5171"/>
    <w:rsid w:val="00B627DF"/>
    <w:rsid w:val="00F66533"/>
    <w:rsid w:val="00FB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CBA4"/>
  <w15:chartTrackingRefBased/>
  <w15:docId w15:val="{EC96BC6D-8015-4EBD-A8CA-CCE8C7600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40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normal21">
    <w:name w:val="Tabla normal 21"/>
    <w:basedOn w:val="Tablanormal"/>
    <w:uiPriority w:val="42"/>
    <w:rsid w:val="00FB640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23">
    <w:name w:val="Tabla normal 23"/>
    <w:basedOn w:val="Tablanormal"/>
    <w:uiPriority w:val="99"/>
    <w:rsid w:val="00F6653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F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66533"/>
  </w:style>
  <w:style w:type="paragraph" w:styleId="Piedepgina">
    <w:name w:val="footer"/>
    <w:basedOn w:val="Normal"/>
    <w:link w:val="PiedepginaCar"/>
    <w:uiPriority w:val="99"/>
    <w:unhideWhenUsed/>
    <w:rsid w:val="00F665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665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616</Words>
  <Characters>3394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Lorenzo Pouso</dc:creator>
  <cp:keywords/>
  <dc:description/>
  <cp:lastModifiedBy>Alejandro Lorenzo Pouso</cp:lastModifiedBy>
  <cp:revision>2</cp:revision>
  <dcterms:created xsi:type="dcterms:W3CDTF">2020-11-16T02:23:00Z</dcterms:created>
  <dcterms:modified xsi:type="dcterms:W3CDTF">2020-11-16T02:23:00Z</dcterms:modified>
</cp:coreProperties>
</file>