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F84" w:rsidRPr="00FC726D" w:rsidRDefault="00E6636E" w:rsidP="00FC726D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Supplementary S3: </w:t>
      </w:r>
      <w:r w:rsidR="00584F84" w:rsidRPr="00FC726D">
        <w:rPr>
          <w:rFonts w:ascii="Times New Roman" w:hAnsi="Times New Roman" w:cs="Times New Roman"/>
          <w:b/>
          <w:sz w:val="24"/>
          <w:szCs w:val="24"/>
        </w:rPr>
        <w:t>Methodological quality assessment and assessment of risk of bias</w:t>
      </w:r>
    </w:p>
    <w:p w:rsidR="0078578E" w:rsidRDefault="000F1CA4" w:rsidP="00FC726D">
      <w:pPr>
        <w:spacing w:line="36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Table S.3</w:t>
      </w:r>
      <w:r w:rsidR="00FC726D" w:rsidRPr="00FC726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.1: </w:t>
      </w:r>
      <w:r w:rsidR="0078578E" w:rsidRPr="00FC726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Bias risk assessment for the included RCTs using </w:t>
      </w:r>
      <w:r w:rsidR="0078578E" w:rsidRPr="00FC726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The Cochrane Risk of Bias Tool for Randomized Controlled Trials</w:t>
      </w:r>
    </w:p>
    <w:p w:rsidR="00FC726D" w:rsidRPr="00FC726D" w:rsidRDefault="00FC726D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C726D">
        <w:rPr>
          <w:rFonts w:ascii="Times New Roman" w:hAnsi="Times New Roman" w:cs="Times New Roman"/>
          <w:sz w:val="24"/>
          <w:szCs w:val="24"/>
        </w:rPr>
        <w:t>Each domain was judged as either low (+), high (-), or unclear (?). Based on these judgments, risk of bias was categorized as: (1) a low risk of bias if all criteria were met (2) moderate risk of bias if one or more criteria were partly met or were unclear (3) a high risk of bias if one or more criteria were not met</w:t>
      </w:r>
    </w:p>
    <w:p w:rsidR="00FC726D" w:rsidRP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Style w:val="TableGrid"/>
        <w:tblW w:w="10534" w:type="dxa"/>
        <w:tblInd w:w="-757" w:type="dxa"/>
        <w:tblLook w:val="04A0"/>
      </w:tblPr>
      <w:tblGrid>
        <w:gridCol w:w="1423"/>
        <w:gridCol w:w="1229"/>
        <w:gridCol w:w="1429"/>
        <w:gridCol w:w="1243"/>
        <w:gridCol w:w="1283"/>
        <w:gridCol w:w="1296"/>
        <w:gridCol w:w="1096"/>
        <w:gridCol w:w="843"/>
        <w:gridCol w:w="1136"/>
      </w:tblGrid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Study 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Random sequence generation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Allocation concealment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Blinding of participant and personnel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Blinding of outcome assessment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Incomplete outcome data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Selective outcome reporting 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Other source of bias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Overall risk of bias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Zucchelli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2009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Aroca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2009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Ozcelik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2011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Bherwani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2014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moderate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Cardaropoli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et al., 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Moderate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Zucchelli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,2014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Cairo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2016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Gupta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2017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Oncu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2017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  <w:tr w:rsidR="0078578E" w:rsidRPr="00FC726D" w:rsidTr="0078578E">
        <w:tc>
          <w:tcPr>
            <w:tcW w:w="1317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Alexiou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021123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2017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78578E" w:rsidRPr="00FC726D" w:rsidRDefault="0078578E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moderate</w:t>
            </w:r>
          </w:p>
        </w:tc>
      </w:tr>
      <w:tr w:rsidR="00370935" w:rsidRPr="00FC726D" w:rsidTr="0078578E">
        <w:tc>
          <w:tcPr>
            <w:tcW w:w="1317" w:type="dxa"/>
          </w:tcPr>
          <w:p w:rsidR="00370935" w:rsidRPr="00FC726D" w:rsidRDefault="00370935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Gürlek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al., 2019</w:t>
            </w:r>
          </w:p>
        </w:tc>
        <w:tc>
          <w:tcPr>
            <w:tcW w:w="1192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374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192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moderate</w:t>
            </w:r>
          </w:p>
        </w:tc>
      </w:tr>
      <w:tr w:rsidR="00370935" w:rsidRPr="00FC726D" w:rsidTr="0078578E">
        <w:tc>
          <w:tcPr>
            <w:tcW w:w="1317" w:type="dxa"/>
          </w:tcPr>
          <w:p w:rsidR="00370935" w:rsidRPr="00FC726D" w:rsidRDefault="00370935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Ahmedbeyli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al., 2019</w:t>
            </w:r>
          </w:p>
        </w:tc>
        <w:tc>
          <w:tcPr>
            <w:tcW w:w="1192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374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192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50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31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4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813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11" w:type="dxa"/>
          </w:tcPr>
          <w:p w:rsidR="00370935" w:rsidRPr="00FC726D" w:rsidRDefault="00A048E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moderate</w:t>
            </w:r>
          </w:p>
        </w:tc>
      </w:tr>
      <w:tr w:rsidR="00370935" w:rsidRPr="00FC726D" w:rsidTr="0078578E">
        <w:tc>
          <w:tcPr>
            <w:tcW w:w="1317" w:type="dxa"/>
          </w:tcPr>
          <w:p w:rsidR="00370935" w:rsidRPr="00FC726D" w:rsidRDefault="00370935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Rotundo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al., 2019</w:t>
            </w:r>
          </w:p>
        </w:tc>
        <w:tc>
          <w:tcPr>
            <w:tcW w:w="1192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74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192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250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231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054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813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  <w:tc>
          <w:tcPr>
            <w:tcW w:w="1111" w:type="dxa"/>
          </w:tcPr>
          <w:p w:rsidR="00370935" w:rsidRPr="00FC726D" w:rsidRDefault="00833083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Low </w:t>
            </w:r>
          </w:p>
        </w:tc>
      </w:tr>
    </w:tbl>
    <w:p w:rsidR="00BA0DBD" w:rsidRPr="00FC726D" w:rsidRDefault="00BA0DBD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C726D" w:rsidRPr="008F78E8" w:rsidRDefault="008F78E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05475" cy="6858000"/>
            <wp:effectExtent l="19050" t="0" r="9525" b="0"/>
            <wp:docPr id="1" name="Picture 1" descr="C:\Users\aiims\Desktop\mcaf\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iims\Desktop\mcaf\Figure 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8E8" w:rsidRPr="008F78E8" w:rsidRDefault="008F78E8" w:rsidP="008F78E8">
      <w:pPr>
        <w:spacing w:line="48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</w:t>
      </w:r>
      <w:r w:rsidR="00354AAD">
        <w:rPr>
          <w:rFonts w:ascii="Times New Roman" w:hAnsi="Times New Roman" w:cs="Times New Roman"/>
          <w:b/>
        </w:rPr>
        <w:t>Figure</w:t>
      </w:r>
      <w:r w:rsidR="00E6636E">
        <w:rPr>
          <w:rFonts w:ascii="Times New Roman" w:hAnsi="Times New Roman" w:cs="Times New Roman"/>
          <w:b/>
        </w:rPr>
        <w:t xml:space="preserve"> </w:t>
      </w:r>
      <w:r w:rsidR="00354AAD">
        <w:rPr>
          <w:rFonts w:ascii="Times New Roman" w:hAnsi="Times New Roman" w:cs="Times New Roman"/>
          <w:b/>
        </w:rPr>
        <w:t xml:space="preserve">A: </w:t>
      </w:r>
      <w:r>
        <w:rPr>
          <w:rFonts w:ascii="Times New Roman" w:hAnsi="Times New Roman" w:cs="Times New Roman"/>
          <w:b/>
        </w:rPr>
        <w:t xml:space="preserve"> </w:t>
      </w:r>
      <w:r w:rsidRPr="008F78E8">
        <w:rPr>
          <w:rFonts w:ascii="Times New Roman" w:hAnsi="Times New Roman" w:cs="Times New Roman"/>
          <w:b/>
        </w:rPr>
        <w:t>Summary of Risk of Bias Assessment</w:t>
      </w: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8F78E8">
      <w:pPr>
        <w:spacing w:line="480" w:lineRule="auto"/>
        <w:rPr>
          <w:rFonts w:ascii="Times New Roman" w:hAnsi="Times New Roman" w:cs="Times New Roman"/>
        </w:rPr>
      </w:pPr>
    </w:p>
    <w:p w:rsidR="008F78E8" w:rsidRPr="008F78E8" w:rsidRDefault="008F78E8" w:rsidP="008F78E8">
      <w:pPr>
        <w:spacing w:line="480" w:lineRule="auto"/>
        <w:rPr>
          <w:rFonts w:ascii="Times New Roman" w:hAnsi="Times New Roman" w:cs="Times New Roman"/>
          <w:b/>
        </w:rPr>
      </w:pPr>
      <w:r w:rsidRPr="008F78E8"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731510" cy="3244618"/>
            <wp:effectExtent l="19050" t="0" r="2540" b="0"/>
            <wp:docPr id="2" name="Picture 2" descr="C:\Users\aiims\Desktop\mcaf\Figure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ims\Desktop\mcaf\Figure 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4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78E8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                                                                     </w:t>
      </w:r>
      <w:r w:rsidR="00354AAD">
        <w:rPr>
          <w:rFonts w:ascii="Times New Roman" w:hAnsi="Times New Roman" w:cs="Times New Roman"/>
          <w:b/>
        </w:rPr>
        <w:t xml:space="preserve">Figure B: </w:t>
      </w:r>
      <w:r>
        <w:rPr>
          <w:rFonts w:ascii="Times New Roman" w:hAnsi="Times New Roman" w:cs="Times New Roman"/>
          <w:b/>
        </w:rPr>
        <w:t xml:space="preserve">  </w:t>
      </w:r>
      <w:r w:rsidRPr="008F78E8">
        <w:rPr>
          <w:rFonts w:ascii="Times New Roman" w:hAnsi="Times New Roman" w:cs="Times New Roman"/>
          <w:b/>
        </w:rPr>
        <w:t>Risk of Bias Graph</w:t>
      </w: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C726D" w:rsidRDefault="00FC726D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F78E8" w:rsidRDefault="008F78E8" w:rsidP="00FC726D">
      <w:pPr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584F84" w:rsidRPr="00FC726D" w:rsidRDefault="000F1CA4" w:rsidP="00FC726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Table S.3</w:t>
      </w:r>
      <w:bookmarkStart w:id="0" w:name="_GoBack"/>
      <w:bookmarkEnd w:id="0"/>
      <w:r w:rsidR="00FC726D" w:rsidRPr="00FC726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.2: </w:t>
      </w:r>
      <w:r w:rsidR="00584F84" w:rsidRPr="00FC726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Bias risk assessment for the included case series using </w:t>
      </w:r>
      <w:r w:rsidR="00584F84" w:rsidRPr="00FC726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The Joanna Briggs Institute Scale for Case Series</w:t>
      </w:r>
    </w:p>
    <w:p w:rsidR="00BA0DBD" w:rsidRPr="00FC726D" w:rsidRDefault="006A164B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C726D">
        <w:rPr>
          <w:rFonts w:ascii="Times New Roman" w:hAnsi="Times New Roman" w:cs="Times New Roman"/>
          <w:sz w:val="24"/>
          <w:szCs w:val="24"/>
        </w:rPr>
        <w:t>To assess the risk of bias of case-series, Joanna Briggs Institute Critical Appraisal Checklist for Case Series was used. Risk of bias was judged as low if a study gave detailed information about ≥ 8 parameters, moderate if a study mentioned information of 5-7 parameters and high risk of bias in case less than 5 parameters are satisfied</w:t>
      </w:r>
    </w:p>
    <w:tbl>
      <w:tblPr>
        <w:tblStyle w:val="TableGrid"/>
        <w:tblpPr w:leftFromText="180" w:rightFromText="180" w:vertAnchor="text" w:horzAnchor="margin" w:tblpXSpec="center" w:tblpY="190"/>
        <w:tblOverlap w:val="never"/>
        <w:tblW w:w="8217" w:type="dxa"/>
        <w:tblLayout w:type="fixed"/>
        <w:tblLook w:val="04A0"/>
      </w:tblPr>
      <w:tblGrid>
        <w:gridCol w:w="2802"/>
        <w:gridCol w:w="1304"/>
        <w:gridCol w:w="1276"/>
        <w:gridCol w:w="1276"/>
        <w:gridCol w:w="1559"/>
      </w:tblGrid>
      <w:tr w:rsidR="003D2BF8" w:rsidRPr="00FC726D" w:rsidTr="003D2BF8">
        <w:trPr>
          <w:trHeight w:val="980"/>
        </w:trPr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Checklist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Zuchelli</w:t>
            </w:r>
            <w:proofErr w:type="spellEnd"/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and De Sanctis 2000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Zucchelli et al</w:t>
            </w:r>
            <w:r w:rsidR="00EF5237" w:rsidRPr="00FC726D"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2005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Carvalho et al,</w:t>
            </w:r>
          </w:p>
          <w:p w:rsidR="003D2BF8" w:rsidRPr="00FC726D" w:rsidRDefault="003D2BF8" w:rsidP="00FC726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2006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Skurska</w:t>
            </w:r>
            <w:proofErr w:type="spellEnd"/>
            <w:r w:rsidRPr="00FC726D">
              <w:rPr>
                <w:rFonts w:ascii="Times New Roman" w:hAnsi="Times New Roman" w:cs="Times New Roman"/>
                <w:sz w:val="24"/>
                <w:szCs w:val="24"/>
              </w:rPr>
              <w:t xml:space="preserve"> et al</w:t>
            </w:r>
            <w:r w:rsidR="00EF5237" w:rsidRPr="00FC72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, 2015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Were there clear criteria for inclusion in the case series?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Was the condition measured in a standard, reliable way for all participants included in the case series?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Were valid methods used for identification of the condition for all participants included in the case series?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Did the case series have consecutive inclusion of participants?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Not mentioned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Did the case series have complete inclusion of participants?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Was there clear reporting of the demographics of the participants in the study?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Was there clear reporting of clinical information of the participants?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Were the outcomes or follow up results of cases clearly reported?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Was there clear reporting of the presenting site(s)/clinic(s) demographic information?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unclear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  <w:vAlign w:val="center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Was statistical analysis appropriate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yes</w:t>
            </w:r>
          </w:p>
        </w:tc>
      </w:tr>
      <w:tr w:rsidR="003D2BF8" w:rsidRPr="00FC726D" w:rsidTr="003D2BF8">
        <w:tc>
          <w:tcPr>
            <w:tcW w:w="2802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Overall risk of bias</w:t>
            </w:r>
          </w:p>
        </w:tc>
        <w:tc>
          <w:tcPr>
            <w:tcW w:w="1304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moderate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moderate</w:t>
            </w:r>
          </w:p>
        </w:tc>
        <w:tc>
          <w:tcPr>
            <w:tcW w:w="1276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low</w:t>
            </w:r>
          </w:p>
        </w:tc>
        <w:tc>
          <w:tcPr>
            <w:tcW w:w="1559" w:type="dxa"/>
          </w:tcPr>
          <w:p w:rsidR="003D2BF8" w:rsidRPr="00FC726D" w:rsidRDefault="003D2BF8" w:rsidP="00FC726D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72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low</w:t>
            </w:r>
          </w:p>
        </w:tc>
      </w:tr>
    </w:tbl>
    <w:p w:rsidR="00BA0DBD" w:rsidRPr="00FC726D" w:rsidRDefault="00BA0DBD" w:rsidP="00FC726D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A0DBD" w:rsidRPr="00FC726D" w:rsidRDefault="00BA0DBD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A0DBD" w:rsidRPr="00FC726D" w:rsidRDefault="00BA0DBD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20FB8" w:rsidRPr="00FC726D" w:rsidRDefault="00820FB8" w:rsidP="00FC72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820FB8" w:rsidRPr="00FC726D" w:rsidSect="00993B0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A21BC6"/>
    <w:multiLevelType w:val="hybridMultilevel"/>
    <w:tmpl w:val="8370E23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B638E3"/>
    <w:multiLevelType w:val="hybridMultilevel"/>
    <w:tmpl w:val="400A17FA"/>
    <w:lvl w:ilvl="0" w:tplc="50E00198">
      <w:start w:val="1"/>
      <w:numFmt w:val="bullet"/>
      <w:lvlText w:val="-"/>
      <w:lvlJc w:val="left"/>
      <w:pPr>
        <w:ind w:left="12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584E6C2D"/>
    <w:multiLevelType w:val="hybridMultilevel"/>
    <w:tmpl w:val="8370E23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330F5E"/>
    <w:multiLevelType w:val="hybridMultilevel"/>
    <w:tmpl w:val="861C835A"/>
    <w:lvl w:ilvl="0" w:tplc="6F2EC9A8">
      <w:start w:val="1"/>
      <w:numFmt w:val="decimal"/>
      <w:lvlText w:val="%1)"/>
      <w:lvlJc w:val="center"/>
      <w:pPr>
        <w:ind w:left="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60" w:hanging="360"/>
      </w:pPr>
    </w:lvl>
    <w:lvl w:ilvl="2" w:tplc="0409001B" w:tentative="1">
      <w:start w:val="1"/>
      <w:numFmt w:val="lowerRoman"/>
      <w:lvlText w:val="%3."/>
      <w:lvlJc w:val="right"/>
      <w:pPr>
        <w:ind w:left="1680" w:hanging="180"/>
      </w:pPr>
    </w:lvl>
    <w:lvl w:ilvl="3" w:tplc="0409000F" w:tentative="1">
      <w:start w:val="1"/>
      <w:numFmt w:val="decimal"/>
      <w:lvlText w:val="%4."/>
      <w:lvlJc w:val="left"/>
      <w:pPr>
        <w:ind w:left="2400" w:hanging="360"/>
      </w:pPr>
    </w:lvl>
    <w:lvl w:ilvl="4" w:tplc="04090019" w:tentative="1">
      <w:start w:val="1"/>
      <w:numFmt w:val="lowerLetter"/>
      <w:lvlText w:val="%5."/>
      <w:lvlJc w:val="left"/>
      <w:pPr>
        <w:ind w:left="3120" w:hanging="360"/>
      </w:pPr>
    </w:lvl>
    <w:lvl w:ilvl="5" w:tplc="0409001B" w:tentative="1">
      <w:start w:val="1"/>
      <w:numFmt w:val="lowerRoman"/>
      <w:lvlText w:val="%6."/>
      <w:lvlJc w:val="right"/>
      <w:pPr>
        <w:ind w:left="3840" w:hanging="180"/>
      </w:pPr>
    </w:lvl>
    <w:lvl w:ilvl="6" w:tplc="0409000F" w:tentative="1">
      <w:start w:val="1"/>
      <w:numFmt w:val="decimal"/>
      <w:lvlText w:val="%7."/>
      <w:lvlJc w:val="left"/>
      <w:pPr>
        <w:ind w:left="4560" w:hanging="360"/>
      </w:pPr>
    </w:lvl>
    <w:lvl w:ilvl="7" w:tplc="04090019" w:tentative="1">
      <w:start w:val="1"/>
      <w:numFmt w:val="lowerLetter"/>
      <w:lvlText w:val="%8."/>
      <w:lvlJc w:val="left"/>
      <w:pPr>
        <w:ind w:left="5280" w:hanging="360"/>
      </w:pPr>
    </w:lvl>
    <w:lvl w:ilvl="8" w:tplc="0409001B" w:tentative="1">
      <w:start w:val="1"/>
      <w:numFmt w:val="lowerRoman"/>
      <w:lvlText w:val="%9."/>
      <w:lvlJc w:val="right"/>
      <w:pPr>
        <w:ind w:left="600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8578E"/>
    <w:rsid w:val="00021123"/>
    <w:rsid w:val="000F1CA4"/>
    <w:rsid w:val="001B531D"/>
    <w:rsid w:val="00206D77"/>
    <w:rsid w:val="002F253D"/>
    <w:rsid w:val="00354AAD"/>
    <w:rsid w:val="00370935"/>
    <w:rsid w:val="003D2BF8"/>
    <w:rsid w:val="00584F84"/>
    <w:rsid w:val="00680F25"/>
    <w:rsid w:val="006A0753"/>
    <w:rsid w:val="006A164B"/>
    <w:rsid w:val="006C413D"/>
    <w:rsid w:val="0078578E"/>
    <w:rsid w:val="00820FB8"/>
    <w:rsid w:val="00833083"/>
    <w:rsid w:val="008F78E8"/>
    <w:rsid w:val="00912BFA"/>
    <w:rsid w:val="00993B02"/>
    <w:rsid w:val="00A048E3"/>
    <w:rsid w:val="00B21189"/>
    <w:rsid w:val="00BA0DBD"/>
    <w:rsid w:val="00D03CDF"/>
    <w:rsid w:val="00DE3FFE"/>
    <w:rsid w:val="00E4719A"/>
    <w:rsid w:val="00E6636E"/>
    <w:rsid w:val="00E8604A"/>
    <w:rsid w:val="00EF5237"/>
    <w:rsid w:val="00FC72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578E"/>
    <w:pPr>
      <w:spacing w:after="200" w:line="276" w:lineRule="auto"/>
    </w:pPr>
    <w:rPr>
      <w:lang w:val="en-US"/>
    </w:rPr>
  </w:style>
  <w:style w:type="paragraph" w:styleId="Heading1">
    <w:name w:val="heading 1"/>
    <w:basedOn w:val="Normal"/>
    <w:link w:val="Heading1Char"/>
    <w:uiPriority w:val="9"/>
    <w:qFormat/>
    <w:rsid w:val="00D03CD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IN"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8578E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857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578E"/>
    <w:rPr>
      <w:rFonts w:ascii="Segoe UI" w:hAnsi="Segoe UI" w:cs="Segoe UI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D03CDF"/>
    <w:pPr>
      <w:spacing w:after="0" w:line="240" w:lineRule="auto"/>
      <w:ind w:left="720"/>
      <w:contextualSpacing/>
    </w:pPr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03CDF"/>
    <w:rPr>
      <w:rFonts w:ascii="Times New Roman" w:eastAsia="Times New Roman" w:hAnsi="Times New Roman" w:cs="Times New Roman"/>
      <w:b/>
      <w:bCs/>
      <w:kern w:val="36"/>
      <w:sz w:val="48"/>
      <w:szCs w:val="48"/>
      <w:lang w:eastAsia="en-IN"/>
    </w:rPr>
  </w:style>
  <w:style w:type="character" w:styleId="Hyperlink">
    <w:name w:val="Hyperlink"/>
    <w:basedOn w:val="DefaultParagraphFont"/>
    <w:uiPriority w:val="99"/>
    <w:semiHidden/>
    <w:unhideWhenUsed/>
    <w:rsid w:val="00D03CDF"/>
    <w:rPr>
      <w:color w:val="0000FF"/>
      <w:u w:val="single"/>
    </w:rPr>
  </w:style>
  <w:style w:type="character" w:customStyle="1" w:styleId="jrnl">
    <w:name w:val="jrnl"/>
    <w:basedOn w:val="DefaultParagraphFont"/>
    <w:rsid w:val="00D03CDF"/>
  </w:style>
  <w:style w:type="paragraph" w:customStyle="1" w:styleId="Title1">
    <w:name w:val="Title1"/>
    <w:basedOn w:val="Normal"/>
    <w:rsid w:val="00820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IN" w:eastAsia="en-IN"/>
    </w:rPr>
  </w:style>
  <w:style w:type="paragraph" w:customStyle="1" w:styleId="Default">
    <w:name w:val="Default"/>
    <w:rsid w:val="00820F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6</Pages>
  <Words>502</Words>
  <Characters>2868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Hewlett-Packard Company</cp:lastModifiedBy>
  <cp:revision>19</cp:revision>
  <dcterms:created xsi:type="dcterms:W3CDTF">2020-05-07T09:02:00Z</dcterms:created>
  <dcterms:modified xsi:type="dcterms:W3CDTF">2021-02-22T07:07:00Z</dcterms:modified>
</cp:coreProperties>
</file>