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9E" w:rsidRPr="00C420F5" w:rsidRDefault="003A6C17" w:rsidP="0082709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Supplementary data S5</w:t>
      </w:r>
      <w:r w:rsidR="00C420F5">
        <w:rPr>
          <w:rFonts w:ascii="Times New Roman" w:hAnsi="Times New Roman" w:cs="Times New Roman"/>
          <w:b/>
          <w:sz w:val="24"/>
          <w:szCs w:val="24"/>
          <w:lang w:val="en-GB"/>
        </w:rPr>
        <w:t xml:space="preserve">: </w:t>
      </w:r>
      <w:r w:rsidR="0082709E" w:rsidRPr="00C420F5">
        <w:rPr>
          <w:rFonts w:ascii="Times New Roman" w:hAnsi="Times New Roman" w:cs="Times New Roman"/>
          <w:b/>
          <w:sz w:val="24"/>
          <w:szCs w:val="24"/>
          <w:lang w:val="en-GB"/>
        </w:rPr>
        <w:t>Excluded studies along with reasons for exclusion.</w:t>
      </w:r>
    </w:p>
    <w:p w:rsidR="0082709E" w:rsidRPr="00B20802" w:rsidRDefault="0082709E" w:rsidP="008270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508"/>
        <w:gridCol w:w="4508"/>
      </w:tblGrid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Reason for exclusion</w:t>
            </w:r>
          </w:p>
        </w:tc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Studies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CAF design is different (trapezoidal or other design)</w:t>
            </w:r>
          </w:p>
        </w:tc>
        <w:tc>
          <w:tcPr>
            <w:tcW w:w="4508" w:type="dxa"/>
          </w:tcPr>
          <w:p w:rsidR="0082709E" w:rsidRPr="00B20802" w:rsidRDefault="00114D3F" w:rsidP="00114D3F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Ahmedbeyli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 ,2014;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Alkan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Parlar,2013;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Bansal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 ,2016;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Barrella et al., 2016;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Biradar et al ,2015;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Bozkurt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Cordaro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al,2012;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al,2016;</w:t>
            </w:r>
            <w:r w:rsidR="00B20802" w:rsidRPr="00914D54">
              <w:rPr>
                <w:rFonts w:ascii="Times New Roman" w:hAnsi="Times New Roman"/>
                <w:sz w:val="24"/>
                <w:szCs w:val="24"/>
              </w:rPr>
              <w:t>De Sanctis et al,2011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De Sanctis et al,2020;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Esteves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al,2015; Jaiswal et al,2012; Jankovic et al,2010;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Kece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li et al,2015; Khobragade et al,2016;Lafzi et al,2016;McGuire et al,2009; McGuire and Scheyer,2010; McGuire et al,2012; McGuire et al,2014; McGuire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Scheyer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,2016;</w:t>
            </w:r>
            <w:r w:rsidR="00B20802" w:rsidRPr="00B20802">
              <w:rPr>
                <w:rFonts w:ascii="Times New Roman" w:hAnsi="Times New Roman"/>
                <w:sz w:val="24"/>
                <w:szCs w:val="24"/>
              </w:rPr>
              <w:t>Mlv et al., 2016;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Ozenci et al,2015;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Ozturan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al,2011;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Pourabbas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al,2009;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Rebele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al,2014;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Reino 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 ,2015;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Spahr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al,2005;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Stefanini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al,2016;Stefanini et al,2018;Thakare et al,2015;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Tunalι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al,2015;Tonetti et al,2018;Wang et al,2015; Wallace,2014; Yogini et al,2016;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Zucchelli and De Sanctis,2007</w:t>
            </w:r>
            <w:r>
              <w:rPr>
                <w:rFonts w:ascii="Times New Roman" w:hAnsi="Times New Roman"/>
                <w:sz w:val="24"/>
                <w:szCs w:val="24"/>
              </w:rPr>
              <w:t>; Zucchelli et al,2014;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Zucchelli e</w:t>
            </w:r>
            <w:r>
              <w:rPr>
                <w:rFonts w:ascii="Times New Roman" w:hAnsi="Times New Roman"/>
                <w:sz w:val="24"/>
                <w:szCs w:val="24"/>
              </w:rPr>
              <w:t>t al ,2016;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Zuhr et al,2013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Number of participants less than 10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Zucchelli and De Sanctis et al; 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Both single and multiple recessions taken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Azaripour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 2016;Carney et al,2012;Gobbato et al,2016;Milinkovic et al,2015;Pourabbas et al,2009;Rebele et al,2014; Roman et al,2012;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Rubins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al,2013; Shin et al,2007;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Zuhr et al,2013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lastRenderedPageBreak/>
              <w:t>Data of previous published articles</w:t>
            </w:r>
          </w:p>
        </w:tc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Inclusion of patients with class III recessions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Carney et al,2012;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Pini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-Prato et al,2010;Schlee et al ,2014; 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Shin et al,2007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Follow-up period &lt; 6 months</w:t>
            </w:r>
          </w:p>
        </w:tc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802">
              <w:rPr>
                <w:rFonts w:ascii="Times New Roman" w:hAnsi="Times New Roman"/>
                <w:sz w:val="24"/>
                <w:szCs w:val="24"/>
              </w:rPr>
              <w:t>Biradar</w:t>
            </w:r>
            <w:proofErr w:type="spellEnd"/>
            <w:r w:rsidRPr="00B20802">
              <w:rPr>
                <w:rFonts w:ascii="Times New Roman" w:hAnsi="Times New Roman"/>
                <w:sz w:val="24"/>
                <w:szCs w:val="24"/>
              </w:rPr>
              <w:t xml:space="preserve"> et al,2015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Single recessions included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Bansal et al ,2016;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Berlucchi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al,2005;Kumar et al,2017;Keceli et al,2015;McGuire and Scheyer,2010;McGuire et al,2012;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 xml:space="preserve"> McGuire et al,2014</w:t>
            </w:r>
            <w:r>
              <w:rPr>
                <w:rFonts w:ascii="Times New Roman" w:hAnsi="Times New Roman"/>
                <w:sz w:val="24"/>
                <w:szCs w:val="24"/>
              </w:rPr>
              <w:t>;Reino et al , 2015;Wang et al, 2015;Zucchelli et al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,2016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Recession included less than 2mm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Khobragade et al,2016;Rebele et al,2014;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Stefanini et al,2018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Zuhr et al,2014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Primary outcome measure not reported</w:t>
            </w:r>
          </w:p>
        </w:tc>
        <w:tc>
          <w:tcPr>
            <w:tcW w:w="4508" w:type="dxa"/>
          </w:tcPr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Alkan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Parlar,2013; </w:t>
            </w:r>
            <w:proofErr w:type="spellStart"/>
            <w:r w:rsidR="0082709E" w:rsidRPr="00B20802">
              <w:rPr>
                <w:rFonts w:ascii="Times New Roman" w:hAnsi="Times New Roman"/>
                <w:sz w:val="24"/>
                <w:szCs w:val="24"/>
              </w:rPr>
              <w:t>Bans</w:t>
            </w:r>
            <w:r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al,2016;</w:t>
            </w:r>
          </w:p>
          <w:p w:rsidR="0082709E" w:rsidRPr="00B20802" w:rsidRDefault="00114D3F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Dandu et al,2016;</w:t>
            </w:r>
            <w:r w:rsidR="0082709E" w:rsidRPr="00B20802">
              <w:rPr>
                <w:rFonts w:ascii="Times New Roman" w:hAnsi="Times New Roman"/>
                <w:sz w:val="24"/>
                <w:szCs w:val="24"/>
              </w:rPr>
              <w:t>Isler et al,2018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;Jaiswal et al,2012;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Kroiss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al,2019; McGuire et al,2010;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Pourabbas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al,2009;Reino et al ,2015; Roman et al,2012;Rubins et al,2013;Shin et al,2007;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Tunalι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 al,2015</w:t>
            </w:r>
          </w:p>
        </w:tc>
      </w:tr>
      <w:tr w:rsidR="00B20802" w:rsidRPr="00B20802" w:rsidTr="00861511"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0802">
              <w:rPr>
                <w:rFonts w:ascii="Times New Roman" w:hAnsi="Times New Roman"/>
                <w:sz w:val="24"/>
                <w:szCs w:val="24"/>
              </w:rPr>
              <w:t>Retrospective studies</w:t>
            </w:r>
          </w:p>
        </w:tc>
        <w:tc>
          <w:tcPr>
            <w:tcW w:w="4508" w:type="dxa"/>
          </w:tcPr>
          <w:p w:rsidR="0082709E" w:rsidRPr="00B20802" w:rsidRDefault="0082709E" w:rsidP="008615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802">
              <w:rPr>
                <w:rFonts w:ascii="Times New Roman" w:hAnsi="Times New Roman"/>
                <w:sz w:val="24"/>
                <w:szCs w:val="24"/>
                <w:lang w:eastAsia="en-GB"/>
              </w:rPr>
              <w:t>Bhatavadekar</w:t>
            </w:r>
            <w:proofErr w:type="spellEnd"/>
            <w:r w:rsidRPr="00B20802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et al,2019</w:t>
            </w:r>
          </w:p>
        </w:tc>
      </w:tr>
    </w:tbl>
    <w:p w:rsidR="0082709E" w:rsidRPr="00B20802" w:rsidRDefault="0082709E" w:rsidP="008270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2709E" w:rsidRPr="00B20802" w:rsidRDefault="0082709E" w:rsidP="0082709E">
      <w:pPr>
        <w:rPr>
          <w:rFonts w:ascii="Times New Roman" w:hAnsi="Times New Roman" w:cs="Times New Roman"/>
          <w:sz w:val="24"/>
          <w:szCs w:val="24"/>
        </w:rPr>
      </w:pPr>
    </w:p>
    <w:p w:rsidR="007F6203" w:rsidRPr="009A683C" w:rsidRDefault="007F6203" w:rsidP="007F62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Ahmedbeyli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C,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Ipçi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ŞD,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Cakar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Clinical evaluation of coronally advanced flap with or without acellular dermal matrix graft on complete defect coverage for the treatment of multiple gingival recessions with thin tissue biotype.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:303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10.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Alkan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Parlar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A. Enamel matrix derivative (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emdogain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>) or subepithelial connective tissue graft for the treatment of adjacent multiple gingival recessions: a pilot study. Int J Perio</w:t>
      </w:r>
      <w:r>
        <w:rPr>
          <w:rFonts w:ascii="Times New Roman" w:eastAsia="Times New Roman" w:hAnsi="Times New Roman" w:cs="Times New Roman"/>
          <w:sz w:val="24"/>
          <w:szCs w:val="24"/>
        </w:rPr>
        <w:t>dontics Restorative Dent. 2013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:619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25.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>Azaripour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Kissinger M, Farina VSL, et al. Root coverage with connective tissue graft associated with coronally advanced flap or tunnel technique: a randomized, double-blind, mono-centre clinical trial.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:1142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50.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Bansal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Kulloli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Kathariya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Comparative 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 xml:space="preserve">evaluation of coronally advanced flap with and without bioactive glass putty in the management </w:t>
      </w:r>
      <w:r w:rsidR="00322017">
        <w:rPr>
          <w:rFonts w:ascii="Times New Roman" w:eastAsia="Times New Roman" w:hAnsi="Times New Roman" w:cs="Times New Roman"/>
          <w:sz w:val="24"/>
          <w:szCs w:val="24"/>
        </w:rPr>
        <w:t>of gingival recession defects: A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 xml:space="preserve"> randomized controlled clinical trial. 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J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Acad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:7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–15.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Barrella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GE, Kolbe MF, Ribeiro FV, et al. Coronally advanced flap with two different techniques for the treatment of multiple gingival recessions: A pilot prospective comparative case se</w:t>
      </w:r>
      <w:r>
        <w:rPr>
          <w:rFonts w:ascii="Times New Roman" w:eastAsia="Times New Roman" w:hAnsi="Times New Roman" w:cs="Times New Roman"/>
          <w:sz w:val="24"/>
          <w:szCs w:val="24"/>
        </w:rPr>
        <w:t>ries. Quintessence Int.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;47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:39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–50.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Berlucchi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Francetti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L, Del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Fabbro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The influence of anatomical features on the outcome of gingival recessions treated with coronally advanced flap and enamel matrix derivative: a 1-year prospectiv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study.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2005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;76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:899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–907.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Bhatavadekar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NB,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Gharpure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AS,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Long-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>term outcomes of coro</w:t>
      </w:r>
      <w:r w:rsidR="00322017">
        <w:rPr>
          <w:rFonts w:ascii="Times New Roman" w:eastAsia="Times New Roman" w:hAnsi="Times New Roman" w:cs="Times New Roman"/>
          <w:sz w:val="24"/>
          <w:szCs w:val="24"/>
        </w:rPr>
        <w:t>nally advanced tunnel flap (CATF) and the envelope flap (MCAF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>) plus subepitheli</w:t>
      </w:r>
      <w:r w:rsidR="00322017">
        <w:rPr>
          <w:rFonts w:ascii="Times New Roman" w:eastAsia="Times New Roman" w:hAnsi="Times New Roman" w:cs="Times New Roman"/>
          <w:sz w:val="24"/>
          <w:szCs w:val="24"/>
        </w:rPr>
        <w:t>al connective tissue graft (SCTG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>) in the treatment of multiple recession-type defects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 A 6-</w:t>
      </w:r>
      <w:r w:rsidR="00322017" w:rsidRPr="009A683C">
        <w:rPr>
          <w:rFonts w:ascii="Times New Roman" w:eastAsia="Times New Roman" w:hAnsi="Times New Roman" w:cs="Times New Roman"/>
          <w:sz w:val="24"/>
          <w:szCs w:val="24"/>
        </w:rPr>
        <w:t>year retrospective analysi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s.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Dent.2019;39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:623–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30.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Biradar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Satyanarayan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Kulkarni AJ,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Clinical evaluation of the effect of platelet rich plasma on the coronally advanced flap root coverage procedure. Dent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 J (Isfahan).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:469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Bozkurt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Doğan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Ş,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ÖngözDede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F,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Ballı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U,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A683C">
        <w:rPr>
          <w:rFonts w:ascii="Times New Roman" w:eastAsia="Times New Roman" w:hAnsi="Times New Roman" w:cs="Times New Roman"/>
          <w:sz w:val="24"/>
          <w:szCs w:val="24"/>
        </w:rPr>
        <w:t>Concentrated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growth factor in the treatment of adjacent multiple gingival recessions: a split-mouth randomized clinical tri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:868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Carney CM,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Rossmann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JA, Kerns DG, et al. A comparative study of root defect coverage using an acellular dermal matrix with and without a recombinant human platelet-derived growth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factor.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2012 ;83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:893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–901.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Cordaro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L,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di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Torresanto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VM,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Torsello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F. Split-mouth comparison of a coronally advanced flap with or without enamel matrix derivative for coverage of multiple gingival recession defects: 6- and 24-month follow-up. Int J Periodo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ntics Restorative Dent.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2012 ;32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:e10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-20.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Dandu SR, Murthy KR. Multiple Gingival Recession Defects Treated with Coronally Advanced Flap and Either the VISTA Technique Enhanced with GEM 21S or Periosteal 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>Pedicle Graft: A 9-Month Clinical Study.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Dent.2016;36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:231–</w:t>
      </w:r>
      <w:r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de Sanctis 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Baldini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Goracci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C,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Coronally advanced flap associated with a connective tissue graft for the treatment of multiple recession defects in mandibular posterior teeth.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:623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30.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de Sanctis M, Di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Domenico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GL,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Bandel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The 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 xml:space="preserve">influence of cementoenamel restorations in the treatment of multiple gingival recession defects associated with </w:t>
      </w:r>
      <w:proofErr w:type="spellStart"/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>noncarious</w:t>
      </w:r>
      <w:proofErr w:type="spellEnd"/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 xml:space="preserve"> cervical lesions: a prospective study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2020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:333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42.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Esteves J, Bhat KM, Thomas B,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Efficacy 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>of human chorion membrane allograft for recession coverage: a case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 xml:space="preserve"> series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2015 ;86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:941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94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Gobbato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L,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Nart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J,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Bressan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Patient morbidity and root coverage outcomes after the application of a subepithelial connective tissue graft in combination with a coronally advanced flap or via a tunneling technique: a randomized controlled clinical tri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Investig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;20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:2191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202.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Isler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SC,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Ozcan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Ozcan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Clinical evaluation of combined surgical/ restorative treatment of gingival recession-type defects using different restorative materials: A randomized clin</w:t>
      </w:r>
      <w:r>
        <w:rPr>
          <w:rFonts w:ascii="Times New Roman" w:eastAsia="Times New Roman" w:hAnsi="Times New Roman" w:cs="Times New Roman"/>
          <w:sz w:val="24"/>
          <w:szCs w:val="24"/>
        </w:rPr>
        <w:t>ical trial. J Dent Sci. 2018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:20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9.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Jaiswal GR, Kumar R, Khatri PM,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The effectiveness of enamel matrix protein (</w:t>
      </w:r>
      <w:proofErr w:type="spellStart"/>
      <w:proofErr w:type="gramStart"/>
      <w:r w:rsidRPr="009A683C">
        <w:rPr>
          <w:rFonts w:ascii="Times New Roman" w:eastAsia="Times New Roman" w:hAnsi="Times New Roman" w:cs="Times New Roman"/>
          <w:sz w:val="24"/>
          <w:szCs w:val="24"/>
        </w:rPr>
        <w:t>Emdogain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®)) in combination with coronally advanced flap in the treatment of multiple marginal tissue recession: A clinical study. J </w:t>
      </w:r>
      <w:r>
        <w:rPr>
          <w:rFonts w:ascii="Times New Roman" w:eastAsia="Times New Roman" w:hAnsi="Times New Roman" w:cs="Times New Roman"/>
          <w:sz w:val="24"/>
          <w:szCs w:val="24"/>
        </w:rPr>
        <w:t>Indian Soc</w:t>
      </w:r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:224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30.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Jankovic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Aleksic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Z,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Milinkovic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The coronally advanced flap in combination with platelet-rich fibrin (PRF) and enamel matrix derivative in the treatment of gingival recession: a comparative stu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dy.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Dent. 2010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:260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Keceli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HG,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Kamak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Erdemir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EO,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The 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>adjunctive effect of platelet-rich fibrin to connective tissue graft in the treatment of buccal recession defects: results of a randomized, parallel-group controlle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 xml:space="preserve">d trial.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:1221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30.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Khobragade S, Kolte A, Kolte R,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Modified coronally advanced flap with and without orthodontic button application in management of multiple proximate gingival recession defects: A randomized clinical tr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Contemp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Dent.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;7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:544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9.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>Kroiss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Rathe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F,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Sader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Acellular dermal matrix allograft versus autogenous connective tissue grafts for thickening soft tissue and covering multiple gingival recessions: a 5-year preference clinical stu</w:t>
      </w:r>
      <w:r>
        <w:rPr>
          <w:rFonts w:ascii="Times New Roman" w:eastAsia="Times New Roman" w:hAnsi="Times New Roman" w:cs="Times New Roman"/>
          <w:sz w:val="24"/>
          <w:szCs w:val="24"/>
        </w:rPr>
        <w:t>dy. Quintessence Int. 2019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;50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:278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85.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Kumar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Bains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VK,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Jhingran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Patient-centered Microsurgical Management of Gingival Recession using Coronally Advanced Flap with Either Platelet-rich Fibrin or Connective Tissue Graft: A Comparative Analy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Contemp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Dent. 2017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:293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–304.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Lafzi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Abolfazli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Faramarzi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Clinical comparison of coronally-advanced flap plus amniotic membrane or subepithelial connective tissue in the treatment of Miller’s class I and II gingival recessions: A split-mouth study. J Dent Res Dent</w:t>
      </w:r>
      <w:r>
        <w:rPr>
          <w:rFonts w:ascii="Times New Roman" w:eastAsia="Times New Roman" w:hAnsi="Times New Roman" w:cs="Times New Roman"/>
          <w:sz w:val="24"/>
          <w:szCs w:val="24"/>
        </w:rPr>
        <w:t>Clin Dent Prospects.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:162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8.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 Y,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Mlv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P,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Bv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K, N SJ. Comparison of 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 xml:space="preserve">extracellular matrix membrane and connective tissue graft for root coverage in class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I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>/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II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 xml:space="preserve"> gingival recession defects: a split mouth study.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Acad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:36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–44.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McGuire MK,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Scheyer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ET, Nunn M. Evaluation of human recession defects treated with coronally advanced flaps and either enamel matrix derivative or connective tissue: comparison of clinical parameters at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 years.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:1353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62.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McGuire MK,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Scheyer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ET,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Schupbach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P. Growth factor-mediated treatment of recession defects: a randomized controlled trial and histologic and microcomputed tomography exam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ination.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2009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:550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64.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McGuire MK,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Scheyer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ET, Snyder MB. Evaluation of recession defects treated with coronally advanced flaps and either recombinant human platelet-derived growth factor-BB plus β-tricalcium phosphate or connective tissue: comparison of clinical parameters 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 years.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:1361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McGuire MK,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Scheyer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ET. Long-</w:t>
      </w:r>
      <w:r w:rsidR="00FB3B1B" w:rsidRPr="009A683C">
        <w:rPr>
          <w:rFonts w:ascii="Times New Roman" w:eastAsia="Times New Roman" w:hAnsi="Times New Roman" w:cs="Times New Roman"/>
          <w:sz w:val="24"/>
          <w:szCs w:val="24"/>
        </w:rPr>
        <w:t xml:space="preserve">term results comparing xenogeneic collagen matrix and autogenous connective tissue grafts with coronally advanced flaps for treatment of dehiscence-type recession </w:t>
      </w:r>
      <w:r w:rsidR="00FB3B1B">
        <w:rPr>
          <w:rFonts w:ascii="Times New Roman" w:eastAsia="Times New Roman" w:hAnsi="Times New Roman" w:cs="Times New Roman"/>
          <w:sz w:val="24"/>
          <w:szCs w:val="24"/>
        </w:rPr>
        <w:t>defects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;87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:221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McGuire MK,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Scheyer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ET. Xenogeneic collagen matrix with coronally advanced flap compared to connective tissue with coronally advanced flap for the treatment of dehiscence-type recession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defects.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;81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:1108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17.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Milinkovic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Aleksic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Z,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Jankovic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S, et al. Clinical application of autologous fibroblast cell culture in gingival recession treatment. J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Periodont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Res. </w:t>
      </w:r>
      <w:r>
        <w:rPr>
          <w:rFonts w:ascii="Times New Roman" w:eastAsia="Times New Roman" w:hAnsi="Times New Roman" w:cs="Times New Roman"/>
          <w:sz w:val="24"/>
          <w:szCs w:val="24"/>
        </w:rPr>
        <w:t>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;50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:363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>Ozenci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Ipci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SD,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Cakar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G,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Tunnel technique versus coronally advanced flap with acellular dermal matrix graft in the treatment of multiple gingival recessions.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:1135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42.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Ozturan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Durukan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Ozcelik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O,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Coronally advanced flap adjunct with low intensity laser therapy: a randomized controlled clinical pilot stu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dy.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:1055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62.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-Prato GP, Cairo F,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Nieri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Coronally advanced flap versus connective tissue graft in the treatment of multiple gingival recessions: a split-mouth study with a 5-year follow-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up.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2010 ;37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:644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50.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Pourabbas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Chitsazi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MT,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Kosarieh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E,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Coronally advanced flap in combination with acellular dermal matrix with or without enamel matrix derivatives for root cover</w:t>
      </w:r>
      <w:r>
        <w:rPr>
          <w:rFonts w:ascii="Times New Roman" w:eastAsia="Times New Roman" w:hAnsi="Times New Roman" w:cs="Times New Roman"/>
          <w:sz w:val="24"/>
          <w:szCs w:val="24"/>
        </w:rPr>
        <w:t>age. Indian J Dent Res. 2009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;20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:320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Rebele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SF,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Zuhr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O, Schneider D,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Tunnel technique with connective tissue graft versus coronally advanced flap with enamel matrix derivative for root coverage: a RCT using 3D digital measuring methods. Part II. Volumetric studies on healing dynamics and gingival dimensio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ns.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:593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–603.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Reino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DM, Maia LP, Fernandes PG, et al. A </w:t>
      </w:r>
      <w:r w:rsidR="00E32C58" w:rsidRPr="009A683C">
        <w:rPr>
          <w:rFonts w:ascii="Times New Roman" w:eastAsia="Times New Roman" w:hAnsi="Times New Roman" w:cs="Times New Roman"/>
          <w:sz w:val="24"/>
          <w:szCs w:val="24"/>
        </w:rPr>
        <w:t>randomized comparative study of two techniques to optimize the root coverage using a porcine collagen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 xml:space="preserve"> matrix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Braz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Dent J.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;26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:445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50.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Roman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Balazsi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Câmpian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RS, et al. Patient-centered outcomes after subepithelial connective tissue grafts and coronally advanced f</w:t>
      </w:r>
      <w:r>
        <w:rPr>
          <w:rFonts w:ascii="Times New Roman" w:eastAsia="Times New Roman" w:hAnsi="Times New Roman" w:cs="Times New Roman"/>
          <w:sz w:val="24"/>
          <w:szCs w:val="24"/>
        </w:rPr>
        <w:t>laps. Quintessence Int. 2012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:841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51.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Rubins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RP,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Tolmie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PN,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Corsig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KT,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Subepithelial connective tissue graft with growth factor for the treatment of maxillary gingival recession defects.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:43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–50.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Schlee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Lex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Rathe F,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Treatment of multiple recessions by means of a collagen matrix: a case series.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:817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23.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Shin SH, Cueva MA, Kerns DG,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A comparative study of root coverage using acellular dermal matrix with and without enamel matrix derivative. J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Peri</w:t>
      </w:r>
      <w:r>
        <w:rPr>
          <w:rFonts w:ascii="Times New Roman" w:eastAsia="Times New Roman" w:hAnsi="Times New Roman" w:cs="Times New Roman"/>
          <w:sz w:val="24"/>
          <w:szCs w:val="24"/>
        </w:rPr>
        <w:t>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2007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;78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:411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21.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>Spahr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A,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Haegewald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Tsoulfidou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F, et al. Coverage of Miller class I and II recession defects using enamel matrix proteins versus coronally advanced flap technique: a 2-year report. J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z w:val="24"/>
          <w:szCs w:val="24"/>
        </w:rPr>
        <w:t>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2005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;76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:1871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80.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Stefanini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Jepsen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K, de Sanctis M, et al. Patient-reported outcomes and aesthetic evaluation of root coverage procedures: a 12-month follow-up of a randomized controlled clinical trial. J </w:t>
      </w:r>
      <w:r>
        <w:rPr>
          <w:rFonts w:ascii="Times New Roman" w:eastAsia="Times New Roman" w:hAnsi="Times New Roman" w:cs="Times New Roman"/>
          <w:sz w:val="24"/>
          <w:szCs w:val="24"/>
        </w:rPr>
        <w:t>Clin Periodontol.2016;43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:1132–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41.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Stefanini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Zucchelli 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Marzadori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Coronally </w:t>
      </w:r>
      <w:r w:rsidR="00E32C58" w:rsidRPr="009A683C">
        <w:rPr>
          <w:rFonts w:ascii="Times New Roman" w:eastAsia="Times New Roman" w:hAnsi="Times New Roman" w:cs="Times New Roman"/>
          <w:sz w:val="24"/>
          <w:szCs w:val="24"/>
        </w:rPr>
        <w:t>advanced flap with site-specific application of connective tissue graft for the treatment of multiple adjacent gingival recessions: a 3-year follow-up case series.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:25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–33.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Thakare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P,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Baliga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V,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Bhongade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ML. Comparative evaluation of the effectiveness of acellular dermal matrix allograft and subepithelial connective tissue to coronally advanced flap alone in the treatment of multiple gingival recessions: A clinical study. J </w:t>
      </w:r>
      <w:r>
        <w:rPr>
          <w:rFonts w:ascii="Times New Roman" w:eastAsia="Times New Roman" w:hAnsi="Times New Roman" w:cs="Times New Roman"/>
          <w:sz w:val="24"/>
          <w:szCs w:val="24"/>
        </w:rPr>
        <w:t>Indian Soc</w:t>
      </w:r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;19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:537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44.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Tonetti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MS,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Cortellini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P, Pellegrini G, et al. Xenogenic collagen matrix or autologous connective tissue graft as adjunct to coronally advanced flaps for coverage of multiple adjacent gingival recession: Randomized trial assessing non-inferiority in root coverage and superiority in oral health-related quality of 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fe.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:78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–88.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Tunalι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Özdemir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H,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Arabacι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T,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 xml:space="preserve"> 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Clinical evaluation of autologous platelet-rich fibrin in the treatment of multiple adjacent gingival recession defects: a 12-month study.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:105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14.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>Wallace SC. Treating human gingival recession defects with acellular dermis matrix and enamel matrix derivative using coronally ad</w:t>
      </w:r>
      <w:r>
        <w:rPr>
          <w:rFonts w:ascii="Times New Roman" w:eastAsia="Times New Roman" w:hAnsi="Times New Roman" w:cs="Times New Roman"/>
          <w:sz w:val="24"/>
          <w:szCs w:val="24"/>
        </w:rPr>
        <w:t>vanced flaps. Gen Dent.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;62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:e12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-15.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Wang H-L, Suárez-López Del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Amo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F,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Layher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. Comparison of </w:t>
      </w:r>
      <w:r w:rsidR="00E32C58" w:rsidRPr="009A683C">
        <w:rPr>
          <w:rFonts w:ascii="Times New Roman" w:eastAsia="Times New Roman" w:hAnsi="Times New Roman" w:cs="Times New Roman"/>
          <w:sz w:val="24"/>
          <w:szCs w:val="24"/>
        </w:rPr>
        <w:t>freeze-dried and solvent-dehydrated acellular dermal matrix for root coverage: a randomized controlled trial.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:811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Zucchelli G, De Sanctis M. The coronally advanced flap for the treatment of multiple recession defects: a modified surgical approach for the upper anterior teeth.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Acad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2007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;9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:96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–103.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Zucchelli 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Marzadori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Mounssif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Coronally advanced flap + connective tissue graft techniques for the treatment of deep gingival recession in the lower incisors. A controlled randomized clinical tri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:806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13.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Zucchelli G,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Stefanini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M, Ganz S,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al.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Coronally A</w:t>
      </w:r>
      <w:r w:rsidR="00E32C58" w:rsidRPr="009A683C">
        <w:rPr>
          <w:rFonts w:ascii="Times New Roman" w:eastAsia="Times New Roman" w:hAnsi="Times New Roman" w:cs="Times New Roman"/>
          <w:sz w:val="24"/>
          <w:szCs w:val="24"/>
        </w:rPr>
        <w:t>dvanced flap with different designs in the treatment of gingival recession: a comparative controlled randomized clinical trial.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Int J Periodo</w:t>
      </w:r>
      <w:r>
        <w:rPr>
          <w:rFonts w:ascii="Times New Roman" w:eastAsia="Times New Roman" w:hAnsi="Times New Roman" w:cs="Times New Roman"/>
          <w:sz w:val="24"/>
          <w:szCs w:val="24"/>
        </w:rPr>
        <w:t>ntics Restorative Dent. 2016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;36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:319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27.</w:t>
      </w:r>
    </w:p>
    <w:p w:rsidR="007F6203" w:rsidRPr="009A683C" w:rsidRDefault="007F6203" w:rsidP="007F620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Zuhr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O, 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Rebele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SF, Schneider D, </w:t>
      </w:r>
      <w:r w:rsidR="00E32C58">
        <w:rPr>
          <w:rFonts w:ascii="Times New Roman" w:eastAsia="Times New Roman" w:hAnsi="Times New Roman" w:cs="Times New Roman"/>
          <w:sz w:val="24"/>
          <w:szCs w:val="24"/>
        </w:rPr>
        <w:t>et al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. Tunnel technique with connective tissue graft versus coronally advanced flap with enamel matrix derivative for root coverage: a RCT using 3D digital measuring methods. Part I. Clinical and patient-</w:t>
      </w:r>
      <w:proofErr w:type="spellStart"/>
      <w:r w:rsidRPr="009A683C">
        <w:rPr>
          <w:rFonts w:ascii="Times New Roman" w:eastAsia="Times New Roman" w:hAnsi="Times New Roman" w:cs="Times New Roman"/>
          <w:sz w:val="24"/>
          <w:szCs w:val="24"/>
        </w:rPr>
        <w:t>centred</w:t>
      </w:r>
      <w:proofErr w:type="spellEnd"/>
      <w:r w:rsidRPr="009A683C">
        <w:rPr>
          <w:rFonts w:ascii="Times New Roman" w:eastAsia="Times New Roman" w:hAnsi="Times New Roman" w:cs="Times New Roman"/>
          <w:sz w:val="24"/>
          <w:szCs w:val="24"/>
        </w:rPr>
        <w:t xml:space="preserve"> outc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omes. 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Clin</w:t>
      </w:r>
      <w:proofErr w:type="spellEnd"/>
      <w:r w:rsidR="003220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Periodontol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;41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:582</w:t>
      </w:r>
      <w:proofErr w:type="gramEnd"/>
      <w:r w:rsidRPr="009A683C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A683C">
        <w:rPr>
          <w:rFonts w:ascii="Times New Roman" w:eastAsia="Times New Roman" w:hAnsi="Times New Roman" w:cs="Times New Roman"/>
          <w:sz w:val="24"/>
          <w:szCs w:val="24"/>
        </w:rPr>
        <w:t>92.</w:t>
      </w:r>
    </w:p>
    <w:p w:rsidR="00E547A2" w:rsidRPr="00B20802" w:rsidRDefault="00E547A2" w:rsidP="007F6203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7A2" w:rsidRPr="00B20802" w:rsidRDefault="00E547A2" w:rsidP="00E547A2">
      <w:pPr>
        <w:spacing w:after="0" w:line="480" w:lineRule="auto"/>
        <w:ind w:hanging="480"/>
        <w:rPr>
          <w:rFonts w:ascii="Times New Roman" w:eastAsia="Times New Roman" w:hAnsi="Times New Roman" w:cs="Times New Roman"/>
          <w:sz w:val="24"/>
          <w:szCs w:val="24"/>
        </w:rPr>
      </w:pPr>
    </w:p>
    <w:p w:rsidR="00DA2465" w:rsidRPr="00B20802" w:rsidRDefault="00DA2465">
      <w:pPr>
        <w:rPr>
          <w:rFonts w:ascii="Times New Roman" w:hAnsi="Times New Roman" w:cs="Times New Roman"/>
          <w:sz w:val="24"/>
          <w:szCs w:val="24"/>
        </w:rPr>
      </w:pPr>
    </w:p>
    <w:sectPr w:rsidR="00DA2465" w:rsidRPr="00B20802" w:rsidSect="00DD0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EBB"/>
    <w:multiLevelType w:val="hybridMultilevel"/>
    <w:tmpl w:val="54B6307C"/>
    <w:lvl w:ilvl="0" w:tplc="6F2EC9A8">
      <w:start w:val="1"/>
      <w:numFmt w:val="decimal"/>
      <w:lvlText w:val="%1)"/>
      <w:lvlJc w:val="center"/>
      <w:pPr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">
    <w:nsid w:val="28EF2048"/>
    <w:multiLevelType w:val="hybridMultilevel"/>
    <w:tmpl w:val="42982FA6"/>
    <w:lvl w:ilvl="0" w:tplc="6F2EC9A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DA2465"/>
    <w:rsid w:val="00114D3F"/>
    <w:rsid w:val="00132216"/>
    <w:rsid w:val="001A522D"/>
    <w:rsid w:val="001D4BD0"/>
    <w:rsid w:val="002379CA"/>
    <w:rsid w:val="00243204"/>
    <w:rsid w:val="00322017"/>
    <w:rsid w:val="003A6C17"/>
    <w:rsid w:val="00585DED"/>
    <w:rsid w:val="007406A9"/>
    <w:rsid w:val="007F6203"/>
    <w:rsid w:val="0082709E"/>
    <w:rsid w:val="00836FD2"/>
    <w:rsid w:val="00914D54"/>
    <w:rsid w:val="00B20802"/>
    <w:rsid w:val="00C420F5"/>
    <w:rsid w:val="00C95873"/>
    <w:rsid w:val="00D07FDB"/>
    <w:rsid w:val="00DA2465"/>
    <w:rsid w:val="00DD005D"/>
    <w:rsid w:val="00E32C58"/>
    <w:rsid w:val="00E547A2"/>
    <w:rsid w:val="00E6259C"/>
    <w:rsid w:val="00FB3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0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A246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7A2"/>
    <w:pPr>
      <w:ind w:left="720"/>
      <w:contextualSpacing/>
    </w:pPr>
  </w:style>
  <w:style w:type="table" w:styleId="TableGrid">
    <w:name w:val="Table Grid"/>
    <w:basedOn w:val="TableNormal"/>
    <w:uiPriority w:val="39"/>
    <w:rsid w:val="0082709E"/>
    <w:pPr>
      <w:spacing w:after="0" w:line="240" w:lineRule="auto"/>
    </w:pPr>
    <w:rPr>
      <w:rFonts w:eastAsiaTheme="minorEastAsia" w:cs="Times New Roman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4018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3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07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138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6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527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658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6096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9949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93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568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26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22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963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249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1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3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266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8889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5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7419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3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203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186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64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8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704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97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3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446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155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489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729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5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64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515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499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695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21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3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344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022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401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6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263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212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568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92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7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429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6907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8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3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050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67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9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568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37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8309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998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010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1965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4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05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5010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33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712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623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86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2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07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Hewlett-Packard Company</cp:lastModifiedBy>
  <cp:revision>12</cp:revision>
  <dcterms:created xsi:type="dcterms:W3CDTF">2020-08-08T12:52:00Z</dcterms:created>
  <dcterms:modified xsi:type="dcterms:W3CDTF">2021-02-22T07:13:00Z</dcterms:modified>
</cp:coreProperties>
</file>