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772FF4" w14:textId="77777777" w:rsidR="009465E3" w:rsidRPr="000A44B8" w:rsidRDefault="009465E3" w:rsidP="009465E3">
      <w:p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A44B8">
        <w:rPr>
          <w:rFonts w:ascii="Times New Roman" w:hAnsi="Times New Roman" w:cs="Times New Roman"/>
          <w:sz w:val="24"/>
          <w:szCs w:val="24"/>
          <w:lang w:val="en-US"/>
        </w:rPr>
        <w:t>Supplementary Table 2: Description of the PICO criteria applied to the ‘</w:t>
      </w:r>
      <w:proofErr w:type="gramStart"/>
      <w:r w:rsidRPr="000A44B8">
        <w:rPr>
          <w:rFonts w:ascii="Times New Roman" w:hAnsi="Times New Roman" w:cs="Times New Roman"/>
          <w:sz w:val="24"/>
          <w:szCs w:val="24"/>
          <w:lang w:val="en-US"/>
        </w:rPr>
        <w:t>Non-utilization</w:t>
      </w:r>
      <w:proofErr w:type="gramEnd"/>
      <w:r w:rsidRPr="000A44B8">
        <w:rPr>
          <w:rFonts w:ascii="Times New Roman" w:hAnsi="Times New Roman" w:cs="Times New Roman"/>
          <w:sz w:val="24"/>
          <w:szCs w:val="24"/>
          <w:lang w:val="en-US"/>
        </w:rPr>
        <w:t xml:space="preserve"> of oral health services and associated factors among children and adolescents: an integrative review’</w:t>
      </w:r>
    </w:p>
    <w:tbl>
      <w:tblPr>
        <w:tblStyle w:val="PlainTable2"/>
        <w:tblW w:w="5000" w:type="pct"/>
        <w:tblLook w:val="04A0" w:firstRow="1" w:lastRow="0" w:firstColumn="1" w:lastColumn="0" w:noHBand="0" w:noVBand="1"/>
      </w:tblPr>
      <w:tblGrid>
        <w:gridCol w:w="4513"/>
        <w:gridCol w:w="4513"/>
      </w:tblGrid>
      <w:tr w:rsidR="009465E3" w:rsidRPr="000A44B8" w14:paraId="25711D1C" w14:textId="77777777" w:rsidTr="007150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</w:tcPr>
          <w:p w14:paraId="1FF3A738" w14:textId="77777777" w:rsidR="009465E3" w:rsidRPr="000A44B8" w:rsidRDefault="009465E3" w:rsidP="0071509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A44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PICO</w:t>
            </w:r>
          </w:p>
        </w:tc>
        <w:tc>
          <w:tcPr>
            <w:tcW w:w="2500" w:type="pct"/>
          </w:tcPr>
          <w:p w14:paraId="6162C6CA" w14:textId="77777777" w:rsidR="009465E3" w:rsidRPr="000A44B8" w:rsidRDefault="009465E3" w:rsidP="00715090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A44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Description</w:t>
            </w:r>
          </w:p>
        </w:tc>
      </w:tr>
      <w:tr w:rsidR="009465E3" w:rsidRPr="000A44B8" w14:paraId="30E470C7" w14:textId="77777777" w:rsidTr="00715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</w:tcPr>
          <w:p w14:paraId="7F7679F5" w14:textId="77777777" w:rsidR="009465E3" w:rsidRPr="000A44B8" w:rsidRDefault="009465E3" w:rsidP="00715090">
            <w:pPr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 w:rsidRPr="000A44B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Participants/population (P)</w:t>
            </w:r>
          </w:p>
        </w:tc>
        <w:tc>
          <w:tcPr>
            <w:tcW w:w="2500" w:type="pct"/>
          </w:tcPr>
          <w:p w14:paraId="7F31B472" w14:textId="77777777" w:rsidR="009465E3" w:rsidRPr="000A44B8" w:rsidRDefault="009465E3" w:rsidP="00715090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A44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Eligible participants were children and adolescents up to 19 years of age</w:t>
            </w:r>
          </w:p>
        </w:tc>
      </w:tr>
      <w:tr w:rsidR="009465E3" w:rsidRPr="000A44B8" w14:paraId="3FB3355A" w14:textId="77777777" w:rsidTr="00715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</w:tcPr>
          <w:p w14:paraId="46C74368" w14:textId="77777777" w:rsidR="009465E3" w:rsidRPr="000A44B8" w:rsidRDefault="009465E3" w:rsidP="00715090">
            <w:pPr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 w:rsidRPr="000A44B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Intervention(s), exposure(s) (I)</w:t>
            </w:r>
          </w:p>
        </w:tc>
        <w:tc>
          <w:tcPr>
            <w:tcW w:w="2500" w:type="pct"/>
          </w:tcPr>
          <w:p w14:paraId="6571C0B3" w14:textId="77777777" w:rsidR="009465E3" w:rsidRPr="000A44B8" w:rsidRDefault="009465E3" w:rsidP="0071509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A44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Nature of the exposures reviewed:</w:t>
            </w:r>
          </w:p>
          <w:p w14:paraId="57FA7DA6" w14:textId="0C251025" w:rsidR="009465E3" w:rsidRPr="000A44B8" w:rsidRDefault="009465E3" w:rsidP="0071509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A44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All studies that have assessed any sort of non-utilization of oral health services were reviewed such as </w:t>
            </w:r>
            <w:r w:rsidR="00303BB2" w:rsidRPr="000A44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dental non-attendance/absenteeism, poor/irregular dental attendance pattern/dental visits, dental avoidance, missed or cancelled dental appointments, low/no use of preventive dental care, limited dental care accessibility &amp; availability and other similar concepts</w:t>
            </w:r>
          </w:p>
        </w:tc>
      </w:tr>
      <w:tr w:rsidR="009465E3" w:rsidRPr="000A44B8" w14:paraId="5D10F498" w14:textId="77777777" w:rsidTr="00715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</w:tcPr>
          <w:p w14:paraId="591294B0" w14:textId="77777777" w:rsidR="009465E3" w:rsidRPr="000A44B8" w:rsidRDefault="009465E3" w:rsidP="00715090">
            <w:pPr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 w:rsidRPr="000A44B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Comparator(s)/control (C)</w:t>
            </w:r>
          </w:p>
        </w:tc>
        <w:tc>
          <w:tcPr>
            <w:tcW w:w="2500" w:type="pct"/>
          </w:tcPr>
          <w:p w14:paraId="38DEF95B" w14:textId="77777777" w:rsidR="009465E3" w:rsidRPr="000A44B8" w:rsidRDefault="009465E3" w:rsidP="00715090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A44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Population (under 19 years of age) who utilized the oral health services </w:t>
            </w:r>
          </w:p>
        </w:tc>
      </w:tr>
      <w:tr w:rsidR="009465E3" w:rsidRPr="00490C1C" w14:paraId="03CAEC79" w14:textId="77777777" w:rsidTr="00715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</w:tcPr>
          <w:p w14:paraId="6E845191" w14:textId="77777777" w:rsidR="009465E3" w:rsidRPr="000A44B8" w:rsidRDefault="009465E3" w:rsidP="00715090">
            <w:pPr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 w:rsidRPr="000A44B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Outcome(s) (O)</w:t>
            </w:r>
          </w:p>
        </w:tc>
        <w:tc>
          <w:tcPr>
            <w:tcW w:w="2500" w:type="pct"/>
          </w:tcPr>
          <w:p w14:paraId="7714E80E" w14:textId="2B1A2FAC" w:rsidR="006E6890" w:rsidRPr="000A44B8" w:rsidRDefault="006E6890" w:rsidP="006E689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A44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Main Outcome - Non-utilization of oral health services </w:t>
            </w:r>
          </w:p>
          <w:p w14:paraId="653A2C86" w14:textId="78174689" w:rsidR="009465E3" w:rsidRPr="000A44B8" w:rsidRDefault="006E6890" w:rsidP="006E689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A44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Secondary Outcome - Association of predisposing, enabling and need factors with non-utilization of oral health services   </w:t>
            </w:r>
          </w:p>
        </w:tc>
      </w:tr>
    </w:tbl>
    <w:p w14:paraId="57CC668F" w14:textId="77777777" w:rsidR="0074686D" w:rsidRDefault="0074686D"/>
    <w:sectPr w:rsidR="0074686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LAwM7EwMjU2M7I0MjVQ0lEKTi0uzszPAykwqwUA8rm1kiwAAAA="/>
  </w:docVars>
  <w:rsids>
    <w:rsidRoot w:val="00867D06"/>
    <w:rsid w:val="000A44B8"/>
    <w:rsid w:val="000E2FFD"/>
    <w:rsid w:val="0018763A"/>
    <w:rsid w:val="00303BB2"/>
    <w:rsid w:val="003F11FA"/>
    <w:rsid w:val="004305FF"/>
    <w:rsid w:val="006D2C6A"/>
    <w:rsid w:val="006E6890"/>
    <w:rsid w:val="0074686D"/>
    <w:rsid w:val="0075580F"/>
    <w:rsid w:val="00867D06"/>
    <w:rsid w:val="009465E3"/>
    <w:rsid w:val="009937DB"/>
    <w:rsid w:val="00BC4221"/>
    <w:rsid w:val="00C35BB3"/>
    <w:rsid w:val="00D75ECC"/>
    <w:rsid w:val="00D96927"/>
    <w:rsid w:val="00E70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D09816"/>
  <w15:chartTrackingRefBased/>
  <w15:docId w15:val="{B532CB34-9DE9-4791-9D2C-D58F15309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65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PlainTable2">
    <w:name w:val="Plain Table 2"/>
    <w:basedOn w:val="TableNormal"/>
    <w:uiPriority w:val="42"/>
    <w:rsid w:val="009465E3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6D2C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D2C6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2C6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C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C6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Goswami, Shweta</dc:creator>
  <cp:keywords/>
  <dc:description/>
  <cp:lastModifiedBy>Goswami, Shweta</cp:lastModifiedBy>
  <cp:revision>9</cp:revision>
  <dcterms:created xsi:type="dcterms:W3CDTF">2022-03-22T15:23:00Z</dcterms:created>
  <dcterms:modified xsi:type="dcterms:W3CDTF">2022-04-20T16:09:00Z</dcterms:modified>
</cp:coreProperties>
</file>