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028" w:rsidRPr="00D36BAE" w:rsidRDefault="00C57028" w:rsidP="00C57028">
      <w:pPr>
        <w:rPr>
          <w:rFonts w:ascii="Times New Roman" w:hAnsi="Times New Roman" w:cs="Times New Roman"/>
          <w:b/>
          <w:lang w:val="en-US"/>
        </w:rPr>
      </w:pPr>
      <w:r w:rsidRPr="00D36BAE">
        <w:rPr>
          <w:rFonts w:ascii="Times New Roman" w:hAnsi="Times New Roman" w:cs="Times New Roman"/>
          <w:b/>
          <w:lang w:val="en-US"/>
        </w:rPr>
        <w:t xml:space="preserve">Supplementary Online Content </w:t>
      </w:r>
    </w:p>
    <w:p w:rsidR="00C57028" w:rsidRPr="00D36BAE" w:rsidRDefault="00C57028" w:rsidP="00C57028">
      <w:pPr>
        <w:rPr>
          <w:lang w:val="en-US"/>
        </w:rPr>
      </w:pPr>
    </w:p>
    <w:p w:rsidR="00C57028" w:rsidRPr="00CD595F" w:rsidRDefault="00C57028" w:rsidP="00C57028">
      <w:pPr>
        <w:spacing w:after="120" w:line="480" w:lineRule="auto"/>
        <w:rPr>
          <w:rFonts w:ascii="Times New Roman" w:eastAsia="Times New Roman" w:hAnsi="Times New Roman" w:cs="Times New Roman"/>
          <w:szCs w:val="20"/>
          <w:highlight w:val="yellow"/>
          <w:lang w:val="en-US" w:eastAsia="de-DE"/>
        </w:rPr>
      </w:pPr>
      <w:r w:rsidRPr="00CD595F">
        <w:rPr>
          <w:rFonts w:ascii="Times New Roman" w:hAnsi="Times New Roman" w:cs="Times New Roman"/>
          <w:b/>
          <w:highlight w:val="yellow"/>
          <w:lang w:val="en-US"/>
        </w:rPr>
        <w:t>Table S1</w:t>
      </w:r>
      <w:r w:rsidRPr="00CD595F">
        <w:rPr>
          <w:rFonts w:ascii="Times New Roman" w:hAnsi="Times New Roman" w:cs="Times New Roman"/>
          <w:bCs/>
          <w:highlight w:val="yellow"/>
          <w:lang w:val="en-US"/>
        </w:rPr>
        <w:t xml:space="preserve">: </w:t>
      </w:r>
      <w:r w:rsidRPr="00CD595F">
        <w:rPr>
          <w:rFonts w:ascii="Times New Roman" w:eastAsia="Times New Roman" w:hAnsi="Times New Roman" w:cs="Times New Roman"/>
          <w:szCs w:val="20"/>
          <w:highlight w:val="yellow"/>
          <w:lang w:val="en-US" w:eastAsia="de-DE"/>
        </w:rPr>
        <w:t>Demographic and disease-related characteristics of the cancer sample, weighted (n=2,141)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171"/>
        <w:gridCol w:w="789"/>
        <w:gridCol w:w="900"/>
      </w:tblGrid>
      <w:tr w:rsidR="00C57028" w:rsidRPr="00CD595F" w:rsidTr="00537286">
        <w:trPr>
          <w:trHeight w:val="283"/>
        </w:trPr>
        <w:tc>
          <w:tcPr>
            <w:tcW w:w="317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val="en-US" w:eastAsia="de-DE"/>
              </w:rPr>
            </w:pPr>
          </w:p>
        </w:tc>
        <w:tc>
          <w:tcPr>
            <w:tcW w:w="78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val="en-US" w:eastAsia="de-DE"/>
              </w:rPr>
              <w:t>n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vertAlign w:val="superscript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val="en-US" w:eastAsia="de-DE"/>
              </w:rPr>
              <w:t>%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tcBorders>
              <w:top w:val="single" w:sz="2" w:space="0" w:color="auto"/>
              <w:bottom w:val="nil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>Age, mean (SD), years</w:t>
            </w:r>
          </w:p>
        </w:tc>
        <w:tc>
          <w:tcPr>
            <w:tcW w:w="1689" w:type="dxa"/>
            <w:gridSpan w:val="2"/>
            <w:tcBorders>
              <w:top w:val="single" w:sz="2" w:space="0" w:color="auto"/>
              <w:bottom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58.6 (10.98)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</w:rPr>
              <w:tab/>
              <w:t>&lt; 40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120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6.0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</w:rPr>
              <w:tab/>
              <w:t>41-69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1668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77.9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</w:rPr>
              <w:tab/>
              <w:t>≥ 70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352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16.1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>Sex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Male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1082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50.5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Female  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1059</w:t>
            </w:r>
          </w:p>
        </w:tc>
        <w:tc>
          <w:tcPr>
            <w:tcW w:w="900" w:type="dxa"/>
            <w:tcBorders>
              <w:top w:val="nil"/>
            </w:tcBorders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49.5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>Tumor site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Breast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437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20.4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Prostate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359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16.8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Colorectal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284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13.3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Lung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188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8.8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Female genital organs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177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8.3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Hematologic cancers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162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7.5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Stomach/esophageal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84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3.9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Kidney/urinary tract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77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3.6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Head and neck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65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3.0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Bladder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50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2.3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 xml:space="preserve">Pancreas 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50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2.3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Malignant melanoma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37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1.7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Other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171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8.0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>Disease stage</w:t>
            </w:r>
          </w:p>
        </w:tc>
        <w:tc>
          <w:tcPr>
            <w:tcW w:w="1689" w:type="dxa"/>
            <w:gridSpan w:val="2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Curable/unclear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1658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77.4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Incurable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483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22.6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>Time since current diagnosis, mean (SD), months</w:t>
            </w:r>
          </w:p>
        </w:tc>
        <w:tc>
          <w:tcPr>
            <w:tcW w:w="1689" w:type="dxa"/>
            <w:gridSpan w:val="2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13.0 (24.2)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&lt; 12 months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1338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73.5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12-24 months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226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12.4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&gt; 24 months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256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14.0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>Treatment setting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Inpatient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936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43.7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Outpatient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648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30.2</w:t>
            </w:r>
          </w:p>
        </w:tc>
      </w:tr>
      <w:tr w:rsidR="00C57028" w:rsidRPr="00CD595F" w:rsidTr="00537286">
        <w:trPr>
          <w:trHeight w:val="283"/>
        </w:trPr>
        <w:tc>
          <w:tcPr>
            <w:tcW w:w="3171" w:type="dxa"/>
            <w:vAlign w:val="center"/>
          </w:tcPr>
          <w:p w:rsidR="00C57028" w:rsidRPr="00CD595F" w:rsidRDefault="00C57028" w:rsidP="0053728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bCs/>
                <w:sz w:val="16"/>
                <w:szCs w:val="16"/>
                <w:highlight w:val="yellow"/>
                <w:lang w:val="en-US" w:eastAsia="de-DE"/>
              </w:rPr>
              <w:tab/>
              <w:t>Rehabilitation, inpatient</w:t>
            </w:r>
          </w:p>
        </w:tc>
        <w:tc>
          <w:tcPr>
            <w:tcW w:w="789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558</w:t>
            </w:r>
          </w:p>
        </w:tc>
        <w:tc>
          <w:tcPr>
            <w:tcW w:w="900" w:type="dxa"/>
            <w:vAlign w:val="center"/>
          </w:tcPr>
          <w:p w:rsidR="00C57028" w:rsidRPr="00CD595F" w:rsidRDefault="00C57028" w:rsidP="0053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</w:pPr>
            <w:r w:rsidRPr="00CD595F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</w:rPr>
              <w:t>26.0</w:t>
            </w:r>
          </w:p>
        </w:tc>
      </w:tr>
    </w:tbl>
    <w:p w:rsidR="00C57028" w:rsidRPr="00CD595F" w:rsidRDefault="00C57028" w:rsidP="00C57028">
      <w:pPr>
        <w:spacing w:after="240"/>
        <w:jc w:val="both"/>
        <w:rPr>
          <w:highlight w:val="yellow"/>
        </w:rPr>
      </w:pPr>
    </w:p>
    <w:p w:rsidR="00C57028" w:rsidRPr="00EC380B" w:rsidRDefault="00C57028" w:rsidP="00C57028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CD595F">
        <w:rPr>
          <w:rFonts w:ascii="Times New Roman" w:hAnsi="Times New Roman" w:cs="Times New Roman"/>
          <w:highlight w:val="yellow"/>
          <w:lang w:val="en-US"/>
        </w:rPr>
        <w:t>General population sample, weighted (n=4,483): Age M=62.4 (SD=12.9); 46.4% female</w:t>
      </w:r>
    </w:p>
    <w:p w:rsidR="00C57028" w:rsidRDefault="00C57028" w:rsidP="00C57028">
      <w:pPr>
        <w:spacing w:line="480" w:lineRule="auto"/>
        <w:rPr>
          <w:rFonts w:ascii="Times New Roman" w:hAnsi="Times New Roman" w:cs="Times New Roman"/>
          <w:bCs/>
          <w:lang w:val="en-US"/>
        </w:rPr>
      </w:pPr>
    </w:p>
    <w:p w:rsidR="00C57028" w:rsidRDefault="00C57028" w:rsidP="00C57028">
      <w:pPr>
        <w:spacing w:line="480" w:lineRule="auto"/>
        <w:rPr>
          <w:rFonts w:ascii="Times New Roman" w:hAnsi="Times New Roman" w:cs="Times New Roman"/>
          <w:bCs/>
          <w:lang w:val="en-US"/>
        </w:rPr>
      </w:pPr>
    </w:p>
    <w:p w:rsidR="00C57028" w:rsidRDefault="00C57028" w:rsidP="00C57028">
      <w:pPr>
        <w:spacing w:line="480" w:lineRule="auto"/>
        <w:rPr>
          <w:rFonts w:ascii="Times New Roman" w:hAnsi="Times New Roman" w:cs="Times New Roman"/>
          <w:bCs/>
          <w:lang w:val="en-US"/>
        </w:rPr>
      </w:pPr>
    </w:p>
    <w:p w:rsidR="00C57028" w:rsidRDefault="00C57028" w:rsidP="00C57028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noProof/>
          <w:lang w:val="en-US"/>
        </w:rPr>
        <w:drawing>
          <wp:inline distT="0" distB="0" distL="0" distR="0" wp14:anchorId="5E46B347" wp14:editId="5958908C">
            <wp:extent cx="5760085" cy="51854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028" w:rsidRDefault="00C57028" w:rsidP="00C5702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Figure S1</w:t>
      </w:r>
      <w:r w:rsidRPr="00E91AF4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bCs/>
          <w:lang w:val="en-US"/>
        </w:rPr>
        <w:t xml:space="preserve"> P</w:t>
      </w:r>
      <w:r w:rsidRPr="00D36BAE">
        <w:rPr>
          <w:rFonts w:ascii="Times New Roman" w:hAnsi="Times New Roman" w:cs="Times New Roman"/>
          <w:bCs/>
          <w:lang w:val="en-US"/>
        </w:rPr>
        <w:t>revalence rates for any mood disorder in patients with cancer vs. age and gender matched controls by disease-related and demographic subgroups</w:t>
      </w:r>
      <w:r>
        <w:rPr>
          <w:rFonts w:ascii="Times New Roman" w:hAnsi="Times New Roman" w:cs="Times New Roman"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Prevalence rates</w:t>
      </w:r>
      <w:r w:rsidRPr="00D36BA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in controls were weighted </w:t>
      </w:r>
      <w:r w:rsidRPr="00D36BAE">
        <w:rPr>
          <w:rFonts w:ascii="Times New Roman" w:hAnsi="Times New Roman" w:cs="Times New Roman"/>
          <w:lang w:val="en-US"/>
        </w:rPr>
        <w:t xml:space="preserve">based on propensity score-matching. Matching accounted for age, gender, and </w:t>
      </w:r>
      <w:proofErr w:type="spellStart"/>
      <w:r w:rsidRPr="00D36BAE">
        <w:rPr>
          <w:rFonts w:ascii="Times New Roman" w:hAnsi="Times New Roman" w:cs="Times New Roman"/>
          <w:lang w:val="en-US"/>
        </w:rPr>
        <w:t>age×gender</w:t>
      </w:r>
      <w:proofErr w:type="spellEnd"/>
      <w:r w:rsidRPr="00D36BAE">
        <w:rPr>
          <w:rFonts w:ascii="Times New Roman" w:hAnsi="Times New Roman" w:cs="Times New Roman"/>
          <w:lang w:val="en-US"/>
        </w:rPr>
        <w:t xml:space="preserve"> interaction.</w:t>
      </w:r>
      <w:r>
        <w:rPr>
          <w:rFonts w:ascii="Times New Roman" w:hAnsi="Times New Roman" w:cs="Times New Roman"/>
          <w:lang w:val="en-US"/>
        </w:rPr>
        <w:t xml:space="preserve"> 12-month-prevalence rates were assessed. </w:t>
      </w:r>
      <w:r w:rsidRPr="00D36BAE">
        <w:rPr>
          <w:rFonts w:ascii="Times New Roman" w:hAnsi="Times New Roman" w:cs="Times New Roman"/>
          <w:bCs/>
          <w:lang w:val="en-US"/>
        </w:rPr>
        <w:t xml:space="preserve">Mood disorder diagnoses </w:t>
      </w:r>
      <w:r>
        <w:rPr>
          <w:rFonts w:ascii="Times New Roman" w:hAnsi="Times New Roman" w:cs="Times New Roman"/>
          <w:bCs/>
          <w:lang w:val="en-US"/>
        </w:rPr>
        <w:t>included</w:t>
      </w:r>
      <w:r w:rsidRPr="00D36BAE">
        <w:rPr>
          <w:rFonts w:ascii="Times New Roman" w:hAnsi="Times New Roman" w:cs="Times New Roman"/>
          <w:bCs/>
          <w:lang w:val="en-US"/>
        </w:rPr>
        <w:t xml:space="preserve"> </w:t>
      </w:r>
      <w:r w:rsidRPr="00D36BAE">
        <w:rPr>
          <w:rFonts w:ascii="Times New Roman" w:hAnsi="Times New Roman" w:cs="Times New Roman"/>
          <w:lang w:val="en-US"/>
        </w:rPr>
        <w:t xml:space="preserve">mania and bipolar I disorder, hypomania and bipolar II disorder, major depressive episode, </w:t>
      </w:r>
      <w:r>
        <w:rPr>
          <w:rFonts w:ascii="Times New Roman" w:hAnsi="Times New Roman" w:cs="Times New Roman"/>
          <w:lang w:val="en-US"/>
        </w:rPr>
        <w:t xml:space="preserve">and </w:t>
      </w:r>
      <w:r w:rsidRPr="00D36BAE">
        <w:rPr>
          <w:rFonts w:ascii="Times New Roman" w:hAnsi="Times New Roman" w:cs="Times New Roman"/>
          <w:lang w:val="en-US"/>
        </w:rPr>
        <w:t>dysthymia</w:t>
      </w:r>
      <w:r>
        <w:rPr>
          <w:rFonts w:ascii="Times New Roman" w:hAnsi="Times New Roman" w:cs="Times New Roman"/>
          <w:lang w:val="en-US"/>
        </w:rPr>
        <w:t xml:space="preserve">. </w:t>
      </w:r>
      <w:r w:rsidRPr="00D36BAE">
        <w:rPr>
          <w:rFonts w:ascii="Times New Roman" w:hAnsi="Times New Roman" w:cs="Times New Roman"/>
          <w:lang w:val="en-US"/>
        </w:rPr>
        <w:t>*p&lt;.05, **p&lt;.01, ***p&lt;.001</w:t>
      </w:r>
    </w:p>
    <w:p w:rsidR="00C57028" w:rsidRDefault="00C57028" w:rsidP="00C5702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C57028" w:rsidRPr="00D36BAE" w:rsidRDefault="00C57028" w:rsidP="00C5702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5AE2EF7" wp14:editId="764C86FB">
            <wp:extent cx="5760085" cy="509206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028" w:rsidRDefault="00C57028" w:rsidP="00C5702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S2</w:t>
      </w:r>
      <w:r w:rsidRPr="00D36BAE">
        <w:rPr>
          <w:rFonts w:ascii="Times New Roman" w:hAnsi="Times New Roman" w:cs="Times New Roman"/>
          <w:bCs/>
          <w:lang w:val="en-US"/>
        </w:rPr>
        <w:t xml:space="preserve">: </w:t>
      </w:r>
      <w:r>
        <w:rPr>
          <w:rFonts w:ascii="Times New Roman" w:hAnsi="Times New Roman" w:cs="Times New Roman"/>
          <w:bCs/>
          <w:lang w:val="en-US"/>
        </w:rPr>
        <w:t>P</w:t>
      </w:r>
      <w:r w:rsidRPr="00D36BAE">
        <w:rPr>
          <w:rFonts w:ascii="Times New Roman" w:hAnsi="Times New Roman" w:cs="Times New Roman"/>
          <w:bCs/>
          <w:lang w:val="en-US"/>
        </w:rPr>
        <w:t>revalence rates for any anxiety disorder in patients with cancer vs. age and gender matched controls by disease-related and demographic subgroups</w:t>
      </w:r>
      <w:r>
        <w:rPr>
          <w:rFonts w:ascii="Times New Roman" w:hAnsi="Times New Roman" w:cs="Times New Roman"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Prevalence rates</w:t>
      </w:r>
      <w:r w:rsidRPr="00D36BA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in controls were weighted </w:t>
      </w:r>
      <w:r w:rsidRPr="00D36BAE">
        <w:rPr>
          <w:rFonts w:ascii="Times New Roman" w:hAnsi="Times New Roman" w:cs="Times New Roman"/>
          <w:lang w:val="en-US"/>
        </w:rPr>
        <w:t xml:space="preserve">based on propensity score-matching. Matching accounted for age, gender, and </w:t>
      </w:r>
      <w:proofErr w:type="spellStart"/>
      <w:r w:rsidRPr="00D36BAE">
        <w:rPr>
          <w:rFonts w:ascii="Times New Roman" w:hAnsi="Times New Roman" w:cs="Times New Roman"/>
          <w:lang w:val="en-US"/>
        </w:rPr>
        <w:t>age×gender</w:t>
      </w:r>
      <w:proofErr w:type="spellEnd"/>
      <w:r w:rsidRPr="00D36BAE">
        <w:rPr>
          <w:rFonts w:ascii="Times New Roman" w:hAnsi="Times New Roman" w:cs="Times New Roman"/>
          <w:lang w:val="en-US"/>
        </w:rPr>
        <w:t xml:space="preserve"> interaction.</w:t>
      </w:r>
      <w:r>
        <w:rPr>
          <w:rFonts w:ascii="Times New Roman" w:hAnsi="Times New Roman" w:cs="Times New Roman"/>
          <w:lang w:val="en-US"/>
        </w:rPr>
        <w:t xml:space="preserve"> 12-month-prevalence rates were assessed. </w:t>
      </w:r>
      <w:r w:rsidRPr="00D36BAE">
        <w:rPr>
          <w:rFonts w:ascii="Times New Roman" w:hAnsi="Times New Roman" w:cs="Times New Roman"/>
          <w:bCs/>
          <w:lang w:val="en-US"/>
        </w:rPr>
        <w:t xml:space="preserve">Anxiety disorder diagnoses </w:t>
      </w:r>
      <w:r>
        <w:rPr>
          <w:rFonts w:ascii="Times New Roman" w:hAnsi="Times New Roman" w:cs="Times New Roman"/>
          <w:bCs/>
          <w:lang w:val="en-US"/>
        </w:rPr>
        <w:t xml:space="preserve">included </w:t>
      </w:r>
      <w:r w:rsidRPr="00D36BAE">
        <w:rPr>
          <w:rFonts w:ascii="Times New Roman" w:hAnsi="Times New Roman" w:cs="Times New Roman"/>
          <w:lang w:val="en-US"/>
        </w:rPr>
        <w:t xml:space="preserve">agoraphobia with panic disorder, panic disorder without agoraphobia, generalized anxiety disorder, social phobia, any specific phobia, </w:t>
      </w:r>
      <w:r>
        <w:rPr>
          <w:rFonts w:ascii="Times New Roman" w:hAnsi="Times New Roman" w:cs="Times New Roman"/>
          <w:lang w:val="en-US"/>
        </w:rPr>
        <w:t xml:space="preserve">and </w:t>
      </w:r>
      <w:r w:rsidRPr="00D36BAE">
        <w:rPr>
          <w:rFonts w:ascii="Times New Roman" w:hAnsi="Times New Roman" w:cs="Times New Roman"/>
          <w:lang w:val="en-US"/>
        </w:rPr>
        <w:t>posttraumatic stress disorder</w:t>
      </w:r>
      <w:r>
        <w:rPr>
          <w:rFonts w:ascii="Times New Roman" w:hAnsi="Times New Roman" w:cs="Times New Roman"/>
          <w:lang w:val="en-US"/>
        </w:rPr>
        <w:t xml:space="preserve">. </w:t>
      </w:r>
      <w:r w:rsidRPr="00D36BAE">
        <w:rPr>
          <w:rFonts w:ascii="Times New Roman" w:hAnsi="Times New Roman" w:cs="Times New Roman"/>
          <w:lang w:val="en-US"/>
        </w:rPr>
        <w:t>*p&lt;.05, **p&lt;.01, ***p&lt;.001</w:t>
      </w:r>
    </w:p>
    <w:p w:rsidR="00C57028" w:rsidRDefault="00C57028" w:rsidP="00C5702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C57028" w:rsidRPr="00D36BAE" w:rsidRDefault="00C57028" w:rsidP="00C5702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0E32F6F" wp14:editId="569FB706">
            <wp:extent cx="5760085" cy="3903980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028" w:rsidRPr="009F3DBC" w:rsidRDefault="00C57028" w:rsidP="00C5702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S3</w:t>
      </w:r>
      <w:r w:rsidRPr="00D36BAE">
        <w:rPr>
          <w:rFonts w:ascii="Times New Roman" w:hAnsi="Times New Roman" w:cs="Times New Roman"/>
          <w:b/>
          <w:lang w:val="en-US"/>
        </w:rPr>
        <w:t xml:space="preserve">: </w:t>
      </w:r>
      <w:r w:rsidRPr="00D36BAE">
        <w:rPr>
          <w:rFonts w:ascii="Times New Roman" w:hAnsi="Times New Roman" w:cs="Times New Roman"/>
          <w:bCs/>
          <w:lang w:val="en-US"/>
        </w:rPr>
        <w:t xml:space="preserve">Comparison of mental disorder prevalence rates in patients with cancer </w:t>
      </w:r>
      <w:r>
        <w:rPr>
          <w:rFonts w:ascii="Times New Roman" w:hAnsi="Times New Roman" w:cs="Times New Roman"/>
          <w:bCs/>
          <w:lang w:val="en-US"/>
        </w:rPr>
        <w:t xml:space="preserve">(n=2,141) </w:t>
      </w:r>
      <w:r w:rsidRPr="00D36BAE">
        <w:rPr>
          <w:rFonts w:ascii="Times New Roman" w:hAnsi="Times New Roman" w:cs="Times New Roman"/>
          <w:bCs/>
          <w:lang w:val="en-US"/>
        </w:rPr>
        <w:t>vs. matched healthy controls</w:t>
      </w:r>
      <w:r>
        <w:rPr>
          <w:rFonts w:ascii="Times New Roman" w:hAnsi="Times New Roman" w:cs="Times New Roman"/>
          <w:bCs/>
          <w:lang w:val="en-US"/>
        </w:rPr>
        <w:t xml:space="preserve"> (n=990, </w:t>
      </w:r>
      <w:r>
        <w:rPr>
          <w:rFonts w:ascii="Times New Roman" w:hAnsi="Times New Roman" w:cs="Times New Roman"/>
          <w:lang w:val="en-US"/>
        </w:rPr>
        <w:t>s</w:t>
      </w:r>
      <w:r w:rsidRPr="00D36BAE">
        <w:rPr>
          <w:rFonts w:ascii="Times New Roman" w:hAnsi="Times New Roman" w:cs="Times New Roman"/>
          <w:lang w:val="en-US"/>
        </w:rPr>
        <w:t xml:space="preserve">ubgroup of general population without diagnosis of a chronic health condition including musculoskeletal, cardiovascular, gastrointestinal, neurologic, allergic, thyroid, or lower respiratory tract diseases, </w:t>
      </w:r>
      <w:proofErr w:type="spellStart"/>
      <w:r w:rsidRPr="00D36BAE">
        <w:rPr>
          <w:rFonts w:ascii="Times New Roman" w:hAnsi="Times New Roman" w:cs="Times New Roman"/>
          <w:lang w:val="en-US"/>
        </w:rPr>
        <w:t>cardiometabolic</w:t>
      </w:r>
      <w:proofErr w:type="spellEnd"/>
      <w:r w:rsidRPr="00D36BAE">
        <w:rPr>
          <w:rFonts w:ascii="Times New Roman" w:hAnsi="Times New Roman" w:cs="Times New Roman"/>
          <w:lang w:val="en-US"/>
        </w:rPr>
        <w:t xml:space="preserve"> conditions, and cancer</w:t>
      </w:r>
      <w:r>
        <w:rPr>
          <w:rFonts w:ascii="Times New Roman" w:hAnsi="Times New Roman" w:cs="Times New Roman"/>
          <w:lang w:val="en-US"/>
        </w:rPr>
        <w:t>)</w:t>
      </w:r>
      <w:r w:rsidRPr="00D36BA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Prevalence rates</w:t>
      </w:r>
      <w:r w:rsidRPr="00D36BA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in controls were weighted </w:t>
      </w:r>
      <w:r w:rsidRPr="00D36BAE">
        <w:rPr>
          <w:rFonts w:ascii="Times New Roman" w:hAnsi="Times New Roman" w:cs="Times New Roman"/>
          <w:lang w:val="en-US"/>
        </w:rPr>
        <w:t xml:space="preserve">based on propensity score-matching. Matching accounted for age, gender, and </w:t>
      </w:r>
      <w:proofErr w:type="spellStart"/>
      <w:r w:rsidRPr="00D36BAE">
        <w:rPr>
          <w:rFonts w:ascii="Times New Roman" w:hAnsi="Times New Roman" w:cs="Times New Roman"/>
          <w:lang w:val="en-US"/>
        </w:rPr>
        <w:t>age×gender</w:t>
      </w:r>
      <w:proofErr w:type="spellEnd"/>
      <w:r w:rsidRPr="00D36BAE">
        <w:rPr>
          <w:rFonts w:ascii="Times New Roman" w:hAnsi="Times New Roman" w:cs="Times New Roman"/>
          <w:lang w:val="en-US"/>
        </w:rPr>
        <w:t xml:space="preserve"> interaction.</w:t>
      </w:r>
      <w:r>
        <w:rPr>
          <w:rFonts w:ascii="Times New Roman" w:hAnsi="Times New Roman" w:cs="Times New Roman"/>
          <w:lang w:val="en-US"/>
        </w:rPr>
        <w:t xml:space="preserve"> 12-month-prevalence rates were assessed.</w:t>
      </w:r>
      <w:r w:rsidRPr="00D36BAE">
        <w:rPr>
          <w:rFonts w:ascii="Times New Roman" w:hAnsi="Times New Roman" w:cs="Times New Roman"/>
          <w:lang w:val="en-US"/>
        </w:rPr>
        <w:t xml:space="preserve"> </w:t>
      </w:r>
    </w:p>
    <w:p w:rsidR="00C57028" w:rsidRPr="00C57028" w:rsidRDefault="00C57028" w:rsidP="00C57028">
      <w:pPr>
        <w:spacing w:after="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bookmarkStart w:id="0" w:name="_GoBack"/>
      <w:bookmarkEnd w:id="0"/>
    </w:p>
    <w:p w:rsidR="00EC19AE" w:rsidRDefault="00C57028"/>
    <w:sectPr w:rsidR="00EC1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28"/>
    <w:rsid w:val="00787A9F"/>
    <w:rsid w:val="00B9428E"/>
    <w:rsid w:val="00C5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48781-ABA5-4E7D-9D0A-B436FD9A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028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0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Jamuna Chandrashekar</dc:creator>
  <cp:keywords/>
  <dc:description/>
  <cp:lastModifiedBy>Jamuna Chandrashekar</cp:lastModifiedBy>
  <cp:revision>1</cp:revision>
  <dcterms:created xsi:type="dcterms:W3CDTF">2021-10-23T03:47:00Z</dcterms:created>
  <dcterms:modified xsi:type="dcterms:W3CDTF">2021-10-23T03:48:00Z</dcterms:modified>
</cp:coreProperties>
</file>