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AF3" w:rsidRPr="00771AF3" w:rsidRDefault="00771AF3" w:rsidP="00771AF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r w:rsidRPr="00771AF3"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192971" cy="7286625"/>
            <wp:effectExtent l="0" t="0" r="8255" b="0"/>
            <wp:docPr id="1" name="Picture 1" descr="https://hub.taylorandfrancis.com/getInlineImages/b0bff810-29c7-4a44-af90-1c8d50db7a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74628A2B-A5CA-401D-8F7E-68BCE71879B6" descr="https://hub.taylorandfrancis.com/getInlineImages/b0bff810-29c7-4a44-af90-1c8d50db7a84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6366" cy="72913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771AF3" w:rsidRPr="00771AF3" w:rsidRDefault="00771AF3" w:rsidP="00771AF3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771AF3">
        <w:rPr>
          <w:rFonts w:ascii="Segoe UI" w:eastAsia="Times New Roman" w:hAnsi="Segoe UI" w:cs="Segoe UI"/>
          <w:color w:val="000000"/>
          <w:sz w:val="21"/>
          <w:szCs w:val="21"/>
        </w:rPr>
        <w:br/>
      </w:r>
      <w:r w:rsidRPr="00771AF3">
        <w:rPr>
          <w:rFonts w:ascii="Times New Roman" w:eastAsia="Times New Roman" w:hAnsi="Times New Roman" w:cs="Times New Roman"/>
          <w:sz w:val="24"/>
          <w:szCs w:val="24"/>
        </w:rPr>
        <w:t>Supplemental Figure 1: Population DVHs. Median DVHs are solid lines, dashed lines are first and third quartile.</w:t>
      </w:r>
    </w:p>
    <w:p w:rsidR="00EC19AE" w:rsidRDefault="00771AF3"/>
    <w:sectPr w:rsidR="00EC19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1AF3"/>
    <w:rsid w:val="00771AF3"/>
    <w:rsid w:val="00787A9F"/>
    <w:rsid w:val="00B94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D83D24-4455-4EF2-8E38-F018C4384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7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69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3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46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Jamuna Chandrashekar</dc:creator>
  <cp:keywords/>
  <dc:description/>
  <cp:lastModifiedBy>Jamuna Chandrashekar</cp:lastModifiedBy>
  <cp:revision>1</cp:revision>
  <dcterms:created xsi:type="dcterms:W3CDTF">2021-12-30T16:38:00Z</dcterms:created>
  <dcterms:modified xsi:type="dcterms:W3CDTF">2021-12-30T16:42:00Z</dcterms:modified>
</cp:coreProperties>
</file>