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20" w:rsidRPr="002123E4" w:rsidRDefault="00061920" w:rsidP="002123E4">
      <w:pPr>
        <w:pStyle w:val="Bildetekst"/>
        <w:keepNext/>
        <w:rPr>
          <w:lang w:val="en-US"/>
        </w:rPr>
      </w:pPr>
      <w:r>
        <w:rPr>
          <w:lang w:val="en-US"/>
        </w:rPr>
        <w:t xml:space="preserve">Supplementary </w:t>
      </w:r>
      <w:r w:rsidRPr="002123E4">
        <w:rPr>
          <w:lang w:val="en-US"/>
        </w:rPr>
        <w:t xml:space="preserve">Table </w:t>
      </w:r>
      <w:r>
        <w:fldChar w:fldCharType="begin"/>
      </w:r>
      <w:r w:rsidRPr="002123E4">
        <w:rPr>
          <w:lang w:val="en-US"/>
        </w:rPr>
        <w:instrText xml:space="preserve"> SEQ Table \* ROMAN </w:instrText>
      </w:r>
      <w:r>
        <w:fldChar w:fldCharType="separate"/>
      </w:r>
      <w:r>
        <w:rPr>
          <w:noProof/>
          <w:lang w:val="en-US"/>
        </w:rPr>
        <w:t>I</w:t>
      </w:r>
      <w:r>
        <w:fldChar w:fldCharType="end"/>
      </w:r>
      <w:r w:rsidRPr="002123E4">
        <w:rPr>
          <w:lang w:val="en-US"/>
        </w:rPr>
        <w:t>:</w:t>
      </w:r>
      <w:r>
        <w:rPr>
          <w:lang w:val="en-US"/>
        </w:rPr>
        <w:t xml:space="preserve"> </w:t>
      </w:r>
      <w:r w:rsidRPr="002123E4">
        <w:rPr>
          <w:lang w:val="en-US"/>
        </w:rPr>
        <w:t>Grading of central nervous system necrosis according to the National Cancer Institute Common Toxicity Criteria for Adverse Events (CTCAE) v4.03.</w:t>
      </w:r>
    </w:p>
    <w:tbl>
      <w:tblPr>
        <w:tblW w:w="9245" w:type="dxa"/>
        <w:tblLook w:val="04A0" w:firstRow="1" w:lastRow="0" w:firstColumn="1" w:lastColumn="0" w:noHBand="0" w:noVBand="1"/>
      </w:tblPr>
      <w:tblGrid>
        <w:gridCol w:w="2000"/>
        <w:gridCol w:w="1920"/>
        <w:gridCol w:w="1840"/>
        <w:gridCol w:w="2160"/>
        <w:gridCol w:w="1325"/>
      </w:tblGrid>
      <w:tr w:rsidR="00061920" w:rsidRPr="002123E4" w:rsidTr="002123E4">
        <w:trPr>
          <w:trHeight w:val="359"/>
        </w:trPr>
        <w:tc>
          <w:tcPr>
            <w:tcW w:w="20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2123E4" w:rsidRDefault="00061920" w:rsidP="00AB0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23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9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2123E4" w:rsidRDefault="00061920" w:rsidP="00AB0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23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8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2123E4" w:rsidRDefault="00061920" w:rsidP="00AB0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23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21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2123E4" w:rsidRDefault="00061920" w:rsidP="00AB0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23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Grade 4</w:t>
            </w:r>
          </w:p>
        </w:tc>
        <w:tc>
          <w:tcPr>
            <w:tcW w:w="132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2123E4" w:rsidRDefault="00061920" w:rsidP="00AB0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23E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Grade 5</w:t>
            </w:r>
          </w:p>
        </w:tc>
      </w:tr>
      <w:tr w:rsidR="00061920" w:rsidRPr="002123E4" w:rsidTr="00AB0908">
        <w:trPr>
          <w:trHeight w:val="2096"/>
        </w:trPr>
        <w:tc>
          <w:tcPr>
            <w:tcW w:w="2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61920" w:rsidRPr="002123E4" w:rsidRDefault="00061920" w:rsidP="00AB090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72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Asymptomatic</w:t>
            </w:r>
            <w:r w:rsidRPr="00212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 w:rsidRPr="00212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br/>
              <w:t>clinical or diagnostic observations only; intervention not indicated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61920" w:rsidRPr="002123E4" w:rsidRDefault="00061920" w:rsidP="00AB090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72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Moderate symptoms</w:t>
            </w:r>
            <w:r w:rsidRPr="00212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corticosteroids indicated</w:t>
            </w:r>
          </w:p>
        </w:tc>
        <w:tc>
          <w:tcPr>
            <w:tcW w:w="1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61920" w:rsidRPr="002123E4" w:rsidRDefault="00061920" w:rsidP="00AB090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72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Severe symptoms</w:t>
            </w:r>
            <w:r w:rsidRPr="00212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medical intervention indicated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061920" w:rsidRPr="002123E4" w:rsidRDefault="00061920" w:rsidP="00AB090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072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Life-threatening</w:t>
            </w:r>
            <w:r w:rsidRPr="002123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consequences; urgent intervention indicated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061920" w:rsidRPr="0070722B" w:rsidRDefault="00061920" w:rsidP="00AB0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72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Death</w:t>
            </w:r>
          </w:p>
        </w:tc>
      </w:tr>
    </w:tbl>
    <w:p w:rsidR="00061920" w:rsidRDefault="00061920" w:rsidP="002123E4">
      <w:pPr>
        <w:pStyle w:val="Bildetekst"/>
        <w:keepNext/>
      </w:pPr>
    </w:p>
    <w:p w:rsidR="00061920" w:rsidRDefault="00061920" w:rsidP="00316C3A">
      <w:pPr>
        <w:pStyle w:val="Bildetekst"/>
        <w:keepNext/>
        <w:rPr>
          <w:i w:val="0"/>
          <w:lang w:val="en-US"/>
        </w:rPr>
      </w:pPr>
    </w:p>
    <w:p w:rsidR="00061920" w:rsidRPr="00595E5B" w:rsidRDefault="00061920" w:rsidP="00595E5B">
      <w:pPr>
        <w:rPr>
          <w:lang w:val="en-US"/>
        </w:rPr>
      </w:pPr>
    </w:p>
    <w:p w:rsidR="00061920" w:rsidRPr="00316C3A" w:rsidRDefault="00061920" w:rsidP="00316C3A">
      <w:pPr>
        <w:pStyle w:val="Bildetekst"/>
        <w:keepNext/>
        <w:rPr>
          <w:lang w:val="en-US"/>
        </w:rPr>
      </w:pPr>
      <w:r>
        <w:rPr>
          <w:lang w:val="en-US"/>
        </w:rPr>
        <w:t xml:space="preserve">Supplementary </w:t>
      </w:r>
      <w:r w:rsidRPr="00316C3A">
        <w:rPr>
          <w:lang w:val="en-US"/>
        </w:rPr>
        <w:t xml:space="preserve">Table </w:t>
      </w:r>
      <w:r w:rsidRPr="00316C3A">
        <w:rPr>
          <w:lang w:val="en-US"/>
        </w:rPr>
        <w:fldChar w:fldCharType="begin"/>
      </w:r>
      <w:r w:rsidRPr="00316C3A">
        <w:rPr>
          <w:lang w:val="en-US"/>
        </w:rPr>
        <w:instrText xml:space="preserve"> SEQ Table \* ROMAN </w:instrText>
      </w:r>
      <w:r w:rsidRPr="00316C3A">
        <w:rPr>
          <w:lang w:val="en-US"/>
        </w:rPr>
        <w:fldChar w:fldCharType="separate"/>
      </w:r>
      <w:r>
        <w:rPr>
          <w:noProof/>
          <w:lang w:val="en-US"/>
        </w:rPr>
        <w:t>II</w:t>
      </w:r>
      <w:r w:rsidRPr="00316C3A">
        <w:rPr>
          <w:lang w:val="en-US"/>
        </w:rPr>
        <w:fldChar w:fldCharType="end"/>
      </w:r>
      <w:r w:rsidRPr="00316C3A">
        <w:rPr>
          <w:lang w:val="en-US"/>
        </w:rPr>
        <w:t>: Dose volume statistics for fixed and variable RBE weighted doses according to TLI</w:t>
      </w:r>
      <w:r>
        <w:rPr>
          <w:lang w:val="en-US"/>
        </w:rPr>
        <w:t>C</w:t>
      </w:r>
      <w:r w:rsidRPr="00316C3A">
        <w:rPr>
          <w:lang w:val="en-US"/>
        </w:rPr>
        <w:t xml:space="preserve"> status.</w:t>
      </w:r>
    </w:p>
    <w:tbl>
      <w:tblPr>
        <w:tblW w:w="9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275"/>
        <w:gridCol w:w="1560"/>
        <w:gridCol w:w="1181"/>
        <w:gridCol w:w="1152"/>
        <w:gridCol w:w="1152"/>
      </w:tblGrid>
      <w:tr w:rsidR="00061920" w:rsidRPr="00316C3A" w:rsidTr="001F0E8A">
        <w:trPr>
          <w:trHeight w:val="375"/>
        </w:trPr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Variable                                </w:t>
            </w:r>
          </w:p>
        </w:tc>
        <w:tc>
          <w:tcPr>
            <w:tcW w:w="4253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1F0E8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                               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No TLIC</w:t>
            </w:r>
          </w:p>
        </w:tc>
        <w:tc>
          <w:tcPr>
            <w:tcW w:w="3485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1F0E8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                             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TLIC</w:t>
            </w:r>
          </w:p>
        </w:tc>
      </w:tr>
      <w:tr w:rsidR="00061920" w:rsidRPr="00316C3A" w:rsidTr="001F0E8A">
        <w:trPr>
          <w:trHeight w:val="3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RWD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Fix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RWD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McN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RWD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Wed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RWD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Fix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RWD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McN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RWD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Wed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 xml:space="preserve">Volume (cc)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max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59.4 (12.0)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68.7 (11.2)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69.3 (10.9)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71.8 (4.7)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77.5 (5.8)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77.4 (6.3)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46.9 (17.0)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52.5 (16.4)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52.9 (15.9)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64.8 (6.7)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68.8 (5.0)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68.7 (5.1)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42.2 (18.0)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47.4 (17.9)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47.8 (17.5)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61.3 (8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.0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65.9 (6.1)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65.8 (6.0)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38.6 (18.4)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43.5 (18.8)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.0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(18.4)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58.1 (9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.0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63.0 (7.3)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63.0 (7.0)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4.0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35.7 (18.5)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40.2 (19.3)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40.7 (18.9)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55.1 (9.9)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60.1 (8.5)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60.1 (8.2)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5.0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33.1 (18.5)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37.4 (19.5)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37.8 (19.2)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52.3 (10.7)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57.3 (9.7)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57.3 (9.4)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D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mean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10.0 (7.4)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11.1 (8.0)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11.3 (7.9)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16.4 (8.9)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18.0 (9.4)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18.1 (9.4)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Dose (GyRBE)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nb-NO"/>
              </w:rPr>
            </w:pP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40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5.4 (7.0)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6.8 (8.0)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6.9 (8.0)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12.4 (7.6)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14.6 (8.5)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14.7 (8.5)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4.0 (5.9)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5.4 (6.9)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5.4 (6.9)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9.9 (6.4)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12.2 (7.4)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12.2 (7.3)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2.9 (4.7)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4.1 (5.8)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4.2 (5.8)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7.6 (5.0)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9.9 (6.2)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9.9 (6.1)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2.0 (3.6)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3.1 (4.8)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3.1 (4.8)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5.3 (3.7)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7.7 (4.9)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7.7 (4.8)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1.3 (2.5)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2.2 (3.8)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2.2 (3.7) 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3.4 (3.0)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5.4 (3.7)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5.3 (3.7)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0.6 (1.4) 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1.4 (2.7) 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1.4 (2.5) 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2.0 (2.1) 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3.4 (3.1) 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3.3 (3.1) </w:t>
            </w:r>
          </w:p>
        </w:tc>
      </w:tr>
      <w:tr w:rsidR="00061920" w:rsidRPr="00316C3A" w:rsidTr="001F0E8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 V</w:t>
            </w: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nb-NO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0.2 (0.6) 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0.6 (1.3) 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0.5 (1.3) 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0.8 (1.0) 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1.7 (1.8) 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1F0E8A" w:rsidRDefault="00061920" w:rsidP="00316C3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1F0E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 xml:space="preserve">1.6 (1.7) </w:t>
            </w:r>
          </w:p>
        </w:tc>
      </w:tr>
    </w:tbl>
    <w:p w:rsidR="00061920" w:rsidRPr="001F0E8A" w:rsidRDefault="00061920">
      <w:pPr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b-NO"/>
        </w:rPr>
      </w:pPr>
      <w:r w:rsidRPr="001F0E8A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WD</w:t>
      </w:r>
      <w:r w:rsidRPr="001F0E8A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Fix</w:t>
      </w:r>
      <w:r w:rsidRPr="001F0E8A">
        <w:rPr>
          <w:rFonts w:ascii="Times New Roman" w:hAnsi="Times New Roman" w:cs="Times New Roman"/>
          <w:sz w:val="16"/>
          <w:szCs w:val="16"/>
          <w:lang w:val="en-US"/>
        </w:rPr>
        <w:t xml:space="preserve">: Dose calculated using RBE = 1.1, 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b-NO"/>
        </w:rPr>
        <w:t>RWD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val="en-US" w:eastAsia="nb-NO"/>
        </w:rPr>
        <w:t>McN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b-NO"/>
        </w:rPr>
        <w:t xml:space="preserve">: dose calculated using the RBE model from McNamara et al </w:t>
      </w:r>
      <w:r w:rsidRPr="001F0E8A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en-US" w:eastAsia="nb-NO"/>
        </w:rPr>
        <w:t>(1)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b-NO"/>
        </w:rPr>
        <w:t>, RWD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vertAlign w:val="subscript"/>
          <w:lang w:val="en-US" w:eastAsia="nb-NO"/>
        </w:rPr>
        <w:t>Wed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b-NO"/>
        </w:rPr>
        <w:t xml:space="preserve">: dose calculated using the RBE model from Wedenberg et al </w:t>
      </w:r>
      <w:r w:rsidRPr="001F0E8A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en-US" w:eastAsia="nb-NO"/>
        </w:rPr>
        <w:t>(2)</w:t>
      </w:r>
      <w:r w:rsidRPr="001F0E8A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nb-NO"/>
        </w:rPr>
        <w:t xml:space="preserve">. </w:t>
      </w:r>
    </w:p>
    <w:p w:rsidR="00061920" w:rsidRDefault="00061920">
      <w:pPr>
        <w:rPr>
          <w:rFonts w:ascii="Calibri" w:eastAsia="Times New Roman" w:hAnsi="Calibri" w:cs="Calibri"/>
          <w:color w:val="000000"/>
          <w:sz w:val="20"/>
          <w:szCs w:val="24"/>
          <w:lang w:val="en-US" w:eastAsia="nb-NO"/>
        </w:rPr>
      </w:pPr>
    </w:p>
    <w:p w:rsidR="00061920" w:rsidRPr="007322A8" w:rsidRDefault="00061920" w:rsidP="002123E4">
      <w:pPr>
        <w:pStyle w:val="Bildetekst"/>
        <w:keepNext/>
        <w:rPr>
          <w:i w:val="0"/>
          <w:lang w:val="en-US"/>
        </w:rPr>
      </w:pPr>
      <w:r>
        <w:rPr>
          <w:lang w:val="en-US"/>
        </w:rPr>
        <w:lastRenderedPageBreak/>
        <w:t xml:space="preserve">Supplementary </w:t>
      </w:r>
      <w:r w:rsidRPr="002123E4">
        <w:rPr>
          <w:lang w:val="en-US"/>
        </w:rPr>
        <w:t xml:space="preserve">Table </w:t>
      </w:r>
      <w:r>
        <w:fldChar w:fldCharType="begin"/>
      </w:r>
      <w:r w:rsidRPr="002123E4">
        <w:rPr>
          <w:lang w:val="en-US"/>
        </w:rPr>
        <w:instrText xml:space="preserve"> SEQ Table \* ROMAN </w:instrText>
      </w:r>
      <w:r>
        <w:fldChar w:fldCharType="separate"/>
      </w:r>
      <w:r>
        <w:rPr>
          <w:noProof/>
          <w:lang w:val="en-US"/>
        </w:rPr>
        <w:t>III</w:t>
      </w:r>
      <w:r>
        <w:fldChar w:fldCharType="end"/>
      </w:r>
      <w:r w:rsidRPr="002123E4">
        <w:rPr>
          <w:lang w:val="en-US"/>
        </w:rPr>
        <w:t xml:space="preserve">: </w:t>
      </w:r>
      <w:r w:rsidRPr="00C7539B">
        <w:rPr>
          <w:lang w:val="en-US"/>
        </w:rPr>
        <w:t>Result from logistic regression modelling. The models are fitted using RWD</w:t>
      </w:r>
      <w:r w:rsidRPr="00C7539B">
        <w:rPr>
          <w:vertAlign w:val="subscript"/>
          <w:lang w:val="en-US"/>
        </w:rPr>
        <w:t>Fix</w:t>
      </w:r>
      <w:r w:rsidRPr="00C7539B">
        <w:rPr>
          <w:lang w:val="en-US"/>
        </w:rPr>
        <w:t>. Reported performance measures are based on bootstrapping (n= 1000) and corrected for optimism.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946"/>
        <w:gridCol w:w="1454"/>
        <w:gridCol w:w="1036"/>
        <w:gridCol w:w="1036"/>
        <w:gridCol w:w="975"/>
        <w:gridCol w:w="841"/>
        <w:gridCol w:w="567"/>
      </w:tblGrid>
      <w:tr w:rsidR="00061920" w:rsidRPr="007322A8" w:rsidTr="002123E4">
        <w:trPr>
          <w:trHeight w:val="324"/>
        </w:trPr>
        <w:tc>
          <w:tcPr>
            <w:tcW w:w="17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340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Estimates</w:t>
            </w:r>
          </w:p>
        </w:tc>
        <w:tc>
          <w:tcPr>
            <w:tcW w:w="445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Performance</w:t>
            </w:r>
          </w:p>
        </w:tc>
      </w:tr>
      <w:tr w:rsidR="00061920" w:rsidRPr="007322A8" w:rsidTr="002123E4">
        <w:trPr>
          <w:trHeight w:val="324"/>
        </w:trPr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Model predictor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OR (95% CI)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p value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AUC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Intercept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Slope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R</w:t>
            </w: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nb-NO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7322A8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732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Brier</w:t>
            </w:r>
          </w:p>
        </w:tc>
      </w:tr>
      <w:tr w:rsidR="00061920" w:rsidRPr="007322A8" w:rsidTr="002123E4">
        <w:trPr>
          <w:trHeight w:val="324"/>
        </w:trPr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D</w:t>
            </w: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nb-NO"/>
              </w:rPr>
              <w:t>0.5 cc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1.14 (0.06-1.23)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&lt; 0.01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0.838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0.039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0.997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0.14</w:t>
            </w:r>
          </w:p>
        </w:tc>
      </w:tr>
      <w:tr w:rsidR="00061920" w:rsidRPr="007322A8" w:rsidTr="002123E4">
        <w:trPr>
          <w:trHeight w:val="324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D</w:t>
            </w: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nb-NO"/>
              </w:rPr>
              <w:t xml:space="preserve">Max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1.19 (1.07-1.33)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&lt; 0.01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0.994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0.14</w:t>
            </w:r>
          </w:p>
        </w:tc>
      </w:tr>
      <w:tr w:rsidR="00061920" w:rsidRPr="007322A8" w:rsidTr="002123E4">
        <w:trPr>
          <w:trHeight w:val="324"/>
        </w:trPr>
        <w:tc>
          <w:tcPr>
            <w:tcW w:w="17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D</w:t>
            </w: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nb-NO"/>
              </w:rPr>
              <w:t>1.0cc</w:t>
            </w:r>
          </w:p>
        </w:tc>
        <w:tc>
          <w:tcPr>
            <w:tcW w:w="1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1.12 (1.05-1.20)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&lt; 0.01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0.829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0.040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1.000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0.14</w:t>
            </w:r>
          </w:p>
        </w:tc>
      </w:tr>
      <w:tr w:rsidR="00061920" w:rsidRPr="007322A8" w:rsidTr="00C7539B">
        <w:trPr>
          <w:trHeight w:val="324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D</w:t>
            </w: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nb-NO"/>
              </w:rPr>
              <w:t>2.0cc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1.10 (1.05-1.16)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&lt; 0.01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0.826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920" w:rsidRPr="00C7539B" w:rsidRDefault="00061920" w:rsidP="007322A8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0.14</w:t>
            </w:r>
          </w:p>
        </w:tc>
      </w:tr>
      <w:tr w:rsidR="00061920" w:rsidRPr="007322A8" w:rsidTr="00BD57F9">
        <w:trPr>
          <w:trHeight w:val="324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V</w:t>
            </w: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nb-NO"/>
              </w:rPr>
              <w:t>60GyRBE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1.27 (1.03-1.59)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&lt; 0.05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061920" w:rsidRPr="007322A8" w:rsidTr="002123E4">
        <w:trPr>
          <w:trHeight w:val="324"/>
        </w:trPr>
        <w:tc>
          <w:tcPr>
            <w:tcW w:w="17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V</w:t>
            </w: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nb-NO"/>
              </w:rPr>
              <w:t>65GyRBE</w:t>
            </w:r>
          </w:p>
        </w:tc>
        <w:tc>
          <w:tcPr>
            <w:tcW w:w="194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1.52 (1.08-2.15)</w:t>
            </w:r>
          </w:p>
        </w:tc>
        <w:tc>
          <w:tcPr>
            <w:tcW w:w="145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&lt; 0.05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0.785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0.223</w:t>
            </w:r>
          </w:p>
        </w:tc>
        <w:tc>
          <w:tcPr>
            <w:tcW w:w="9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1.118</w:t>
            </w:r>
          </w:p>
        </w:tc>
        <w:tc>
          <w:tcPr>
            <w:tcW w:w="84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1920" w:rsidRPr="00C7539B" w:rsidRDefault="00061920" w:rsidP="00C7539B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C753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0.16</w:t>
            </w:r>
          </w:p>
        </w:tc>
      </w:tr>
    </w:tbl>
    <w:p w:rsidR="00061920" w:rsidRPr="007322A8" w:rsidRDefault="00061920" w:rsidP="006B4583">
      <w:pPr>
        <w:pStyle w:val="Bildetekst"/>
        <w:keepNext/>
        <w:rPr>
          <w:i w:val="0"/>
          <w:lang w:val="en-US"/>
        </w:rPr>
      </w:pPr>
      <w:r>
        <w:rPr>
          <w:sz w:val="16"/>
          <w:lang w:val="en-US"/>
        </w:rPr>
        <w:t xml:space="preserve">OR: Odds Ratio, CI: confidence interval, </w:t>
      </w:r>
      <w:r w:rsidRPr="00A91C78">
        <w:rPr>
          <w:sz w:val="16"/>
          <w:lang w:val="en-US"/>
        </w:rPr>
        <w:t>AUC: Area Under the Receiver Operating Characteristic Curve, R</w:t>
      </w:r>
      <w:r w:rsidRPr="00A91C78">
        <w:rPr>
          <w:sz w:val="16"/>
          <w:vertAlign w:val="superscript"/>
          <w:lang w:val="en-US"/>
        </w:rPr>
        <w:t>2</w:t>
      </w:r>
      <w:r w:rsidRPr="00A91C78">
        <w:rPr>
          <w:sz w:val="16"/>
          <w:lang w:val="en-US"/>
        </w:rPr>
        <w:t>: Nagelkerke</w:t>
      </w:r>
      <w:r>
        <w:rPr>
          <w:sz w:val="16"/>
          <w:lang w:val="en-US"/>
        </w:rPr>
        <w:t>’s.</w:t>
      </w:r>
    </w:p>
    <w:p w:rsidR="00061920" w:rsidRDefault="00061920" w:rsidP="006B4583">
      <w:pPr>
        <w:pStyle w:val="Bildetekst"/>
        <w:keepNext/>
        <w:rPr>
          <w:i w:val="0"/>
          <w:lang w:val="en-US"/>
        </w:rPr>
      </w:pPr>
    </w:p>
    <w:p w:rsidR="00061920" w:rsidRPr="0083053A" w:rsidRDefault="00061920" w:rsidP="0083053A">
      <w:pPr>
        <w:rPr>
          <w:lang w:val="en-US"/>
        </w:rPr>
      </w:pPr>
    </w:p>
    <w:p w:rsidR="00061920" w:rsidRDefault="00061920" w:rsidP="0083053A">
      <w:pPr>
        <w:rPr>
          <w:lang w:val="en-US"/>
        </w:rPr>
      </w:pPr>
    </w:p>
    <w:p w:rsidR="00061920" w:rsidRDefault="00061920" w:rsidP="0083053A">
      <w:pPr>
        <w:keepNext/>
      </w:pPr>
      <w:r>
        <w:rPr>
          <w:noProof/>
          <w:lang w:eastAsia="nb-NO"/>
        </w:rPr>
        <w:drawing>
          <wp:inline distT="0" distB="0" distL="0" distR="0" wp14:anchorId="0C36BE8A" wp14:editId="302AC54C">
            <wp:extent cx="5760720" cy="2759075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ltaNTCP_both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20" w:rsidRPr="0083053A" w:rsidRDefault="00061920" w:rsidP="0083053A">
      <w:pPr>
        <w:pStyle w:val="Bildetekst"/>
        <w:rPr>
          <w:lang w:val="en-US"/>
        </w:rPr>
      </w:pPr>
      <w:r>
        <w:rPr>
          <w:lang w:val="en-US"/>
        </w:rPr>
        <w:t xml:space="preserve">Supplementary </w:t>
      </w:r>
      <w:r w:rsidRPr="0083053A">
        <w:rPr>
          <w:lang w:val="en-US"/>
        </w:rPr>
        <w:t xml:space="preserve">Figure </w:t>
      </w:r>
      <w:r>
        <w:fldChar w:fldCharType="begin"/>
      </w:r>
      <w:r w:rsidRPr="0083053A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r w:rsidRPr="0083053A">
        <w:rPr>
          <w:lang w:val="en-US"/>
        </w:rPr>
        <w:t>: Median (95% CI) increase in NTCP</w:t>
      </w:r>
      <w:r>
        <w:rPr>
          <w:lang w:val="en-US"/>
        </w:rPr>
        <w:t xml:space="preserve"> when probabilities was estimated using RWD</w:t>
      </w:r>
      <w:r w:rsidRPr="0083053A">
        <w:rPr>
          <w:vertAlign w:val="subscript"/>
          <w:lang w:val="en-US"/>
        </w:rPr>
        <w:t>var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>compare to RWD</w:t>
      </w:r>
      <w:r w:rsidRPr="0083053A">
        <w:rPr>
          <w:vertAlign w:val="subscript"/>
          <w:lang w:val="en-US"/>
        </w:rPr>
        <w:t>Fix</w:t>
      </w:r>
      <w:r>
        <w:rPr>
          <w:lang w:val="en-US"/>
        </w:rPr>
        <w:t>.</w:t>
      </w:r>
    </w:p>
    <w:p w:rsidR="00061920" w:rsidRDefault="00061920" w:rsidP="002157A7">
      <w:pPr>
        <w:rPr>
          <w:lang w:val="en-US"/>
        </w:rPr>
      </w:pPr>
    </w:p>
    <w:p w:rsidR="00061920" w:rsidRDefault="00061920" w:rsidP="002157A7">
      <w:pPr>
        <w:rPr>
          <w:lang w:val="en-US"/>
        </w:rPr>
      </w:pPr>
    </w:p>
    <w:p w:rsidR="00061920" w:rsidRDefault="00061920" w:rsidP="002157A7">
      <w:pPr>
        <w:rPr>
          <w:lang w:val="en-US"/>
        </w:rPr>
      </w:pPr>
    </w:p>
    <w:p w:rsidR="00061920" w:rsidRDefault="00061920" w:rsidP="002157A7">
      <w:pPr>
        <w:rPr>
          <w:lang w:val="en-US"/>
        </w:rPr>
      </w:pPr>
    </w:p>
    <w:p w:rsidR="00061920" w:rsidRPr="00D202E9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D202E9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lastRenderedPageBreak/>
        <w:t>Supplementary material B</w:t>
      </w:r>
    </w:p>
    <w:p w:rsidR="00061920" w:rsidRPr="005E0D33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RBE models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from McNamara et al (RBE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McN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(1)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Wedenberg et al (RBE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Wed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(2)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both take dose average LET (LET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d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), α/β and dose as input variables. The RBE models are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based on the linear quadratic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(LQ)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model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are fitted using clonogenic cell survival data. The models are expressed by: </w:t>
      </w:r>
    </w:p>
    <w:p w:rsidR="00061920" w:rsidRPr="00DC662C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  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4"/>
            <w:lang w:val="en-US"/>
          </w:rPr>
          <m:t>RBE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RBE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 xml:space="preserve"> 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RBE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min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 xml:space="preserve"> 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2D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p</m:t>
                </m:r>
              </m:sub>
            </m:sSub>
          </m:den>
        </m:f>
        <m:d>
          <m:d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</m:ctrlPr>
                      </m:sSubSup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4"/>
                                <w:lang w:val="en-US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4"/>
                                <w:lang w:val="en-US"/>
                              </w:rPr>
                              <m:t>β</m:t>
                            </m:r>
                          </m:den>
                        </m:f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  <m:t>2</m:t>
                        </m:r>
                      </m:sup>
                    </m:sSubSup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+4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4"/>
                                <w:lang w:val="en-US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4"/>
                                <w:lang w:val="en-US"/>
                              </w:rPr>
                              <m:t>β</m:t>
                            </m:r>
                          </m:den>
                        </m:f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RBE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 xml:space="preserve"> 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p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RBE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min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 xml:space="preserve"> 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4"/>
                            <w:lang w:val="en-US"/>
                          </w:rPr>
                          <m:t>β</m:t>
                        </m:r>
                      </m:den>
                    </m:f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</m:e>
        </m:d>
      </m:oMath>
      <w:r w:rsidRPr="00DC662C"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</w:t>
      </w:r>
      <w:r w:rsidRPr="005E0D33"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   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(1)</w:t>
      </w:r>
    </w:p>
    <w:p w:rsidR="00061920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>Here x represents the reference radiation (i.e. photons). The RBE is estimated based on the two functions 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min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which describe extreme RBE at low and high doses, respectively. </w:t>
      </w:r>
    </w:p>
    <w:p w:rsidR="00061920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>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McN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assumes a linear relationship between 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max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LET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d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that 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min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has a dependence </w:t>
      </w:r>
      <w:r w:rsidRPr="005E0D33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m:oMath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β</m:t>
                        </m:r>
                      </m:den>
                    </m:f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</m:sSub>
          </m:e>
        </m:rad>
      </m:oMath>
      <w:r w:rsidRPr="005E0D33">
        <w:rPr>
          <w:rFonts w:ascii="Times New Roman" w:hAnsi="Times New Roman" w:cs="Times New Roman"/>
          <w:sz w:val="24"/>
          <w:szCs w:val="24"/>
          <w:lang w:val="en-US"/>
        </w:rPr>
        <w:t xml:space="preserve"> increasing with increasing LET. RBE</w:t>
      </w:r>
      <w:r w:rsidRPr="005E0D3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5E0D33">
        <w:rPr>
          <w:rFonts w:ascii="Times New Roman" w:hAnsi="Times New Roman" w:cs="Times New Roman"/>
          <w:sz w:val="24"/>
          <w:szCs w:val="24"/>
          <w:lang w:val="en-US"/>
        </w:rPr>
        <w:t xml:space="preserve"> increases with increasing LET. RBE</w:t>
      </w:r>
      <w:r w:rsidRPr="005E0D3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5E0D33">
        <w:rPr>
          <w:rFonts w:ascii="Times New Roman" w:hAnsi="Times New Roman" w:cs="Times New Roman"/>
          <w:sz w:val="24"/>
          <w:szCs w:val="24"/>
          <w:lang w:val="en-US"/>
        </w:rPr>
        <w:t xml:space="preserve"> and RBE</w:t>
      </w:r>
      <w:r w:rsidRPr="005E0D3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5E0D33">
        <w:rPr>
          <w:rFonts w:ascii="Times New Roman" w:hAnsi="Times New Roman" w:cs="Times New Roman"/>
          <w:sz w:val="24"/>
          <w:szCs w:val="24"/>
          <w:lang w:val="en-US"/>
        </w:rPr>
        <w:t xml:space="preserve"> is given by: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:rsidR="00061920" w:rsidRPr="005E0D33" w:rsidRDefault="00061920" w:rsidP="00D202E9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61920" w:rsidRPr="00DC662C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RBE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max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LET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0"/>
            <w:szCs w:val="24"/>
            <w:lang w:val="en-US"/>
          </w:rPr>
          <m:t>=0.99064+</m:t>
        </m:r>
        <m:f>
          <m:f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0.35605 Gy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(keV μm)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-1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LET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d</m:t>
            </m:r>
          </m:sub>
        </m:sSub>
      </m:oMath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(2)</w:t>
      </w:r>
    </w:p>
    <w:p w:rsidR="00061920" w:rsidRPr="00DC662C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RBE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min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LET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0"/>
            <w:szCs w:val="24"/>
            <w:lang w:val="en-US"/>
          </w:rPr>
          <m:t>=1.1012-0.0038703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Gy</m:t>
            </m:r>
          </m:e>
          <m:sup>
            <m: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0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keV μm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0"/>
            <w:szCs w:val="24"/>
            <w:lang w:val="en-US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 xml:space="preserve">x </m:t>
                </m:r>
              </m:sub>
            </m:sSub>
          </m:e>
        </m:rad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LET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d</m:t>
            </m:r>
          </m:sub>
        </m:sSub>
      </m:oMath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(3)</w:t>
      </w:r>
    </w:p>
    <w:p w:rsidR="00061920" w:rsidRPr="005E0D33" w:rsidRDefault="00061920" w:rsidP="00D202E9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61920" w:rsidRPr="005E0D33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>The RBE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Wed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assumes a linear correlation between α and LET</w:t>
      </w:r>
      <w:r w:rsidRPr="005E0D3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d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>, and a constant β equal to photon β; i.e. β/βx = 1 and a slope depending on α/β photon:</w:t>
      </w:r>
    </w:p>
    <w:p w:rsidR="00061920" w:rsidRPr="00DC662C" w:rsidRDefault="00061920" w:rsidP="00D202E9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61920" w:rsidRPr="00DC662C" w:rsidRDefault="00061920" w:rsidP="00D202E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RBE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max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LET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4"/>
            <w:lang w:val="en-US"/>
          </w:rPr>
          <m:t>=1+</m:t>
        </m:r>
        <m:f>
          <m:f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0.434 Gy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(keV μm)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-1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4"/>
                        <w:lang w:val="en-US"/>
                      </w:rPr>
                      <m:t>α/β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4"/>
                    <w:lang w:val="en-US"/>
                  </w:rPr>
                  <m:t>x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LET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d</m:t>
            </m:r>
          </m:sub>
        </m:sSub>
      </m:oMath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E0D3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(4)</w:t>
      </w:r>
    </w:p>
    <w:p w:rsidR="00061920" w:rsidRPr="005E0D33" w:rsidRDefault="00061920" w:rsidP="00D202E9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RBE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4"/>
                <w:lang w:val="en-US"/>
              </w:rPr>
              <m:t>min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4"/>
            <w:lang w:val="en-US"/>
          </w:rPr>
          <m:t>=1</m:t>
        </m:r>
      </m:oMath>
      <w:r w:rsidRPr="00DC662C"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                                                                                                                       </w:t>
      </w:r>
      <w:r w:rsidRPr="005E0D33"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            </w:t>
      </w:r>
      <w:r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               </w:t>
      </w:r>
      <w:r w:rsidRPr="005E0D33">
        <w:rPr>
          <w:rFonts w:ascii="Times New Roman" w:eastAsiaTheme="minorEastAsia" w:hAnsi="Times New Roman" w:cs="Times New Roman"/>
          <w:sz w:val="20"/>
          <w:szCs w:val="24"/>
          <w:lang w:val="en-US"/>
        </w:rPr>
        <w:t xml:space="preserve"> </w:t>
      </w:r>
      <w:r w:rsidRPr="00DC662C">
        <w:rPr>
          <w:rFonts w:ascii="Times New Roman" w:eastAsiaTheme="minorEastAsia" w:hAnsi="Times New Roman" w:cs="Times New Roman"/>
          <w:sz w:val="24"/>
          <w:szCs w:val="24"/>
          <w:lang w:val="en-US"/>
        </w:rPr>
        <w:t>(5)</w:t>
      </w:r>
    </w:p>
    <w:p w:rsidR="00061920" w:rsidRPr="0083053A" w:rsidRDefault="00061920">
      <w:pPr>
        <w:rPr>
          <w:rFonts w:ascii="Calibri" w:eastAsia="Times New Roman" w:hAnsi="Calibri" w:cs="Calibri"/>
          <w:b/>
          <w:color w:val="000000"/>
          <w:sz w:val="20"/>
          <w:szCs w:val="24"/>
          <w:lang w:val="en-US" w:eastAsia="nb-NO"/>
        </w:rPr>
      </w:pPr>
      <w:r w:rsidRPr="0083053A">
        <w:rPr>
          <w:rFonts w:ascii="Calibri" w:eastAsia="Times New Roman" w:hAnsi="Calibri" w:cs="Calibri"/>
          <w:b/>
          <w:color w:val="000000"/>
          <w:sz w:val="20"/>
          <w:szCs w:val="24"/>
          <w:lang w:val="en-US" w:eastAsia="nb-NO"/>
        </w:rPr>
        <w:lastRenderedPageBreak/>
        <w:t>References</w:t>
      </w:r>
    </w:p>
    <w:p w:rsidR="00061920" w:rsidRPr="0083053A" w:rsidRDefault="00061920">
      <w:pPr>
        <w:rPr>
          <w:rFonts w:ascii="Calibri" w:eastAsia="Times New Roman" w:hAnsi="Calibri" w:cs="Calibri"/>
          <w:color w:val="000000"/>
          <w:sz w:val="20"/>
          <w:szCs w:val="24"/>
          <w:lang w:val="en-US" w:eastAsia="nb-NO"/>
        </w:rPr>
      </w:pPr>
    </w:p>
    <w:p w:rsidR="00061920" w:rsidRPr="000E145D" w:rsidRDefault="00061920" w:rsidP="000E145D">
      <w:pPr>
        <w:pStyle w:val="EndNoteBibliography"/>
        <w:spacing w:after="0"/>
      </w:pPr>
      <w:r w:rsidRPr="000E145D">
        <w:t>1.</w:t>
      </w:r>
      <w:r w:rsidRPr="000E145D">
        <w:tab/>
        <w:t>McNamara AL, Schuemann J, Paganetti H. A phenomenological relative biological effectiveness (RBE) model for proton therapy based on all published in vitro cell survival data. Phys Med Biol. 2015;60(21):8399-416.</w:t>
      </w:r>
    </w:p>
    <w:p w:rsidR="00061920" w:rsidRPr="000E145D" w:rsidRDefault="00061920" w:rsidP="000E145D">
      <w:pPr>
        <w:pStyle w:val="EndNoteBibliography"/>
      </w:pPr>
      <w:r w:rsidRPr="000E145D">
        <w:t>2.</w:t>
      </w:r>
      <w:r w:rsidRPr="000E145D">
        <w:tab/>
        <w:t>Wedenberg M, Lind BK, Hardemark B. A model for the relative biological effectiveness of protons: the tissue specific parameter alpha/beta of photons is a predictor for the sensitivity to LET changes. Acta Oncol. 2013;52(3):580-8.</w:t>
      </w:r>
    </w:p>
    <w:p w:rsidR="00061920" w:rsidRPr="00930947" w:rsidRDefault="00061920">
      <w:pPr>
        <w:rPr>
          <w:sz w:val="18"/>
          <w:lang w:val="en-US"/>
        </w:rPr>
      </w:pPr>
    </w:p>
    <w:p w:rsidR="000A4A77" w:rsidRDefault="000A4A77">
      <w:bookmarkStart w:id="0" w:name="_GoBack"/>
      <w:bookmarkEnd w:id="0"/>
    </w:p>
    <w:sectPr w:rsidR="000A4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61920"/>
    <w:rsid w:val="00061920"/>
    <w:rsid w:val="000A4A77"/>
    <w:rsid w:val="0046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C47FD-D31A-4A07-A6A8-19630EF4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920"/>
  </w:style>
  <w:style w:type="character" w:default="1" w:styleId="Standardskriftforavsnitt">
    <w:name w:val="Default Paragraph Font"/>
    <w:uiPriority w:val="1"/>
    <w:semiHidden/>
    <w:unhideWhenUsed/>
    <w:rsid w:val="00061920"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  <w:rsid w:val="00061920"/>
  </w:style>
  <w:style w:type="paragraph" w:styleId="Bildetekst">
    <w:name w:val="caption"/>
    <w:basedOn w:val="Normal"/>
    <w:next w:val="Normal"/>
    <w:unhideWhenUsed/>
    <w:qFormat/>
    <w:rsid w:val="000619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Tegn"/>
    <w:rsid w:val="0006192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06192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06192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061920"/>
    <w:rPr>
      <w:rFonts w:ascii="Calibri" w:hAnsi="Calibri" w:cs="Calibri"/>
      <w:noProof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06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1920"/>
  </w:style>
  <w:style w:type="paragraph" w:styleId="Bunntekst">
    <w:name w:val="footer"/>
    <w:basedOn w:val="Normal"/>
    <w:link w:val="BunntekstTegn"/>
    <w:uiPriority w:val="99"/>
    <w:unhideWhenUsed/>
    <w:rsid w:val="0006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1920"/>
  </w:style>
  <w:style w:type="character" w:styleId="Merknadsreferanse">
    <w:name w:val="annotation reference"/>
    <w:basedOn w:val="Standardskriftforavsnitt"/>
    <w:uiPriority w:val="99"/>
    <w:semiHidden/>
    <w:unhideWhenUsed/>
    <w:rsid w:val="0006192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6192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6192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6192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6192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6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Engeseth, Grete May</dc:creator>
  <cp:keywords/>
  <dc:description/>
  <cp:lastModifiedBy>Engeseth, Grete May</cp:lastModifiedBy>
  <cp:revision>1</cp:revision>
  <dcterms:created xsi:type="dcterms:W3CDTF">2021-06-22T11:28:00Z</dcterms:created>
  <dcterms:modified xsi:type="dcterms:W3CDTF">2021-06-22T11:29:00Z</dcterms:modified>
</cp:coreProperties>
</file>