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82C9A" w14:textId="3C1AC800" w:rsidR="00E31BD1" w:rsidRPr="00E31BD1" w:rsidRDefault="00933C8C" w:rsidP="00E31BD1">
      <w:r w:rsidRPr="00933C8C">
        <w:rPr>
          <w:rFonts w:ascii="Times New Roman" w:eastAsia="Calibri" w:hAnsi="Times New Roman" w:cs="Times New Roman"/>
          <w:i/>
          <w:iCs/>
          <w:sz w:val="32"/>
          <w:szCs w:val="32"/>
        </w:rPr>
        <w:t xml:space="preserve">Supplementary material for </w:t>
      </w:r>
      <w:r w:rsidRPr="00933C8C">
        <w:rPr>
          <w:rFonts w:ascii="Times New Roman" w:eastAsia="Calibri" w:hAnsi="Times New Roman" w:cs="Times New Roman"/>
          <w:sz w:val="32"/>
          <w:szCs w:val="32"/>
        </w:rPr>
        <w:t xml:space="preserve">Grönlund E, et al. </w:t>
      </w:r>
      <w:bookmarkStart w:id="0" w:name="_Hlk494121785"/>
      <w:r w:rsidRPr="00933C8C">
        <w:rPr>
          <w:rFonts w:ascii="Times New Roman" w:eastAsia="Calibri" w:hAnsi="Times New Roman" w:cs="Times New Roman"/>
          <w:b/>
          <w:bCs/>
          <w:sz w:val="32"/>
          <w:szCs w:val="32"/>
        </w:rPr>
        <w:t>Robust treatment planning of dose painting for prostate cancer based on ADC-to-Gleason score mappings – what is the potential to increase the tumor control probability?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33C8C">
        <w:rPr>
          <w:rFonts w:ascii="Times New Roman" w:eastAsia="Calibri" w:hAnsi="Times New Roman" w:cs="Times New Roman"/>
          <w:b/>
          <w:bCs/>
          <w:sz w:val="32"/>
          <w:szCs w:val="32"/>
        </w:rPr>
        <w:t>Acta</w:t>
      </w:r>
      <w:proofErr w:type="spellEnd"/>
      <w:r w:rsidRPr="00933C8C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33C8C">
        <w:rPr>
          <w:rFonts w:ascii="Times New Roman" w:eastAsia="Calibri" w:hAnsi="Times New Roman" w:cs="Times New Roman"/>
          <w:b/>
          <w:bCs/>
          <w:sz w:val="32"/>
          <w:szCs w:val="32"/>
        </w:rPr>
        <w:t>Oncol</w:t>
      </w:r>
      <w:bookmarkEnd w:id="0"/>
      <w:proofErr w:type="spellEnd"/>
      <w:r w:rsidRPr="00933C8C">
        <w:rPr>
          <w:rFonts w:ascii="Times New Roman" w:eastAsia="Calibri" w:hAnsi="Times New Roman" w:cs="Times New Roman"/>
          <w:b/>
          <w:bCs/>
          <w:sz w:val="32"/>
          <w:szCs w:val="32"/>
        </w:rPr>
        <w:t>….</w:t>
      </w:r>
      <w:bookmarkStart w:id="1" w:name="_GoBack"/>
      <w:bookmarkEnd w:id="1"/>
    </w:p>
    <w:p w14:paraId="3E0ED54F" w14:textId="0637A528" w:rsidR="002C4CBA" w:rsidRPr="002C4CBA" w:rsidRDefault="002C4CBA" w:rsidP="002C4CB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C4CBA">
        <w:rPr>
          <w:rFonts w:ascii="Times New Roman" w:eastAsia="Calibri" w:hAnsi="Times New Roman" w:cs="Times New Roman"/>
          <w:b/>
          <w:sz w:val="20"/>
          <w:szCs w:val="20"/>
        </w:rPr>
        <w:t xml:space="preserve">Table </w:t>
      </w:r>
      <w:r w:rsidR="00662D98">
        <w:rPr>
          <w:rFonts w:ascii="Times New Roman" w:eastAsia="Calibri" w:hAnsi="Times New Roman" w:cs="Times New Roman"/>
          <w:b/>
          <w:sz w:val="20"/>
          <w:szCs w:val="20"/>
        </w:rPr>
        <w:t>A1</w:t>
      </w:r>
      <w:r w:rsidRPr="002C4CBA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2C4CBA">
        <w:rPr>
          <w:rFonts w:ascii="Times New Roman" w:eastAsia="Calibri" w:hAnsi="Times New Roman" w:cs="Times New Roman"/>
          <w:sz w:val="20"/>
          <w:szCs w:val="20"/>
        </w:rPr>
        <w:t xml:space="preserve"> Objectives and constraints for optimization of DPBN plans. The CTVT minimum dose and the urethra maximum dose </w:t>
      </w:r>
      <w:proofErr w:type="gramStart"/>
      <w:r w:rsidRPr="002C4CBA">
        <w:rPr>
          <w:rFonts w:ascii="Times New Roman" w:eastAsia="Calibri" w:hAnsi="Times New Roman" w:cs="Times New Roman"/>
          <w:sz w:val="20"/>
          <w:szCs w:val="20"/>
        </w:rPr>
        <w:t>were optimized</w:t>
      </w:r>
      <w:proofErr w:type="gramEnd"/>
      <w:r w:rsidRPr="002C4CBA">
        <w:rPr>
          <w:rFonts w:ascii="Times New Roman" w:eastAsia="Calibri" w:hAnsi="Times New Roman" w:cs="Times New Roman"/>
          <w:sz w:val="20"/>
          <w:szCs w:val="20"/>
        </w:rPr>
        <w:t xml:space="preserve"> with minimax optimization to ensure geometrical robustness without the use of an extra margin. T</w:t>
      </w:r>
      <w:r w:rsidRPr="002C4CBA">
        <w:rPr>
          <w:rFonts w:ascii="Times New Roman" w:eastAsia="Times New Roman" w:hAnsi="Times New Roman" w:cs="Times New Roman"/>
          <w:sz w:val="20"/>
          <w:szCs w:val="20"/>
        </w:rPr>
        <w:t>he convergence criteria for the optimizer were set to finish for relative changes in objective function value less than 1.0x10</w:t>
      </w:r>
      <w:r w:rsidRPr="002C4CB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-7</w:t>
      </w:r>
      <w:r w:rsidRPr="002C4CBA">
        <w:rPr>
          <w:rFonts w:ascii="Times New Roman" w:eastAsia="Times New Roman" w:hAnsi="Times New Roman" w:cs="Times New Roman"/>
          <w:sz w:val="20"/>
          <w:szCs w:val="20"/>
        </w:rPr>
        <w:t>.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1929"/>
        <w:gridCol w:w="1707"/>
        <w:gridCol w:w="3618"/>
      </w:tblGrid>
      <w:tr w:rsidR="002C4CBA" w:rsidRPr="002C4CBA" w14:paraId="31D85E08" w14:textId="77777777" w:rsidTr="00B56DFF">
        <w:trPr>
          <w:trHeight w:val="300"/>
        </w:trPr>
        <w:tc>
          <w:tcPr>
            <w:tcW w:w="9212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9FBA9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VMAT 35 fractions</w:t>
            </w:r>
          </w:p>
        </w:tc>
      </w:tr>
      <w:tr w:rsidR="002C4CBA" w:rsidRPr="002C4CBA" w14:paraId="1CC3AE62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C385D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structures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315D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objective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6DA3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weighting factor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F08A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minimax optimization</w:t>
            </w:r>
          </w:p>
        </w:tc>
      </w:tr>
      <w:tr w:rsidR="002C4CBA" w:rsidRPr="002C4CBA" w14:paraId="4AC4AE93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ADAF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CTVT-prostate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E25F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maximize TCP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4182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00C0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Yes</w:t>
            </w:r>
          </w:p>
        </w:tc>
      </w:tr>
      <w:tr w:rsidR="002C4CBA" w:rsidRPr="002C4CBA" w14:paraId="486346FA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1BA9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0F90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2%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95.0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FA2E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Constraint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7BA5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Yes</w:t>
            </w:r>
          </w:p>
        </w:tc>
      </w:tr>
      <w:tr w:rsidR="002C4CBA" w:rsidRPr="002C4CBA" w14:paraId="489A4AFF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BD17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CDC8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proofErr w:type="spellStart"/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mean</w:t>
            </w:r>
            <w:proofErr w:type="spellEnd"/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= 83.4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54DC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Constraint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68A5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Yes</w:t>
            </w:r>
          </w:p>
        </w:tc>
      </w:tr>
      <w:tr w:rsidR="002C4CBA" w:rsidRPr="002C4CBA" w14:paraId="401F4232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BF64C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9D66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98%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≥ 77.0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1915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Constraint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4253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Yes</w:t>
            </w:r>
          </w:p>
        </w:tc>
      </w:tr>
      <w:tr w:rsidR="002C4CBA" w:rsidRPr="002C4CBA" w14:paraId="1B4A2967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3C0D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CTV-Vesicle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87EE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2%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80.9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7AB2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100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D236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Yes</w:t>
            </w:r>
          </w:p>
        </w:tc>
      </w:tr>
      <w:tr w:rsidR="002C4CBA" w:rsidRPr="002C4CBA" w14:paraId="1AFFEFDF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30859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ED16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98%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≥ 73.9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4C05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Constraint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2C4B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Yes</w:t>
            </w:r>
          </w:p>
        </w:tc>
      </w:tr>
      <w:tr w:rsidR="002C4CBA" w:rsidRPr="002C4CBA" w14:paraId="0DA6F259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0172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PTVN-P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5E89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2%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58.8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8BBB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100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563C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189397FA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FCCC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0E5A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98%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≥ 53.8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7049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Constraint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4EFA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3C4A8BB1" w14:textId="77777777" w:rsidTr="00B56DFF">
        <w:trPr>
          <w:trHeight w:val="288"/>
        </w:trPr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0C69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PTVN-T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19FE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2%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73.5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1D3B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100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5939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237C98E0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DD0AF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B72B5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98%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≥ 67.2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C7F3F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Constraint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A402C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3E5CD996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193E3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Urethra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3711A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0%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95.0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6B774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Constraint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8C225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Yes</w:t>
            </w:r>
          </w:p>
        </w:tc>
      </w:tr>
      <w:tr w:rsidR="002C4CBA" w:rsidRPr="002C4CBA" w14:paraId="59E3ADC5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28A9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Rectum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94B8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15%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75.0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89A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A070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002DCAE8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4A8B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6029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20%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70.0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B813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66B4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2662BF68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CCA4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AFC9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25%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65.0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6BCA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FFF2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59536F70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C01D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EF61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35%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60.0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23B8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2E9F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36C3F7AF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082E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CD83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50%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50.0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FDB9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6198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5D92EEE5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CAE5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7042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55%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40.0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C6F3E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5A24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2F4563F6" w14:textId="77777777" w:rsidTr="00B56DFF">
        <w:trPr>
          <w:trHeight w:val="288"/>
        </w:trPr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9C88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Shell of CTVT-PTVT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0956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1%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89.3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12B7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2000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D4AB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Yes</w:t>
            </w:r>
          </w:p>
        </w:tc>
      </w:tr>
      <w:tr w:rsidR="002C4CBA" w:rsidRPr="002C4CBA" w14:paraId="19C98937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A4EB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88F7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2%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87.6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2B0B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2000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317D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Yes</w:t>
            </w:r>
          </w:p>
        </w:tc>
      </w:tr>
      <w:tr w:rsidR="002C4CBA" w:rsidRPr="002C4CBA" w14:paraId="3ECBA8F9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BFBF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E824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50%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83.4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7A2E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2000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0D08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Yes</w:t>
            </w:r>
          </w:p>
        </w:tc>
      </w:tr>
      <w:tr w:rsidR="002C4CBA" w:rsidRPr="002C4CBA" w14:paraId="72A7EEC1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E33B9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2FCD2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98%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≥ 72.5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A0278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2000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D8AEF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Yes</w:t>
            </w:r>
          </w:p>
        </w:tc>
      </w:tr>
      <w:tr w:rsidR="002C4CBA" w:rsidRPr="002C4CBA" w14:paraId="40DC2FC2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4CBD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Bladder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B46B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15%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80.0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4AD6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9EAD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42034B1B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084E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8894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25%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75.0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735A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1884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1515F047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2BC5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D9B1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35%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70.0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2CD3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661A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15B859A3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9EF3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8ADF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50%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65.0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6880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C805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112BBF9A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7251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7ECC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60%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50.0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04C4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B6F0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3F77F2B5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22314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88F95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70%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40.0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90E63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9BBD6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215DBC57" w14:textId="77777777" w:rsidTr="00B56DFF">
        <w:trPr>
          <w:trHeight w:val="288"/>
        </w:trPr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EE3B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Femoral head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3D86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10%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50.0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33B0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EA5D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77FDA74A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252E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2BCD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25%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45.0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4C5C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4D0D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6D78A585" w14:textId="77777777" w:rsidTr="00B56DFF">
        <w:trPr>
          <w:trHeight w:val="288"/>
        </w:trPr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7AB3B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40DF43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35%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30.0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C1C53C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B87BF8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0AC467F6" w14:textId="77777777" w:rsidTr="00B56DFF">
        <w:trPr>
          <w:trHeight w:val="288"/>
        </w:trPr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C3A5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Bowel bag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732B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195cm3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45.0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3DD8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5FD0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  <w:tr w:rsidR="002C4CBA" w:rsidRPr="002C4CBA" w14:paraId="1184B5E0" w14:textId="77777777" w:rsidTr="00B56DFF">
        <w:trPr>
          <w:trHeight w:val="300"/>
        </w:trPr>
        <w:tc>
          <w:tcPr>
            <w:tcW w:w="1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50117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79617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i/>
                <w:lang w:eastAsia="sv-SE"/>
              </w:rPr>
              <w:t>D</w:t>
            </w:r>
            <w:r w:rsidRPr="002C4CBA">
              <w:rPr>
                <w:rFonts w:ascii="Times New Roman" w:eastAsia="Calibri" w:hAnsi="Times New Roman" w:cs="Times New Roman"/>
                <w:vertAlign w:val="subscript"/>
                <w:lang w:eastAsia="sv-SE"/>
              </w:rPr>
              <w:t>450cm3</w:t>
            </w:r>
            <w:r w:rsidRPr="002C4CBA">
              <w:rPr>
                <w:rFonts w:ascii="Times New Roman" w:eastAsia="Calibri" w:hAnsi="Times New Roman" w:cs="Times New Roman"/>
                <w:lang w:eastAsia="sv-SE"/>
              </w:rPr>
              <w:t xml:space="preserve"> ≤ 30.0 </w:t>
            </w:r>
            <w:proofErr w:type="spellStart"/>
            <w:r w:rsidRPr="002C4CBA">
              <w:rPr>
                <w:rFonts w:ascii="Times New Roman" w:eastAsia="Calibri" w:hAnsi="Times New Roman" w:cs="Times New Roman"/>
                <w:lang w:eastAsia="sv-SE"/>
              </w:rPr>
              <w:t>Gy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5B5D0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CD504" w14:textId="77777777" w:rsidR="002C4CBA" w:rsidRPr="002C4CBA" w:rsidRDefault="002C4CBA" w:rsidP="002C4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v-SE"/>
              </w:rPr>
            </w:pPr>
            <w:r w:rsidRPr="002C4CBA">
              <w:rPr>
                <w:rFonts w:ascii="Times New Roman" w:eastAsia="Calibri" w:hAnsi="Times New Roman" w:cs="Times New Roman"/>
                <w:lang w:eastAsia="sv-SE"/>
              </w:rPr>
              <w:t>No</w:t>
            </w:r>
          </w:p>
        </w:tc>
      </w:tr>
    </w:tbl>
    <w:p w14:paraId="385D3EB6" w14:textId="6CD6B562" w:rsidR="007416A2" w:rsidRDefault="007416A2"/>
    <w:p w14:paraId="191323DE" w14:textId="5241C96E" w:rsidR="000E43B4" w:rsidRPr="0096110E" w:rsidRDefault="000E43B4" w:rsidP="000E43B4">
      <w:pPr>
        <w:keepNext/>
        <w:tabs>
          <w:tab w:val="center" w:pos="4540"/>
          <w:tab w:val="right" w:pos="9080"/>
        </w:tabs>
        <w:spacing w:after="0" w:line="240" w:lineRule="auto"/>
        <w:rPr>
          <w:rFonts w:ascii="Times New Roman" w:eastAsia="Calibri" w:hAnsi="Times New Roman" w:cs="Times New Roman"/>
          <w:i/>
          <w:iCs/>
          <w:color w:val="44546A"/>
          <w:sz w:val="18"/>
          <w:szCs w:val="18"/>
        </w:rPr>
      </w:pPr>
      <w:r w:rsidRPr="0096110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A2</w:t>
      </w:r>
      <w:r w:rsidRPr="0096110E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  <w:r w:rsidRPr="0096110E">
        <w:rPr>
          <w:rFonts w:ascii="Times New Roman" w:eastAsia="Calibri" w:hAnsi="Times New Roman" w:cs="Times New Roman"/>
          <w:i/>
          <w:iCs/>
          <w:color w:val="44546A"/>
          <w:sz w:val="18"/>
          <w:szCs w:val="18"/>
        </w:rPr>
        <w:t xml:space="preserve"> </w:t>
      </w:r>
      <w:r w:rsidRPr="0096110E">
        <w:rPr>
          <w:rFonts w:ascii="Times New Roman" w:eastAsia="Calibri" w:hAnsi="Times New Roman" w:cs="Times New Roman"/>
          <w:sz w:val="20"/>
          <w:szCs w:val="20"/>
        </w:rPr>
        <w:t>Average TCP increases for the 12 different setups of plan optimization.</w:t>
      </w: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740"/>
        <w:gridCol w:w="1320"/>
        <w:gridCol w:w="1880"/>
      </w:tblGrid>
      <w:tr w:rsidR="000E43B4" w:rsidRPr="0096110E" w14:paraId="3FBA3148" w14:textId="77777777" w:rsidTr="007038C4">
        <w:trPr>
          <w:trHeight w:val="300"/>
        </w:trPr>
        <w:tc>
          <w:tcPr>
            <w:tcW w:w="17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C89A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proofErr w:type="spellStart"/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robustness</w:t>
            </w:r>
            <w:proofErr w:type="spellEnd"/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 xml:space="preserve"> </w:t>
            </w:r>
            <w:proofErr w:type="spellStart"/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distance</w:t>
            </w:r>
            <w:proofErr w:type="spellEnd"/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 xml:space="preserve"> </w:t>
            </w:r>
          </w:p>
        </w:tc>
        <w:tc>
          <w:tcPr>
            <w:tcW w:w="3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8454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 xml:space="preserve">mapping of </w:t>
            </w:r>
            <w:proofErr w:type="spellStart"/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ADC→Gleason</w:t>
            </w:r>
            <w:proofErr w:type="spellEnd"/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 xml:space="preserve"> score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4FD4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proofErr w:type="spellStart"/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photon</w:t>
            </w:r>
            <w:proofErr w:type="spellEnd"/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 xml:space="preserve"> </w:t>
            </w:r>
            <w:proofErr w:type="spellStart"/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energy</w:t>
            </w:r>
            <w:proofErr w:type="spellEnd"/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 xml:space="preserve"> </w:t>
            </w:r>
          </w:p>
        </w:tc>
        <w:tc>
          <w:tcPr>
            <w:tcW w:w="18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2C2B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proofErr w:type="spellStart"/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average</w:t>
            </w:r>
            <w:proofErr w:type="spellEnd"/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 xml:space="preserve"> TCP </w:t>
            </w:r>
            <w:proofErr w:type="spellStart"/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increase</w:t>
            </w:r>
            <w:proofErr w:type="spellEnd"/>
          </w:p>
        </w:tc>
      </w:tr>
      <w:tr w:rsidR="000E43B4" w:rsidRPr="0096110E" w14:paraId="7B4168F0" w14:textId="77777777" w:rsidTr="007038C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171D1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[cm]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856E4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Low precision (LP) or High precision (HP)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A14E3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[MV]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01AD0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[</w:t>
            </w:r>
            <w:proofErr w:type="spellStart"/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p.p</w:t>
            </w:r>
            <w:proofErr w:type="spellEnd"/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]</w:t>
            </w:r>
          </w:p>
        </w:tc>
      </w:tr>
      <w:tr w:rsidR="000E43B4" w:rsidRPr="0096110E" w14:paraId="49DD029F" w14:textId="77777777" w:rsidTr="007038C4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B50D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0.6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82EB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LP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715A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4676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2.5</w:t>
            </w:r>
          </w:p>
        </w:tc>
      </w:tr>
      <w:tr w:rsidR="000E43B4" w:rsidRPr="0096110E" w14:paraId="1FA2D4B3" w14:textId="77777777" w:rsidTr="007038C4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A5ADD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0.6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CA69B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LP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04560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24F24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2.6</w:t>
            </w:r>
          </w:p>
        </w:tc>
      </w:tr>
      <w:tr w:rsidR="000E43B4" w:rsidRPr="0096110E" w14:paraId="1DCE920E" w14:textId="77777777" w:rsidTr="007038C4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887B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0.6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AC08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HP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5E1D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42A6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3.7</w:t>
            </w:r>
          </w:p>
        </w:tc>
      </w:tr>
      <w:tr w:rsidR="000E43B4" w:rsidRPr="0096110E" w14:paraId="6A6BDCB2" w14:textId="77777777" w:rsidTr="007038C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5DBF6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0.6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41AAB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HP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01C10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17B16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3.7</w:t>
            </w:r>
          </w:p>
        </w:tc>
      </w:tr>
      <w:tr w:rsidR="000E43B4" w:rsidRPr="0096110E" w14:paraId="0333DB60" w14:textId="77777777" w:rsidTr="007038C4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9379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0.2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57A2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LP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B10C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1957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3.7</w:t>
            </w:r>
          </w:p>
        </w:tc>
      </w:tr>
      <w:tr w:rsidR="000E43B4" w:rsidRPr="0096110E" w14:paraId="51DC4347" w14:textId="77777777" w:rsidTr="007038C4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3B143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0.2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44ACF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LP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6AE29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40EE6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3.6</w:t>
            </w:r>
          </w:p>
        </w:tc>
      </w:tr>
      <w:tr w:rsidR="000E43B4" w:rsidRPr="0096110E" w14:paraId="1D71E09B" w14:textId="77777777" w:rsidTr="007038C4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DDB4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0.2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ECE0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HP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26D6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DB4D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5.2</w:t>
            </w:r>
          </w:p>
        </w:tc>
      </w:tr>
      <w:tr w:rsidR="000E43B4" w:rsidRPr="0096110E" w14:paraId="6E78FD4D" w14:textId="77777777" w:rsidTr="007038C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266A9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0.2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93EC2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HP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95864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0CBD7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5.5</w:t>
            </w:r>
          </w:p>
        </w:tc>
      </w:tr>
      <w:tr w:rsidR="000E43B4" w:rsidRPr="0096110E" w14:paraId="498AFD4E" w14:textId="77777777" w:rsidTr="007038C4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591A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0.0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0419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LP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221F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06CE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5.5</w:t>
            </w:r>
          </w:p>
        </w:tc>
      </w:tr>
      <w:tr w:rsidR="000E43B4" w:rsidRPr="0096110E" w14:paraId="1A345448" w14:textId="77777777" w:rsidTr="007038C4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46589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0.0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82E8F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LP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EEC1B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49E93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6.5</w:t>
            </w:r>
          </w:p>
        </w:tc>
      </w:tr>
      <w:tr w:rsidR="000E43B4" w:rsidRPr="0096110E" w14:paraId="63B8EB1F" w14:textId="77777777" w:rsidTr="007038C4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10B1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0.0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3B87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HP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9319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CC85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8.1</w:t>
            </w:r>
          </w:p>
        </w:tc>
      </w:tr>
      <w:tr w:rsidR="000E43B4" w:rsidRPr="0096110E" w14:paraId="7F6ADC55" w14:textId="77777777" w:rsidTr="007038C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0F82D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0.0</w:t>
            </w:r>
          </w:p>
        </w:tc>
        <w:tc>
          <w:tcPr>
            <w:tcW w:w="3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DB01D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HP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A133D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0E8AC" w14:textId="77777777" w:rsidR="000E43B4" w:rsidRPr="0096110E" w:rsidRDefault="000E43B4" w:rsidP="007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</w:pPr>
            <w:r w:rsidRPr="00961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sv-SE"/>
              </w:rPr>
              <w:t>8.5</w:t>
            </w:r>
          </w:p>
        </w:tc>
      </w:tr>
    </w:tbl>
    <w:p w14:paraId="41939E84" w14:textId="77777777" w:rsidR="000E43B4" w:rsidRPr="0096110E" w:rsidRDefault="000E43B4" w:rsidP="000E43B4">
      <w:pPr>
        <w:tabs>
          <w:tab w:val="center" w:pos="4540"/>
          <w:tab w:val="right" w:pos="9080"/>
        </w:tabs>
        <w:spacing w:after="200" w:line="240" w:lineRule="auto"/>
        <w:jc w:val="both"/>
        <w:rPr>
          <w:rFonts w:ascii="Times New Roman" w:eastAsia="Calibri" w:hAnsi="Times New Roman" w:cs="Times New Roman"/>
          <w:i/>
          <w:iCs/>
          <w:color w:val="44546A"/>
          <w:sz w:val="18"/>
          <w:szCs w:val="18"/>
        </w:rPr>
      </w:pPr>
    </w:p>
    <w:p w14:paraId="03F9522A" w14:textId="77777777" w:rsidR="000E43B4" w:rsidRDefault="000E43B4"/>
    <w:sectPr w:rsidR="000E43B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BA"/>
    <w:rsid w:val="000E43B4"/>
    <w:rsid w:val="002C4CBA"/>
    <w:rsid w:val="00662D98"/>
    <w:rsid w:val="007416A2"/>
    <w:rsid w:val="00933C8C"/>
    <w:rsid w:val="009608D0"/>
    <w:rsid w:val="009705C3"/>
    <w:rsid w:val="00D44AE8"/>
    <w:rsid w:val="00D63410"/>
    <w:rsid w:val="00E3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C85D"/>
  <w15:chartTrackingRefBased/>
  <w15:docId w15:val="{6EF28C03-F693-4F41-8BC9-CD455734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E31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1B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grönlund</dc:creator>
  <cp:keywords/>
  <dc:description/>
  <cp:lastModifiedBy>Grönlund, Eric</cp:lastModifiedBy>
  <cp:revision>5</cp:revision>
  <dcterms:created xsi:type="dcterms:W3CDTF">2020-06-07T17:14:00Z</dcterms:created>
  <dcterms:modified xsi:type="dcterms:W3CDTF">2020-08-25T10:28:00Z</dcterms:modified>
</cp:coreProperties>
</file>