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F8" w:rsidRPr="001550C4" w:rsidRDefault="004A4CF8" w:rsidP="004A4CF8">
      <w:pPr>
        <w:pStyle w:val="Beschriftung"/>
        <w:keepNext/>
        <w:rPr>
          <w:rFonts w:ascii="Arial" w:hAnsi="Arial" w:cs="Arial"/>
          <w:b w:val="0"/>
          <w:color w:val="auto"/>
          <w:sz w:val="22"/>
          <w:szCs w:val="22"/>
          <w:lang w:val="en-US"/>
        </w:rPr>
      </w:pPr>
      <w:r>
        <w:rPr>
          <w:rFonts w:ascii="Arial" w:hAnsi="Arial" w:cs="Arial"/>
          <w:b w:val="0"/>
          <w:color w:val="auto"/>
          <w:sz w:val="22"/>
          <w:szCs w:val="22"/>
          <w:lang w:val="en-US"/>
        </w:rPr>
        <w:t>Supplemental material</w:t>
      </w:r>
      <w:r w:rsidRPr="001550C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</w:t>
      </w:r>
      <w:r w:rsidRPr="004A4CF8">
        <w:rPr>
          <w:rFonts w:ascii="Arial" w:hAnsi="Arial" w:cs="Arial"/>
          <w:b w:val="0"/>
          <w:color w:val="auto"/>
          <w:sz w:val="22"/>
          <w:szCs w:val="22"/>
          <w:lang w:val="en-US"/>
        </w:rPr>
        <w:t>1</w:t>
      </w:r>
      <w:bookmarkStart w:id="0" w:name="_GoBack"/>
      <w:bookmarkEnd w:id="0"/>
      <w:r w:rsidRPr="001550C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- Eye retention, local tumor control, metastatic disease, disease-specific survival and overall deaths in the study population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51"/>
        <w:gridCol w:w="1452"/>
        <w:gridCol w:w="1317"/>
        <w:gridCol w:w="1116"/>
        <w:gridCol w:w="989"/>
        <w:gridCol w:w="984"/>
        <w:gridCol w:w="989"/>
        <w:gridCol w:w="984"/>
      </w:tblGrid>
      <w:tr w:rsidR="004A4CF8" w:rsidRPr="001550C4" w:rsidTr="00AA3678">
        <w:tc>
          <w:tcPr>
            <w:tcW w:w="1451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Results</w:t>
            </w:r>
          </w:p>
        </w:tc>
        <w:tc>
          <w:tcPr>
            <w:tcW w:w="1452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No. of events</w:t>
            </w:r>
          </w:p>
        </w:tc>
        <w:tc>
          <w:tcPr>
            <w:tcW w:w="1317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After 5 years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CI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After 10 years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CI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After 12 years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CI</w:t>
            </w:r>
          </w:p>
        </w:tc>
      </w:tr>
      <w:tr w:rsidR="004A4CF8" w:rsidRPr="001550C4" w:rsidTr="00AA3678">
        <w:tc>
          <w:tcPr>
            <w:tcW w:w="1451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Eye retention</w:t>
            </w:r>
          </w:p>
        </w:tc>
        <w:tc>
          <w:tcPr>
            <w:tcW w:w="1452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54 enucleations</w:t>
            </w:r>
          </w:p>
        </w:tc>
        <w:tc>
          <w:tcPr>
            <w:tcW w:w="1317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82.7%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78.2 -87.1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79.7%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74.7 -84.7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79.7%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74.7 -84.7</w:t>
            </w:r>
          </w:p>
        </w:tc>
      </w:tr>
      <w:tr w:rsidR="004A4CF8" w:rsidRPr="001550C4" w:rsidTr="00AA3678">
        <w:tc>
          <w:tcPr>
            <w:tcW w:w="1451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Local tumor control</w:t>
            </w:r>
          </w:p>
        </w:tc>
        <w:tc>
          <w:tcPr>
            <w:tcW w:w="1452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12 failures</w:t>
            </w:r>
          </w:p>
        </w:tc>
        <w:tc>
          <w:tcPr>
            <w:tcW w:w="1317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96.7%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94.7 -98.7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95.4%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92.8 -98.1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95.4%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92.8 -98.1</w:t>
            </w:r>
          </w:p>
        </w:tc>
      </w:tr>
      <w:tr w:rsidR="004A4CF8" w:rsidRPr="001550C4" w:rsidTr="00AA3678">
        <w:tc>
          <w:tcPr>
            <w:tcW w:w="1451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 xml:space="preserve">Metastasis-free </w:t>
            </w:r>
          </w:p>
        </w:tc>
        <w:tc>
          <w:tcPr>
            <w:tcW w:w="1452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54 metastases</w:t>
            </w:r>
          </w:p>
        </w:tc>
        <w:tc>
          <w:tcPr>
            <w:tcW w:w="1317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84.7%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80.3 -89.1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77.3%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71.4 -83.2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70.5%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61.2 -79.8</w:t>
            </w:r>
          </w:p>
        </w:tc>
      </w:tr>
      <w:tr w:rsidR="004A4CF8" w:rsidRPr="001550C4" w:rsidTr="00AA3678">
        <w:tc>
          <w:tcPr>
            <w:tcW w:w="1451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Disease-specific survival</w:t>
            </w:r>
          </w:p>
        </w:tc>
        <w:tc>
          <w:tcPr>
            <w:tcW w:w="1452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31 dead of disease</w:t>
            </w:r>
          </w:p>
        </w:tc>
        <w:tc>
          <w:tcPr>
            <w:tcW w:w="1317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91.2%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87.7 -94.7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85.8%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80.7 -90.9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83.8%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77.6 -90.1</w:t>
            </w:r>
          </w:p>
        </w:tc>
      </w:tr>
      <w:tr w:rsidR="004A4CF8" w:rsidRPr="001550C4" w:rsidTr="00AA3678">
        <w:tc>
          <w:tcPr>
            <w:tcW w:w="1451" w:type="dxa"/>
            <w:tcBorders>
              <w:left w:val="nil"/>
              <w:right w:val="nil"/>
            </w:tcBorders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hAnsi="Arial" w:cs="Arial"/>
                <w:sz w:val="22"/>
                <w:szCs w:val="22"/>
                <w:lang w:val="en-US"/>
              </w:rPr>
              <w:t>Overall survival</w:t>
            </w:r>
          </w:p>
        </w:tc>
        <w:tc>
          <w:tcPr>
            <w:tcW w:w="1452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55 deaths</w:t>
            </w:r>
          </w:p>
        </w:tc>
        <w:tc>
          <w:tcPr>
            <w:tcW w:w="1317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85.0%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80.5 -89.4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74.7%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68.1 -81.2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68.9%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:rsidR="004A4CF8" w:rsidRPr="001550C4" w:rsidRDefault="004A4CF8" w:rsidP="00AA367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550C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58.8 -79.0</w:t>
            </w:r>
          </w:p>
        </w:tc>
      </w:tr>
    </w:tbl>
    <w:p w:rsidR="004A4CF8" w:rsidRPr="001550C4" w:rsidRDefault="004A4CF8" w:rsidP="004A4CF8">
      <w:pPr>
        <w:rPr>
          <w:rFonts w:ascii="Arial" w:hAnsi="Arial" w:cs="Arial"/>
          <w:sz w:val="22"/>
          <w:szCs w:val="22"/>
          <w:lang w:val="en-US"/>
        </w:rPr>
      </w:pPr>
      <w:r w:rsidRPr="001550C4">
        <w:rPr>
          <w:rFonts w:ascii="Arial" w:hAnsi="Arial" w:cs="Arial"/>
          <w:sz w:val="22"/>
          <w:szCs w:val="22"/>
          <w:lang w:val="en-US"/>
        </w:rPr>
        <w:t>Abbreviation: CI = confidence interval.</w:t>
      </w:r>
    </w:p>
    <w:p w:rsidR="004A4CF8" w:rsidRPr="001550C4" w:rsidRDefault="004A4CF8" w:rsidP="004A4CF8">
      <w:pPr>
        <w:rPr>
          <w:rFonts w:ascii="Arial" w:hAnsi="Arial" w:cs="Arial"/>
          <w:sz w:val="22"/>
          <w:szCs w:val="22"/>
          <w:lang w:val="en-US"/>
        </w:rPr>
      </w:pPr>
    </w:p>
    <w:p w:rsidR="000359AA" w:rsidRPr="004A4CF8" w:rsidRDefault="000359AA" w:rsidP="004A4CF8"/>
    <w:sectPr w:rsidR="000359AA" w:rsidRPr="004A4C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CB"/>
    <w:rsid w:val="000162D2"/>
    <w:rsid w:val="000359AA"/>
    <w:rsid w:val="001B45B6"/>
    <w:rsid w:val="0027520F"/>
    <w:rsid w:val="00472AA4"/>
    <w:rsid w:val="004A4CF8"/>
    <w:rsid w:val="005F4FCB"/>
    <w:rsid w:val="006C118F"/>
    <w:rsid w:val="0082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F4FCB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5F4FCB"/>
    <w:pPr>
      <w:spacing w:after="200"/>
    </w:pPr>
    <w:rPr>
      <w:b/>
      <w:bCs/>
      <w:color w:val="4F81BD" w:themeColor="accent1"/>
      <w:sz w:val="18"/>
      <w:szCs w:val="18"/>
    </w:rPr>
  </w:style>
  <w:style w:type="table" w:styleId="Tabellenraster">
    <w:name w:val="Table Grid"/>
    <w:basedOn w:val="NormaleTabelle"/>
    <w:uiPriority w:val="59"/>
    <w:rsid w:val="005F4FCB"/>
    <w:pPr>
      <w:spacing w:after="0" w:line="240" w:lineRule="auto"/>
    </w:pPr>
    <w:rPr>
      <w:rFonts w:eastAsiaTheme="minorEastAsia"/>
      <w:sz w:val="24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5F4FCB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  <w:lang w:val="de-DE" w:eastAsia="de-D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F4FCB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5F4FCB"/>
    <w:pPr>
      <w:spacing w:after="200"/>
    </w:pPr>
    <w:rPr>
      <w:b/>
      <w:bCs/>
      <w:color w:val="4F81BD" w:themeColor="accent1"/>
      <w:sz w:val="18"/>
      <w:szCs w:val="18"/>
    </w:rPr>
  </w:style>
  <w:style w:type="table" w:styleId="Tabellenraster">
    <w:name w:val="Table Grid"/>
    <w:basedOn w:val="NormaleTabelle"/>
    <w:uiPriority w:val="59"/>
    <w:rsid w:val="005F4FCB"/>
    <w:pPr>
      <w:spacing w:after="0" w:line="240" w:lineRule="auto"/>
    </w:pPr>
    <w:rPr>
      <w:rFonts w:eastAsiaTheme="minorEastAsia"/>
      <w:sz w:val="24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5F4FCB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  <w:lang w:val="de-DE" w:eastAsia="de-D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Katharina</dc:creator>
  <cp:lastModifiedBy>Katharina</cp:lastModifiedBy>
  <cp:revision>2</cp:revision>
  <dcterms:created xsi:type="dcterms:W3CDTF">2020-08-12T13:02:00Z</dcterms:created>
  <dcterms:modified xsi:type="dcterms:W3CDTF">2020-08-12T13:02:00Z</dcterms:modified>
</cp:coreProperties>
</file>