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64" w:rsidRPr="00B42016" w:rsidRDefault="00C37F84" w:rsidP="00C37F84">
      <w:pPr>
        <w:pStyle w:val="Tittel"/>
        <w:rPr>
          <w:lang w:val="en-GB"/>
        </w:rPr>
      </w:pPr>
      <w:r w:rsidRPr="00B42016">
        <w:rPr>
          <w:lang w:val="en-GB"/>
        </w:rPr>
        <w:t>Appendix</w:t>
      </w:r>
    </w:p>
    <w:p w:rsidR="00C37F84" w:rsidRPr="0045047A" w:rsidRDefault="00C37F84" w:rsidP="00C37F84">
      <w:pPr>
        <w:pStyle w:val="Overskrift2"/>
        <w:rPr>
          <w:i w:val="0"/>
        </w:rPr>
      </w:pPr>
      <w:r w:rsidRPr="0045047A">
        <w:rPr>
          <w:i w:val="0"/>
        </w:rPr>
        <w:t>Auxiliary structures</w:t>
      </w:r>
    </w:p>
    <w:p w:rsidR="00C37F84" w:rsidRPr="0045047A" w:rsidRDefault="00C37F84" w:rsidP="00C37F84">
      <w:pPr>
        <w:pStyle w:val="Paragraph"/>
      </w:pPr>
      <w:r w:rsidRPr="0045047A">
        <w:t>Manual treatment plan</w:t>
      </w:r>
      <w:r>
        <w:t xml:space="preserve"> creation</w:t>
      </w:r>
      <w:r w:rsidRPr="0045047A">
        <w:t xml:space="preserve"> involved the use of the following auxiliary structures: four structures limiting the dose to the non-overlapping parts of target volumes (divided into a</w:t>
      </w:r>
      <w:r>
        <w:t>n overlapping</w:t>
      </w:r>
      <w:r w:rsidRPr="0045047A">
        <w:t xml:space="preserve"> caudal and </w:t>
      </w:r>
      <w:r>
        <w:t xml:space="preserve">a non-overlapping </w:t>
      </w:r>
      <w:r w:rsidRPr="0045047A">
        <w:t>cranial structure for PTV50), three structures representing th</w:t>
      </w:r>
      <w:r>
        <w:t xml:space="preserve">e parts of the OARs more than </w:t>
      </w:r>
      <w:r w:rsidRPr="0045047A">
        <w:t xml:space="preserve">3 </w:t>
      </w:r>
      <w:r>
        <w:t>m</w:t>
      </w:r>
      <w:r w:rsidRPr="0045047A">
        <w:t>m</w:t>
      </w:r>
      <w:r>
        <w:t xml:space="preserve"> (rectum) or 5 m</w:t>
      </w:r>
      <w:r w:rsidRPr="0045047A">
        <w:t xml:space="preserve">m (bladder and bowel bag) from PTV50, and three ring structures limiting dose to normal tissue (in addition to automatic Normal Tissue Objective (NTO) </w:t>
      </w:r>
      <w:r w:rsidRPr="0045047A">
        <w:fldChar w:fldCharType="begin"/>
      </w:r>
      <w:r>
        <w:instrText xml:space="preserve"> ADDIN ZOTERO_ITEM CSL_CITATION {"citationID":"puQw74M1","properties":{"formattedCitation":"[35]","plainCitation":"[35]","noteIndex":0},"citationItems":[{"id":36,"uris":["http://zotero.org/users/6381544/items/P7M356AR"],"uri":["http://zotero.org/users/6381544/items/P7M356AR"],"itemData":{"id":36,"type":"article-journal","title":"Eclipse Photon and Electron Algorithms Reference Guide","page":"187","volume":"Eclipse, version 15.5","source":"Zotero","ISSN":"P1020505-002-B","language":"en","author":[{"family":"Varian Medical Systems","given":""}],"issued":{"date-parts":[["2017"]]}}}],"schema":"https://github.com/citation-style-language/schema/raw/master/csl-citation.json"} </w:instrText>
      </w:r>
      <w:r w:rsidRPr="0045047A">
        <w:fldChar w:fldCharType="separate"/>
      </w:r>
      <w:r>
        <w:t>[1</w:t>
      </w:r>
      <w:r w:rsidRPr="00CF5B1E">
        <w:t>]</w:t>
      </w:r>
      <w:r w:rsidRPr="0045047A">
        <w:fldChar w:fldCharType="end"/>
      </w:r>
      <w:r w:rsidRPr="0045047A">
        <w:t>).</w:t>
      </w:r>
    </w:p>
    <w:p w:rsidR="00C37F84" w:rsidRPr="00C37F84" w:rsidRDefault="00C37F84" w:rsidP="00C724D7">
      <w:pPr>
        <w:pStyle w:val="Newparagraph"/>
      </w:pPr>
      <w:r w:rsidRPr="0045047A">
        <w:t>In the RP models, only three of the auxili</w:t>
      </w:r>
      <w:r>
        <w:t>ary structures were utilized; z</w:t>
      </w:r>
      <w:r w:rsidRPr="0045047A">
        <w:t>PTV_67.5</w:t>
      </w:r>
      <w:r>
        <w:t>, zPTV_60 and zPTV_50, cropped with a margin of 3 mm, 3 mm and 10 m</w:t>
      </w:r>
      <w:r w:rsidRPr="0045047A">
        <w:t>m, respectively, from the higher dose levels.  RP generated line objectives (preferring OAR) limited dose to OARs, while the dose outside the PTVs in general was limited using NTO (Priority: 100, Dist.: 0.4 cm, Range: 102-50%, Fall-off: 0.15).</w:t>
      </w:r>
    </w:p>
    <w:p w:rsidR="00C37F84" w:rsidRPr="00C37F84" w:rsidRDefault="00C37F84" w:rsidP="00C724D7">
      <w:pPr>
        <w:pStyle w:val="Overskrift2"/>
        <w:spacing w:line="480" w:lineRule="auto"/>
        <w:rPr>
          <w:i w:val="0"/>
        </w:rPr>
      </w:pPr>
      <w:r w:rsidRPr="00C37F84">
        <w:rPr>
          <w:i w:val="0"/>
        </w:rPr>
        <w:t>Goodness of fit</w:t>
      </w:r>
    </w:p>
    <w:p w:rsidR="00C37F84" w:rsidRPr="00C37F84" w:rsidRDefault="00C37F84" w:rsidP="00C724D7">
      <w:pPr>
        <w:pStyle w:val="Newparagraph"/>
        <w:ind w:firstLine="0"/>
      </w:pPr>
      <w:r w:rsidRPr="00C37F84">
        <w:t>R</w:t>
      </w:r>
      <w:r w:rsidRPr="00C37F84">
        <w:rPr>
          <w:vertAlign w:val="superscript"/>
        </w:rPr>
        <w:t>2</w:t>
      </w:r>
      <w:r w:rsidRPr="00C37F84">
        <w:t xml:space="preserve"> measures the fit of the training plan data over the regression line, scaling from 0.0 to 1.0, where a larger value indicates a better model fit. </w:t>
      </w:r>
      <w:r w:rsidRPr="0045047A">
        <w:t>χ</w:t>
      </w:r>
      <w:r w:rsidRPr="00C37F84">
        <w:rPr>
          <w:vertAlign w:val="superscript"/>
        </w:rPr>
        <w:t>2</w:t>
      </w:r>
      <w:r w:rsidRPr="00C37F84">
        <w:t xml:space="preserve"> is measured from the residuals, i.e. the difference between the original data and the estimated data, where the quality of the regression model is more likely to be good the closer the value is to 1.0.</w:t>
      </w:r>
    </w:p>
    <w:p w:rsidR="00C37F84" w:rsidRPr="0045047A" w:rsidRDefault="00C37F84" w:rsidP="00C37F84">
      <w:pPr>
        <w:pStyle w:val="Bildetekst"/>
        <w:keepNext/>
        <w:rPr>
          <w:color w:val="auto"/>
        </w:rPr>
      </w:pPr>
      <w:r w:rsidRPr="0045047A">
        <w:rPr>
          <w:color w:val="auto"/>
        </w:rPr>
        <w:t xml:space="preserve">Table A </w:t>
      </w:r>
      <w:r w:rsidRPr="0045047A">
        <w:rPr>
          <w:color w:val="auto"/>
        </w:rPr>
        <w:fldChar w:fldCharType="begin"/>
      </w:r>
      <w:r w:rsidRPr="0045047A">
        <w:rPr>
          <w:color w:val="auto"/>
        </w:rPr>
        <w:instrText xml:space="preserve"> SEQ Table_A \* ARABIC </w:instrText>
      </w:r>
      <w:r w:rsidRPr="0045047A">
        <w:rPr>
          <w:color w:val="auto"/>
        </w:rPr>
        <w:fldChar w:fldCharType="separate"/>
      </w:r>
      <w:r>
        <w:rPr>
          <w:noProof/>
          <w:color w:val="auto"/>
        </w:rPr>
        <w:t>1</w:t>
      </w:r>
      <w:r w:rsidRPr="0045047A">
        <w:rPr>
          <w:color w:val="auto"/>
        </w:rPr>
        <w:fldChar w:fldCharType="end"/>
      </w:r>
      <w:r w:rsidRPr="0045047A">
        <w:rPr>
          <w:color w:val="auto"/>
        </w:rPr>
        <w:t>: Goodness of fit statistics for both RP models.</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7"/>
        <w:gridCol w:w="1698"/>
        <w:gridCol w:w="1698"/>
        <w:gridCol w:w="1698"/>
        <w:gridCol w:w="1698"/>
      </w:tblGrid>
      <w:tr w:rsidR="00C37F84" w:rsidRPr="0045047A" w:rsidTr="004E0AF4">
        <w:trPr>
          <w:trHeight w:val="156"/>
        </w:trPr>
        <w:tc>
          <w:tcPr>
            <w:tcW w:w="1697" w:type="dxa"/>
            <w:tcBorders>
              <w:top w:val="single" w:sz="4" w:space="0" w:color="auto"/>
            </w:tcBorders>
          </w:tcPr>
          <w:p w:rsidR="00C37F84" w:rsidRPr="0045047A" w:rsidRDefault="00C37F84" w:rsidP="004E0AF4">
            <w:pPr>
              <w:spacing w:line="360" w:lineRule="auto"/>
            </w:pPr>
          </w:p>
        </w:tc>
        <w:tc>
          <w:tcPr>
            <w:tcW w:w="3396" w:type="dxa"/>
            <w:gridSpan w:val="2"/>
            <w:tcBorders>
              <w:top w:val="single" w:sz="4" w:space="0" w:color="auto"/>
            </w:tcBorders>
          </w:tcPr>
          <w:p w:rsidR="00C37F84" w:rsidRPr="0045047A" w:rsidRDefault="00C37F84" w:rsidP="004E0AF4">
            <w:pPr>
              <w:spacing w:line="360" w:lineRule="auto"/>
              <w:rPr>
                <w:b/>
              </w:rPr>
            </w:pPr>
            <w:r w:rsidRPr="0045047A">
              <w:rPr>
                <w:b/>
              </w:rPr>
              <w:t>RPm_v1</w:t>
            </w:r>
          </w:p>
        </w:tc>
        <w:tc>
          <w:tcPr>
            <w:tcW w:w="3396" w:type="dxa"/>
            <w:gridSpan w:val="2"/>
            <w:tcBorders>
              <w:top w:val="single" w:sz="4" w:space="0" w:color="auto"/>
            </w:tcBorders>
          </w:tcPr>
          <w:p w:rsidR="00C37F84" w:rsidRPr="0045047A" w:rsidRDefault="00C37F84" w:rsidP="004E0AF4">
            <w:pPr>
              <w:spacing w:line="360" w:lineRule="auto"/>
              <w:rPr>
                <w:b/>
              </w:rPr>
            </w:pPr>
            <w:r w:rsidRPr="0045047A">
              <w:rPr>
                <w:b/>
              </w:rPr>
              <w:t>RPm_v2</w:t>
            </w:r>
          </w:p>
        </w:tc>
      </w:tr>
      <w:tr w:rsidR="00C37F84" w:rsidRPr="0045047A" w:rsidTr="004E0AF4">
        <w:trPr>
          <w:trHeight w:val="115"/>
        </w:trPr>
        <w:tc>
          <w:tcPr>
            <w:tcW w:w="1697" w:type="dxa"/>
            <w:tcBorders>
              <w:bottom w:val="single" w:sz="4" w:space="0" w:color="auto"/>
            </w:tcBorders>
          </w:tcPr>
          <w:p w:rsidR="00C37F84" w:rsidRPr="0045047A" w:rsidRDefault="00C37F84" w:rsidP="004E0AF4">
            <w:pPr>
              <w:spacing w:line="360" w:lineRule="auto"/>
            </w:pPr>
          </w:p>
        </w:tc>
        <w:tc>
          <w:tcPr>
            <w:tcW w:w="1698" w:type="dxa"/>
            <w:tcBorders>
              <w:bottom w:val="single" w:sz="4" w:space="0" w:color="auto"/>
            </w:tcBorders>
          </w:tcPr>
          <w:p w:rsidR="00C37F84" w:rsidRPr="0045047A" w:rsidRDefault="00C37F84" w:rsidP="004E0AF4">
            <w:pPr>
              <w:spacing w:line="360" w:lineRule="auto"/>
            </w:pPr>
            <w:r w:rsidRPr="0045047A">
              <w:t>R</w:t>
            </w:r>
            <w:r w:rsidRPr="0045047A">
              <w:rPr>
                <w:vertAlign w:val="superscript"/>
              </w:rPr>
              <w:t>2</w:t>
            </w:r>
          </w:p>
        </w:tc>
        <w:tc>
          <w:tcPr>
            <w:tcW w:w="1698" w:type="dxa"/>
            <w:tcBorders>
              <w:bottom w:val="single" w:sz="4" w:space="0" w:color="auto"/>
            </w:tcBorders>
          </w:tcPr>
          <w:p w:rsidR="00C37F84" w:rsidRPr="0045047A" w:rsidRDefault="00C37F84" w:rsidP="004E0AF4">
            <w:pPr>
              <w:spacing w:line="360" w:lineRule="auto"/>
            </w:pPr>
            <w:r w:rsidRPr="0045047A">
              <w:t>χ</w:t>
            </w:r>
            <w:r w:rsidRPr="0045047A">
              <w:rPr>
                <w:vertAlign w:val="superscript"/>
              </w:rPr>
              <w:t>2</w:t>
            </w:r>
          </w:p>
        </w:tc>
        <w:tc>
          <w:tcPr>
            <w:tcW w:w="1698" w:type="dxa"/>
            <w:tcBorders>
              <w:bottom w:val="single" w:sz="4" w:space="0" w:color="auto"/>
            </w:tcBorders>
          </w:tcPr>
          <w:p w:rsidR="00C37F84" w:rsidRPr="0045047A" w:rsidRDefault="00C37F84" w:rsidP="004E0AF4">
            <w:pPr>
              <w:spacing w:line="360" w:lineRule="auto"/>
            </w:pPr>
            <w:r w:rsidRPr="0045047A">
              <w:t>R</w:t>
            </w:r>
            <w:r w:rsidRPr="0045047A">
              <w:rPr>
                <w:vertAlign w:val="superscript"/>
              </w:rPr>
              <w:t>2</w:t>
            </w:r>
          </w:p>
        </w:tc>
        <w:tc>
          <w:tcPr>
            <w:tcW w:w="1698" w:type="dxa"/>
            <w:tcBorders>
              <w:bottom w:val="single" w:sz="4" w:space="0" w:color="auto"/>
            </w:tcBorders>
          </w:tcPr>
          <w:p w:rsidR="00C37F84" w:rsidRPr="0045047A" w:rsidRDefault="00C37F84" w:rsidP="004E0AF4">
            <w:pPr>
              <w:spacing w:line="360" w:lineRule="auto"/>
            </w:pPr>
            <w:r w:rsidRPr="0045047A">
              <w:t>χ</w:t>
            </w:r>
            <w:r w:rsidRPr="0045047A">
              <w:rPr>
                <w:vertAlign w:val="superscript"/>
              </w:rPr>
              <w:t>2</w:t>
            </w:r>
          </w:p>
        </w:tc>
      </w:tr>
      <w:tr w:rsidR="00C37F84" w:rsidRPr="0045047A" w:rsidTr="004E0AF4">
        <w:tc>
          <w:tcPr>
            <w:tcW w:w="1697" w:type="dxa"/>
            <w:tcBorders>
              <w:top w:val="single" w:sz="4" w:space="0" w:color="auto"/>
            </w:tcBorders>
          </w:tcPr>
          <w:p w:rsidR="00C37F84" w:rsidRPr="0045047A" w:rsidRDefault="00C37F84" w:rsidP="004E0AF4">
            <w:r w:rsidRPr="0045047A">
              <w:t>Bladder</w:t>
            </w:r>
          </w:p>
        </w:tc>
        <w:tc>
          <w:tcPr>
            <w:tcW w:w="1698" w:type="dxa"/>
            <w:tcBorders>
              <w:top w:val="single" w:sz="4" w:space="0" w:color="auto"/>
            </w:tcBorders>
          </w:tcPr>
          <w:p w:rsidR="00C37F84" w:rsidRPr="0045047A" w:rsidRDefault="00C37F84" w:rsidP="004E0AF4">
            <w:r w:rsidRPr="0045047A">
              <w:t>0.57</w:t>
            </w:r>
          </w:p>
        </w:tc>
        <w:tc>
          <w:tcPr>
            <w:tcW w:w="1698" w:type="dxa"/>
            <w:tcBorders>
              <w:top w:val="single" w:sz="4" w:space="0" w:color="auto"/>
            </w:tcBorders>
          </w:tcPr>
          <w:p w:rsidR="00C37F84" w:rsidRPr="0045047A" w:rsidRDefault="00C37F84" w:rsidP="004E0AF4">
            <w:r w:rsidRPr="0045047A">
              <w:t>1.05</w:t>
            </w:r>
          </w:p>
        </w:tc>
        <w:tc>
          <w:tcPr>
            <w:tcW w:w="1698" w:type="dxa"/>
            <w:tcBorders>
              <w:top w:val="single" w:sz="4" w:space="0" w:color="auto"/>
            </w:tcBorders>
          </w:tcPr>
          <w:p w:rsidR="00C37F84" w:rsidRPr="0045047A" w:rsidRDefault="00C37F84" w:rsidP="004E0AF4">
            <w:r w:rsidRPr="0045047A">
              <w:t>0.93</w:t>
            </w:r>
          </w:p>
        </w:tc>
        <w:tc>
          <w:tcPr>
            <w:tcW w:w="1698" w:type="dxa"/>
            <w:tcBorders>
              <w:top w:val="single" w:sz="4" w:space="0" w:color="auto"/>
            </w:tcBorders>
          </w:tcPr>
          <w:p w:rsidR="00C37F84" w:rsidRPr="0045047A" w:rsidRDefault="00C37F84" w:rsidP="004E0AF4">
            <w:r w:rsidRPr="0045047A">
              <w:t>1.03</w:t>
            </w:r>
          </w:p>
        </w:tc>
      </w:tr>
      <w:tr w:rsidR="00C37F84" w:rsidRPr="0045047A" w:rsidTr="004E0AF4">
        <w:tc>
          <w:tcPr>
            <w:tcW w:w="1697" w:type="dxa"/>
          </w:tcPr>
          <w:p w:rsidR="00C37F84" w:rsidRPr="0045047A" w:rsidRDefault="00C37F84" w:rsidP="004E0AF4">
            <w:r w:rsidRPr="0045047A">
              <w:t>Rectum</w:t>
            </w:r>
          </w:p>
        </w:tc>
        <w:tc>
          <w:tcPr>
            <w:tcW w:w="1698" w:type="dxa"/>
          </w:tcPr>
          <w:p w:rsidR="00C37F84" w:rsidRPr="0045047A" w:rsidRDefault="00C37F84" w:rsidP="004E0AF4">
            <w:r w:rsidRPr="0045047A">
              <w:t>0.45</w:t>
            </w:r>
          </w:p>
        </w:tc>
        <w:tc>
          <w:tcPr>
            <w:tcW w:w="1698" w:type="dxa"/>
          </w:tcPr>
          <w:p w:rsidR="00C37F84" w:rsidRPr="0045047A" w:rsidRDefault="00C37F84" w:rsidP="004E0AF4">
            <w:r w:rsidRPr="0045047A">
              <w:t>1.05</w:t>
            </w:r>
          </w:p>
        </w:tc>
        <w:tc>
          <w:tcPr>
            <w:tcW w:w="1698" w:type="dxa"/>
          </w:tcPr>
          <w:p w:rsidR="00C37F84" w:rsidRPr="0045047A" w:rsidRDefault="00C37F84" w:rsidP="004E0AF4">
            <w:r w:rsidRPr="0045047A">
              <w:t>0.84</w:t>
            </w:r>
          </w:p>
        </w:tc>
        <w:tc>
          <w:tcPr>
            <w:tcW w:w="1698" w:type="dxa"/>
          </w:tcPr>
          <w:p w:rsidR="00C37F84" w:rsidRPr="0045047A" w:rsidRDefault="00C37F84" w:rsidP="004E0AF4">
            <w:r w:rsidRPr="0045047A">
              <w:t>1.09</w:t>
            </w:r>
          </w:p>
        </w:tc>
      </w:tr>
      <w:tr w:rsidR="00C37F84" w:rsidRPr="0045047A" w:rsidTr="004E0AF4">
        <w:tc>
          <w:tcPr>
            <w:tcW w:w="1697" w:type="dxa"/>
            <w:tcBorders>
              <w:bottom w:val="single" w:sz="4" w:space="0" w:color="auto"/>
            </w:tcBorders>
          </w:tcPr>
          <w:p w:rsidR="00C37F84" w:rsidRPr="0045047A" w:rsidRDefault="00C37F84" w:rsidP="004E0AF4">
            <w:r w:rsidRPr="0045047A">
              <w:t>Bowel</w:t>
            </w:r>
            <w:r>
              <w:t xml:space="preserve"> b</w:t>
            </w:r>
            <w:r w:rsidRPr="0045047A">
              <w:t>ag</w:t>
            </w:r>
          </w:p>
        </w:tc>
        <w:tc>
          <w:tcPr>
            <w:tcW w:w="1698" w:type="dxa"/>
            <w:tcBorders>
              <w:bottom w:val="single" w:sz="4" w:space="0" w:color="auto"/>
            </w:tcBorders>
          </w:tcPr>
          <w:p w:rsidR="00C37F84" w:rsidRPr="0045047A" w:rsidRDefault="00C37F84" w:rsidP="004E0AF4">
            <w:r w:rsidRPr="0045047A">
              <w:t>0.94</w:t>
            </w:r>
          </w:p>
        </w:tc>
        <w:tc>
          <w:tcPr>
            <w:tcW w:w="1698" w:type="dxa"/>
            <w:tcBorders>
              <w:bottom w:val="single" w:sz="4" w:space="0" w:color="auto"/>
            </w:tcBorders>
          </w:tcPr>
          <w:p w:rsidR="00C37F84" w:rsidRPr="0045047A" w:rsidRDefault="00C37F84" w:rsidP="004E0AF4">
            <w:r w:rsidRPr="0045047A">
              <w:t>1.07</w:t>
            </w:r>
          </w:p>
        </w:tc>
        <w:tc>
          <w:tcPr>
            <w:tcW w:w="1698" w:type="dxa"/>
            <w:tcBorders>
              <w:bottom w:val="single" w:sz="4" w:space="0" w:color="auto"/>
            </w:tcBorders>
          </w:tcPr>
          <w:p w:rsidR="00C37F84" w:rsidRPr="0045047A" w:rsidRDefault="00C37F84" w:rsidP="004E0AF4">
            <w:r w:rsidRPr="0045047A">
              <w:t>0.98</w:t>
            </w:r>
          </w:p>
        </w:tc>
        <w:tc>
          <w:tcPr>
            <w:tcW w:w="1698" w:type="dxa"/>
            <w:tcBorders>
              <w:bottom w:val="single" w:sz="4" w:space="0" w:color="auto"/>
            </w:tcBorders>
          </w:tcPr>
          <w:p w:rsidR="00C37F84" w:rsidRPr="0045047A" w:rsidRDefault="00C37F84" w:rsidP="004E0AF4">
            <w:pPr>
              <w:keepNext/>
            </w:pPr>
            <w:r w:rsidRPr="0045047A">
              <w:t>1.00</w:t>
            </w:r>
          </w:p>
        </w:tc>
      </w:tr>
    </w:tbl>
    <w:p w:rsidR="00352209" w:rsidRDefault="00352209" w:rsidP="00C37F84"/>
    <w:p w:rsidR="00352209" w:rsidRPr="0045047A" w:rsidRDefault="00352209" w:rsidP="00C37F84"/>
    <w:p w:rsidR="00C37F84" w:rsidRPr="009D34FC" w:rsidRDefault="00C37F84" w:rsidP="00C37F84">
      <w:pPr>
        <w:keepNext/>
        <w:jc w:val="center"/>
      </w:pPr>
      <w:r w:rsidRPr="009D34FC">
        <w:rPr>
          <w:noProof/>
          <w:lang w:eastAsia="nb-NO"/>
        </w:rPr>
        <w:lastRenderedPageBreak/>
        <w:drawing>
          <wp:inline distT="0" distB="0" distL="0" distR="0" wp14:anchorId="0AD1DDC5" wp14:editId="303590CE">
            <wp:extent cx="3706289" cy="2636968"/>
            <wp:effectExtent l="0" t="0" r="889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_95_prescribed_dos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06289" cy="2636968"/>
                    </a:xfrm>
                    <a:prstGeom prst="rect">
                      <a:avLst/>
                    </a:prstGeom>
                  </pic:spPr>
                </pic:pic>
              </a:graphicData>
            </a:graphic>
          </wp:inline>
        </w:drawing>
      </w:r>
    </w:p>
    <w:p w:rsidR="004B4BF3" w:rsidRPr="00A42D96" w:rsidRDefault="004B4BF3" w:rsidP="004B4BF3">
      <w:pPr>
        <w:pStyle w:val="Bildetekst"/>
        <w:spacing w:line="276" w:lineRule="auto"/>
        <w:rPr>
          <w:color w:val="auto"/>
        </w:rPr>
      </w:pPr>
      <w:r w:rsidRPr="009D34FC">
        <w:rPr>
          <w:color w:val="auto"/>
        </w:rPr>
        <w:t>Figure A1: Conformity indexes with respect to 95% of the prescribed dose. Clinical (dark blue) represents the original clinical treatment plans manually created for the patients in the validation group. The whiskers span from minimum to maximum of the data set. Mean value is presented with an x and median with a line, enclosed in the box limited by the lower quartile (25</w:t>
      </w:r>
      <w:r w:rsidRPr="009D34FC">
        <w:rPr>
          <w:color w:val="auto"/>
          <w:vertAlign w:val="superscript"/>
        </w:rPr>
        <w:t>th</w:t>
      </w:r>
      <w:r w:rsidRPr="009D34FC">
        <w:rPr>
          <w:color w:val="auto"/>
        </w:rPr>
        <w:t xml:space="preserve"> percentile) and upper quartile (75</w:t>
      </w:r>
      <w:r w:rsidRPr="009D34FC">
        <w:rPr>
          <w:color w:val="auto"/>
          <w:vertAlign w:val="superscript"/>
        </w:rPr>
        <w:t>th</w:t>
      </w:r>
      <w:r w:rsidRPr="009D34FC">
        <w:rPr>
          <w:color w:val="auto"/>
        </w:rPr>
        <w:t xml:space="preserve"> percentile), where outliers are represented as dots. The upper outliers (PTV_50 and PTV_72.5) are from clinical plans where extra help structures have been utilized to specifically conform the dose. The lower outliers (PTV_50) are all from the same patient that had a lateral bone metastasis included in the PTV_50.</w:t>
      </w:r>
    </w:p>
    <w:p w:rsidR="00C37F84" w:rsidRPr="00C37F84" w:rsidRDefault="00C37F84" w:rsidP="00C37F84">
      <w:pPr>
        <w:keepNext/>
        <w:rPr>
          <w:lang w:val="en-GB"/>
        </w:rPr>
      </w:pPr>
    </w:p>
    <w:p w:rsidR="00C37F84" w:rsidRPr="009D34FC" w:rsidRDefault="00C37F84" w:rsidP="00C37F84">
      <w:pPr>
        <w:keepNext/>
        <w:jc w:val="center"/>
      </w:pPr>
      <w:bookmarkStart w:id="0" w:name="_GoBack"/>
      <w:bookmarkEnd w:id="0"/>
      <w:r w:rsidRPr="009D34FC">
        <w:rPr>
          <w:noProof/>
          <w:lang w:eastAsia="nb-NO"/>
        </w:rPr>
        <w:drawing>
          <wp:inline distT="0" distB="0" distL="0" distR="0" wp14:anchorId="1200F832" wp14:editId="4A3E42F9">
            <wp:extent cx="4602480" cy="3412277"/>
            <wp:effectExtent l="0" t="0" r="762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owel.png"/>
                    <pic:cNvPicPr/>
                  </pic:nvPicPr>
                  <pic:blipFill>
                    <a:blip r:embed="rId7">
                      <a:extLst>
                        <a:ext uri="{28A0092B-C50C-407E-A947-70E740481C1C}">
                          <a14:useLocalDpi xmlns:a14="http://schemas.microsoft.com/office/drawing/2010/main" val="0"/>
                        </a:ext>
                      </a:extLst>
                    </a:blip>
                    <a:stretch>
                      <a:fillRect/>
                    </a:stretch>
                  </pic:blipFill>
                  <pic:spPr>
                    <a:xfrm>
                      <a:off x="0" y="0"/>
                      <a:ext cx="4614104" cy="3420895"/>
                    </a:xfrm>
                    <a:prstGeom prst="rect">
                      <a:avLst/>
                    </a:prstGeom>
                  </pic:spPr>
                </pic:pic>
              </a:graphicData>
            </a:graphic>
          </wp:inline>
        </w:drawing>
      </w:r>
    </w:p>
    <w:p w:rsidR="00C37F84" w:rsidRPr="0045047A" w:rsidRDefault="00C37F84" w:rsidP="00C37F84">
      <w:pPr>
        <w:pStyle w:val="Bildetekst"/>
        <w:rPr>
          <w:color w:val="auto"/>
          <w:sz w:val="28"/>
        </w:rPr>
      </w:pPr>
      <w:r w:rsidRPr="009D34FC">
        <w:rPr>
          <w:color w:val="auto"/>
        </w:rPr>
        <w:t>Figure A2: Population average plan DVH for bowel bag with 95% CI. Solid lines are used for CP, dashed dotted lines for RP_v1 and dashed lines for RP_v2.</w:t>
      </w:r>
    </w:p>
    <w:p w:rsidR="00C37F84" w:rsidRPr="00C37F84" w:rsidRDefault="00C37F84" w:rsidP="00C37F84">
      <w:pPr>
        <w:rPr>
          <w:lang w:val="en-GB"/>
        </w:rPr>
      </w:pPr>
    </w:p>
    <w:p w:rsidR="00C37F84" w:rsidRPr="001A7A66" w:rsidRDefault="00B42016" w:rsidP="000F6EF3">
      <w:pPr>
        <w:pStyle w:val="Bibliografi"/>
        <w:spacing w:line="480" w:lineRule="auto"/>
        <w:rPr>
          <w:b/>
          <w:sz w:val="18"/>
          <w:lang w:val="en-GB"/>
        </w:rPr>
      </w:pPr>
      <w:r w:rsidRPr="001A7A66">
        <w:rPr>
          <w:b/>
          <w:sz w:val="18"/>
          <w:lang w:val="en-GB"/>
        </w:rPr>
        <w:t>References</w:t>
      </w:r>
      <w:r w:rsidR="00C37F84" w:rsidRPr="001A7A66">
        <w:rPr>
          <w:sz w:val="18"/>
          <w:lang w:val="en-GB"/>
        </w:rPr>
        <w:br/>
      </w:r>
      <w:r w:rsidR="00C37F84" w:rsidRPr="001A7A66">
        <w:rPr>
          <w:sz w:val="18"/>
        </w:rPr>
        <w:fldChar w:fldCharType="begin"/>
      </w:r>
      <w:r w:rsidR="00C37F84" w:rsidRPr="001A7A66">
        <w:rPr>
          <w:sz w:val="18"/>
          <w:lang w:val="en-GB"/>
        </w:rPr>
        <w:instrText xml:space="preserve"> ADDIN ZOTERO_ITEM CSL_CITATION {"citationID":"puQw74M1","properties":{"formattedCitation":"[35]","plainCitation":"[35]","noteIndex":0},"citationItems":[{"id":36,"uris":["http://zotero.org/users/6381544/items/P7M356AR"],"uri":["http://zotero.org/users/6381544/items/P7M356AR"],"itemData":{"id":36,"type":"article-journal","title":"Eclipse Photon and Electron Algorithms Reference Guide","page":"187","volume":"Eclipse, version 15.5","source":"Zotero","ISSN":"P1020505-002-B","language":"en","author":[{"family":"Varian Medical Systems","given":""}],"issued":{"date-parts":[["2017"]]}}}],"schema":"https://github.com/citation-style-language/schema/raw/master/csl-citation.json"} </w:instrText>
      </w:r>
      <w:r w:rsidR="00C37F84" w:rsidRPr="001A7A66">
        <w:rPr>
          <w:sz w:val="18"/>
        </w:rPr>
        <w:fldChar w:fldCharType="separate"/>
      </w:r>
      <w:r w:rsidR="00C37F84" w:rsidRPr="001A7A66">
        <w:rPr>
          <w:sz w:val="18"/>
          <w:lang w:val="en-GB"/>
        </w:rPr>
        <w:t>[1]</w:t>
      </w:r>
      <w:r w:rsidR="00C37F84" w:rsidRPr="001A7A66">
        <w:rPr>
          <w:sz w:val="18"/>
        </w:rPr>
        <w:fldChar w:fldCharType="end"/>
      </w:r>
      <w:r w:rsidR="00C37F84" w:rsidRPr="001A7A66">
        <w:rPr>
          <w:sz w:val="18"/>
          <w:lang w:val="en-GB"/>
        </w:rPr>
        <w:t xml:space="preserve"> Varian Medical Systems. Eclipse Photon and Electron Algorithms Reference Guide. </w:t>
      </w:r>
      <w:r w:rsidR="00C37F84" w:rsidRPr="001A7A66">
        <w:rPr>
          <w:sz w:val="18"/>
        </w:rPr>
        <w:t>2017;Eclipse, version 15.5:187.</w:t>
      </w:r>
    </w:p>
    <w:sectPr w:rsidR="00C37F84" w:rsidRPr="001A7A66" w:rsidSect="00003C03">
      <w:footerReference w:type="default" r:id="rId8"/>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5F2" w:rsidRDefault="003D45F2" w:rsidP="003D45F2">
      <w:pPr>
        <w:spacing w:after="0" w:line="240" w:lineRule="auto"/>
      </w:pPr>
      <w:r>
        <w:separator/>
      </w:r>
    </w:p>
  </w:endnote>
  <w:endnote w:type="continuationSeparator" w:id="0">
    <w:p w:rsidR="003D45F2" w:rsidRDefault="003D45F2" w:rsidP="003D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6109727"/>
      <w:docPartObj>
        <w:docPartGallery w:val="Page Numbers (Bottom of Page)"/>
        <w:docPartUnique/>
      </w:docPartObj>
    </w:sdtPr>
    <w:sdtEndPr/>
    <w:sdtContent>
      <w:p w:rsidR="003D45F2" w:rsidRDefault="003D45F2">
        <w:pPr>
          <w:pStyle w:val="Bunntekst"/>
          <w:jc w:val="center"/>
        </w:pPr>
        <w:r>
          <w:fldChar w:fldCharType="begin"/>
        </w:r>
        <w:r>
          <w:instrText>PAGE   \* MERGEFORMAT</w:instrText>
        </w:r>
        <w:r>
          <w:fldChar w:fldCharType="separate"/>
        </w:r>
        <w:r w:rsidR="009D34FC">
          <w:rPr>
            <w:noProof/>
          </w:rPr>
          <w:t>2</w:t>
        </w:r>
        <w:r>
          <w:fldChar w:fldCharType="end"/>
        </w:r>
      </w:p>
    </w:sdtContent>
  </w:sdt>
  <w:p w:rsidR="003D45F2" w:rsidRDefault="003D45F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5F2" w:rsidRDefault="003D45F2" w:rsidP="003D45F2">
      <w:pPr>
        <w:spacing w:after="0" w:line="240" w:lineRule="auto"/>
      </w:pPr>
      <w:r>
        <w:separator/>
      </w:r>
    </w:p>
  </w:footnote>
  <w:footnote w:type="continuationSeparator" w:id="0">
    <w:p w:rsidR="003D45F2" w:rsidRDefault="003D45F2" w:rsidP="003D45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84"/>
    <w:rsid w:val="00003C03"/>
    <w:rsid w:val="000F40D7"/>
    <w:rsid w:val="000F6EF3"/>
    <w:rsid w:val="001262CA"/>
    <w:rsid w:val="00163196"/>
    <w:rsid w:val="00172677"/>
    <w:rsid w:val="00174F06"/>
    <w:rsid w:val="001A7A66"/>
    <w:rsid w:val="00347D93"/>
    <w:rsid w:val="00347E08"/>
    <w:rsid w:val="00352209"/>
    <w:rsid w:val="00385C0E"/>
    <w:rsid w:val="003D45F2"/>
    <w:rsid w:val="004B4BF3"/>
    <w:rsid w:val="00523A85"/>
    <w:rsid w:val="0059569F"/>
    <w:rsid w:val="00597DB2"/>
    <w:rsid w:val="00695B1B"/>
    <w:rsid w:val="009D34FC"/>
    <w:rsid w:val="009D38F2"/>
    <w:rsid w:val="00B42016"/>
    <w:rsid w:val="00B81367"/>
    <w:rsid w:val="00BD6546"/>
    <w:rsid w:val="00C37F84"/>
    <w:rsid w:val="00C724D7"/>
    <w:rsid w:val="00CA233F"/>
    <w:rsid w:val="00E67582"/>
    <w:rsid w:val="00FC304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28530-DA5E-4D31-8ED9-D69A74D8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2">
    <w:name w:val="heading 2"/>
    <w:basedOn w:val="Normal"/>
    <w:next w:val="Paragraph"/>
    <w:link w:val="Overskrift2Tegn"/>
    <w:qFormat/>
    <w:rsid w:val="00C37F84"/>
    <w:pPr>
      <w:keepNext/>
      <w:spacing w:before="360" w:after="60" w:line="360" w:lineRule="auto"/>
      <w:ind w:right="567"/>
      <w:contextualSpacing/>
      <w:outlineLvl w:val="1"/>
    </w:pPr>
    <w:rPr>
      <w:rFonts w:ascii="Times New Roman" w:eastAsia="Times New Roman" w:hAnsi="Times New Roman" w:cs="Arial"/>
      <w:b/>
      <w:bCs/>
      <w:i/>
      <w:iCs/>
      <w:sz w:val="24"/>
      <w:szCs w:val="28"/>
      <w:lang w:val="en-GB"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C37F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7F84"/>
    <w:rPr>
      <w:rFonts w:asciiTheme="majorHAnsi" w:eastAsiaTheme="majorEastAsia" w:hAnsiTheme="majorHAnsi" w:cstheme="majorBidi"/>
      <w:spacing w:val="-10"/>
      <w:kern w:val="28"/>
      <w:sz w:val="56"/>
      <w:szCs w:val="56"/>
    </w:rPr>
  </w:style>
  <w:style w:type="character" w:customStyle="1" w:styleId="Overskrift2Tegn">
    <w:name w:val="Overskrift 2 Tegn"/>
    <w:basedOn w:val="Standardskriftforavsnitt"/>
    <w:link w:val="Overskrift2"/>
    <w:rsid w:val="00C37F84"/>
    <w:rPr>
      <w:rFonts w:ascii="Times New Roman" w:eastAsia="Times New Roman" w:hAnsi="Times New Roman" w:cs="Arial"/>
      <w:b/>
      <w:bCs/>
      <w:i/>
      <w:iCs/>
      <w:sz w:val="24"/>
      <w:szCs w:val="28"/>
      <w:lang w:val="en-GB" w:eastAsia="en-GB"/>
    </w:rPr>
  </w:style>
  <w:style w:type="paragraph" w:customStyle="1" w:styleId="Articletitle">
    <w:name w:val="Article title"/>
    <w:basedOn w:val="Normal"/>
    <w:next w:val="Normal"/>
    <w:qFormat/>
    <w:rsid w:val="00C37F84"/>
    <w:pPr>
      <w:spacing w:after="120" w:line="360" w:lineRule="auto"/>
    </w:pPr>
    <w:rPr>
      <w:rFonts w:ascii="Times New Roman" w:eastAsia="Times New Roman" w:hAnsi="Times New Roman" w:cs="Times New Roman"/>
      <w:b/>
      <w:sz w:val="28"/>
      <w:szCs w:val="24"/>
      <w:lang w:val="en-GB" w:eastAsia="en-GB"/>
    </w:rPr>
  </w:style>
  <w:style w:type="paragraph" w:customStyle="1" w:styleId="Paragraph">
    <w:name w:val="Paragraph"/>
    <w:basedOn w:val="Normal"/>
    <w:next w:val="Newparagraph"/>
    <w:link w:val="ParagraphTegn"/>
    <w:qFormat/>
    <w:rsid w:val="00C37F84"/>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C37F84"/>
    <w:pPr>
      <w:spacing w:after="0" w:line="480" w:lineRule="auto"/>
      <w:ind w:firstLine="720"/>
    </w:pPr>
    <w:rPr>
      <w:rFonts w:ascii="Times New Roman" w:eastAsia="Times New Roman" w:hAnsi="Times New Roman" w:cs="Times New Roman"/>
      <w:sz w:val="24"/>
      <w:szCs w:val="24"/>
      <w:lang w:val="en-GB" w:eastAsia="en-GB"/>
    </w:rPr>
  </w:style>
  <w:style w:type="paragraph" w:styleId="Bildetekst">
    <w:name w:val="caption"/>
    <w:basedOn w:val="Normal"/>
    <w:next w:val="Normal"/>
    <w:unhideWhenUsed/>
    <w:rsid w:val="00C37F84"/>
    <w:pPr>
      <w:spacing w:after="200" w:line="240" w:lineRule="auto"/>
    </w:pPr>
    <w:rPr>
      <w:rFonts w:ascii="Times New Roman" w:eastAsia="Times New Roman" w:hAnsi="Times New Roman" w:cs="Times New Roman"/>
      <w:i/>
      <w:iCs/>
      <w:color w:val="44546A" w:themeColor="text2"/>
      <w:sz w:val="18"/>
      <w:szCs w:val="18"/>
      <w:lang w:val="en-GB" w:eastAsia="en-GB"/>
    </w:rPr>
  </w:style>
  <w:style w:type="table" w:styleId="Tabellrutenett">
    <w:name w:val="Table Grid"/>
    <w:basedOn w:val="Vanligtabell"/>
    <w:uiPriority w:val="39"/>
    <w:rsid w:val="00C37F8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Tegn">
    <w:name w:val="Paragraph Tegn"/>
    <w:basedOn w:val="Standardskriftforavsnitt"/>
    <w:link w:val="Paragraph"/>
    <w:rsid w:val="00C37F84"/>
    <w:rPr>
      <w:rFonts w:ascii="Times New Roman" w:eastAsia="Times New Roman" w:hAnsi="Times New Roman" w:cs="Times New Roman"/>
      <w:sz w:val="24"/>
      <w:szCs w:val="24"/>
      <w:lang w:val="en-GB" w:eastAsia="en-GB"/>
    </w:rPr>
  </w:style>
  <w:style w:type="paragraph" w:styleId="Bibliografi">
    <w:name w:val="Bibliography"/>
    <w:basedOn w:val="Normal"/>
    <w:next w:val="Normal"/>
    <w:uiPriority w:val="37"/>
    <w:unhideWhenUsed/>
    <w:rsid w:val="00C37F84"/>
  </w:style>
  <w:style w:type="character" w:styleId="Linjenummer">
    <w:name w:val="line number"/>
    <w:basedOn w:val="Standardskriftforavsnitt"/>
    <w:uiPriority w:val="99"/>
    <w:semiHidden/>
    <w:unhideWhenUsed/>
    <w:rsid w:val="00003C03"/>
  </w:style>
  <w:style w:type="paragraph" w:styleId="Topptekst">
    <w:name w:val="header"/>
    <w:basedOn w:val="Normal"/>
    <w:link w:val="TopptekstTegn"/>
    <w:uiPriority w:val="99"/>
    <w:unhideWhenUsed/>
    <w:rsid w:val="003D45F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45F2"/>
  </w:style>
  <w:style w:type="paragraph" w:styleId="Bunntekst">
    <w:name w:val="footer"/>
    <w:basedOn w:val="Normal"/>
    <w:link w:val="BunntekstTegn"/>
    <w:uiPriority w:val="99"/>
    <w:unhideWhenUsed/>
    <w:rsid w:val="003D45F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3254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Hundvin, Johanna Austrheim</dc:creator>
  <cp:keywords/>
  <dc:description/>
  <cp:lastModifiedBy>Hundvin, Johanna Austrheim</cp:lastModifiedBy>
  <cp:revision>2</cp:revision>
  <dcterms:created xsi:type="dcterms:W3CDTF">2020-09-10T13:10:00Z</dcterms:created>
  <dcterms:modified xsi:type="dcterms:W3CDTF">2020-09-10T13:10:00Z</dcterms:modified>
</cp:coreProperties>
</file>