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vertAnchor="text" w:horzAnchor="margin" w:tblpXSpec="center" w:tblpY="-496"/>
        <w:tblW w:w="10349" w:type="dxa"/>
        <w:tblLayout w:type="fixed"/>
        <w:tblLook w:val="04A0" w:firstRow="1" w:lastRow="0" w:firstColumn="1" w:lastColumn="0" w:noHBand="0" w:noVBand="1"/>
      </w:tblPr>
      <w:tblGrid>
        <w:gridCol w:w="3369"/>
        <w:gridCol w:w="1509"/>
        <w:gridCol w:w="1893"/>
        <w:gridCol w:w="2126"/>
        <w:gridCol w:w="1452"/>
      </w:tblGrid>
      <w:tr w:rsidR="006E4E6C" w:rsidRPr="000F5423" w:rsidTr="005D044C">
        <w:trPr>
          <w:gridAfter w:val="1"/>
          <w:wAfter w:w="1452" w:type="dxa"/>
        </w:trPr>
        <w:tc>
          <w:tcPr>
            <w:tcW w:w="8897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right w:val="nil"/>
            </w:tcBorders>
          </w:tcPr>
          <w:p w:rsidR="006E4E6C" w:rsidRPr="00615A31" w:rsidRDefault="004B6AF2" w:rsidP="008633A8">
            <w:pPr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bookmarkStart w:id="0" w:name="_GoBack"/>
            <w:bookmarkEnd w:id="0"/>
            <w:r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Supplementary Table 1</w:t>
            </w:r>
            <w:r w:rsidR="006E4E6C"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 xml:space="preserve">. </w:t>
            </w:r>
            <w:r w:rsidR="006E4E6C">
              <w:rPr>
                <w:rFonts w:ascii="Times" w:hAnsi="Times" w:cs="Times New Roman"/>
                <w:sz w:val="20"/>
                <w:szCs w:val="20"/>
                <w:lang w:val="en-GB"/>
              </w:rPr>
              <w:t xml:space="preserve">Multivariable analysis of the </w:t>
            </w:r>
            <w:r w:rsidR="008633A8">
              <w:rPr>
                <w:rFonts w:ascii="Times" w:hAnsi="Times" w:cs="Times New Roman"/>
                <w:sz w:val="20"/>
                <w:szCs w:val="20"/>
                <w:lang w:val="en-GB"/>
              </w:rPr>
              <w:t xml:space="preserve">risk of being diagnosed with CRC within the screening programme among the FIT positives </w:t>
            </w:r>
            <w:r w:rsidR="006E4E6C"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across socioeconomic and demographic groups</w:t>
            </w:r>
            <w:r>
              <w:rPr>
                <w:rFonts w:ascii="Times" w:hAnsi="Times" w:cs="Times New Roman"/>
                <w:sz w:val="20"/>
                <w:szCs w:val="20"/>
                <w:lang w:val="en-GB"/>
              </w:rPr>
              <w:t xml:space="preserve">. This is also termed the positive predictive values (PPV). </w:t>
            </w:r>
          </w:p>
        </w:tc>
      </w:tr>
      <w:tr w:rsidR="006E4E6C" w:rsidRPr="004B6AF2" w:rsidTr="005D044C">
        <w:trPr>
          <w:gridAfter w:val="1"/>
          <w:wAfter w:w="1452" w:type="dxa"/>
        </w:trPr>
        <w:tc>
          <w:tcPr>
            <w:tcW w:w="3369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6E4E6C" w:rsidRPr="000D10F7" w:rsidRDefault="006E4E6C" w:rsidP="005D044C">
            <w:pPr>
              <w:rPr>
                <w:rFonts w:ascii="Times" w:hAnsi="Times" w:cs="Times New Roman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gridSpan w:val="3"/>
            <w:tcBorders>
              <w:left w:val="single" w:sz="18" w:space="0" w:color="FFFFFF" w:themeColor="background1"/>
              <w:bottom w:val="single" w:sz="18" w:space="0" w:color="000000" w:themeColor="text1"/>
              <w:right w:val="single" w:sz="18" w:space="0" w:color="FFFFFF" w:themeColor="background1"/>
            </w:tcBorders>
          </w:tcPr>
          <w:p w:rsidR="006E4E6C" w:rsidRPr="00615A31" w:rsidRDefault="008633A8" w:rsidP="005D044C">
            <w:pPr>
              <w:jc w:val="center"/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CRC diagnosis</w:t>
            </w:r>
          </w:p>
        </w:tc>
      </w:tr>
      <w:tr w:rsidR="006E4E6C" w:rsidRPr="004B6AF2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6" w:space="0" w:color="000000" w:themeColor="text1"/>
              <w:right w:val="single" w:sz="18" w:space="0" w:color="FFFFFF" w:themeColor="background1"/>
            </w:tcBorders>
          </w:tcPr>
          <w:p w:rsidR="006E4E6C" w:rsidRPr="00615A31" w:rsidRDefault="006E4E6C" w:rsidP="005D044C">
            <w:pPr>
              <w:rPr>
                <w:rFonts w:ascii="Times" w:hAnsi="Times" w:cs="Times New Roman"/>
                <w:sz w:val="20"/>
                <w:szCs w:val="20"/>
                <w:lang w:val="en-GB"/>
              </w:rPr>
            </w:pPr>
          </w:p>
        </w:tc>
        <w:tc>
          <w:tcPr>
            <w:tcW w:w="1509" w:type="dxa"/>
            <w:tcBorders>
              <w:left w:val="single" w:sz="18" w:space="0" w:color="FFFFFF" w:themeColor="background1"/>
              <w:bottom w:val="single" w:sz="6" w:space="0" w:color="000000" w:themeColor="text1"/>
              <w:right w:val="single" w:sz="18" w:space="0" w:color="FFFFFF" w:themeColor="background1"/>
            </w:tcBorders>
          </w:tcPr>
          <w:p w:rsidR="006E4E6C" w:rsidRPr="00615A31" w:rsidRDefault="006E4E6C" w:rsidP="005D044C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 xml:space="preserve">Number </w:t>
            </w:r>
          </w:p>
        </w:tc>
        <w:tc>
          <w:tcPr>
            <w:tcW w:w="1893" w:type="dxa"/>
            <w:tcBorders>
              <w:top w:val="single" w:sz="18" w:space="0" w:color="000000" w:themeColor="text1"/>
              <w:left w:val="single" w:sz="18" w:space="0" w:color="FFFFFF" w:themeColor="background1"/>
              <w:bottom w:val="single" w:sz="6" w:space="0" w:color="000000" w:themeColor="text1"/>
              <w:right w:val="single" w:sz="18" w:space="0" w:color="FFFFFF" w:themeColor="background1"/>
            </w:tcBorders>
          </w:tcPr>
          <w:p w:rsidR="006E4E6C" w:rsidRPr="00615A31" w:rsidRDefault="006E4E6C" w:rsidP="005D044C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Incidence proportion</w:t>
            </w:r>
          </w:p>
        </w:tc>
        <w:tc>
          <w:tcPr>
            <w:tcW w:w="2126" w:type="dxa"/>
            <w:tcBorders>
              <w:left w:val="single" w:sz="18" w:space="0" w:color="FFFFFF" w:themeColor="background1"/>
              <w:bottom w:val="single" w:sz="6" w:space="0" w:color="000000" w:themeColor="text1"/>
              <w:right w:val="single" w:sz="18" w:space="0" w:color="FFFFFF" w:themeColor="background1"/>
            </w:tcBorders>
          </w:tcPr>
          <w:p w:rsidR="006E4E6C" w:rsidRPr="00615A31" w:rsidRDefault="000D10F7" w:rsidP="000D10F7">
            <w:pPr>
              <w:jc w:val="center"/>
              <w:rPr>
                <w:rFonts w:ascii="Times" w:hAnsi="Times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 w:themeColor="text1"/>
                <w:sz w:val="20"/>
                <w:szCs w:val="20"/>
                <w:lang w:val="en-GB"/>
              </w:rPr>
              <w:t xml:space="preserve">Adjusted RR </w:t>
            </w:r>
            <w:r w:rsidR="006E4E6C"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(95% CI)</w:t>
            </w:r>
          </w:p>
        </w:tc>
      </w:tr>
      <w:tr w:rsidR="000D10F7" w:rsidRPr="006E4E6C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6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ALL</w:t>
            </w:r>
          </w:p>
        </w:tc>
        <w:tc>
          <w:tcPr>
            <w:tcW w:w="1509" w:type="dxa"/>
            <w:tcBorders>
              <w:top w:val="single" w:sz="6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82</w:t>
            </w:r>
            <w:r>
              <w:rPr>
                <w:rFonts w:ascii="Times" w:hAnsi="Times" w:cs="Times New Roman"/>
                <w:sz w:val="20"/>
                <w:szCs w:val="20"/>
                <w:lang w:val="en-GB"/>
              </w:rPr>
              <w:t>,304</w:t>
            </w:r>
          </w:p>
        </w:tc>
        <w:tc>
          <w:tcPr>
            <w:tcW w:w="1893" w:type="dxa"/>
            <w:tcBorders>
              <w:top w:val="single" w:sz="6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0D10F7" w:rsidRPr="006E4E6C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6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Sex</w:t>
            </w:r>
          </w:p>
        </w:tc>
        <w:tc>
          <w:tcPr>
            <w:tcW w:w="1509" w:type="dxa"/>
            <w:tcBorders>
              <w:top w:val="single" w:sz="6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rPr>
                <w:rFonts w:ascii="Times" w:hAnsi="Times" w:cs="Times New Roman"/>
                <w:sz w:val="20"/>
                <w:szCs w:val="20"/>
                <w:lang w:val="en-GB"/>
              </w:rPr>
            </w:pPr>
          </w:p>
        </w:tc>
        <w:tc>
          <w:tcPr>
            <w:tcW w:w="1893" w:type="dxa"/>
            <w:tcBorders>
              <w:top w:val="single" w:sz="6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0D10F7" w:rsidRPr="006E4E6C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46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,142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sz w:val="20"/>
                <w:szCs w:val="20"/>
                <w:lang w:val="en-GB" w:eastAsia="da-DK"/>
              </w:rPr>
              <w:t xml:space="preserve">1.0    </w:t>
            </w:r>
          </w:p>
        </w:tc>
      </w:tr>
      <w:tr w:rsidR="000D10F7" w:rsidRPr="006E4E6C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36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,162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4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8633A8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0.88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82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93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6E4E6C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Age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</w:p>
        </w:tc>
      </w:tr>
      <w:tr w:rsidR="000D10F7" w:rsidRPr="006E4E6C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≤54 years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13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,182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2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sz w:val="20"/>
                <w:szCs w:val="20"/>
                <w:lang w:val="en-GB" w:eastAsia="da-DK"/>
              </w:rPr>
              <w:t>1.0</w:t>
            </w:r>
          </w:p>
        </w:tc>
      </w:tr>
      <w:tr w:rsidR="000D10F7" w:rsidRPr="00615A31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55-59 years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11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</w:t>
            </w: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59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4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54 (1.33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79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60-64 years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14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</w:t>
            </w: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40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8633A8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2.08 (1.82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2.39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65-69 years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18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,189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6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8633A8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2.52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(2.22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2.87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70+ years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25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,266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7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8633A8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3.07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(2.72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3.48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Region of residence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Northern Jutland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9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,587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sz w:val="20"/>
                <w:szCs w:val="20"/>
                <w:lang w:val="en-GB" w:eastAsia="da-DK"/>
              </w:rPr>
              <w:t>1.0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Mid Jutland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18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,439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05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95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18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Southern Denmark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19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</w:t>
            </w: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0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8633A8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1.07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96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1.20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Capital region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21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,560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4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90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80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1.00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Zealand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13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,706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6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8633A8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1.12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(1.00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1.25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Migration</w:t>
            </w:r>
            <w:r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 xml:space="preserve"> s</w:t>
            </w:r>
            <w:r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tatus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Danish</w:t>
            </w:r>
            <w:r>
              <w:rPr>
                <w:rFonts w:ascii="Times" w:hAnsi="Times" w:cs="Times New Roman"/>
                <w:sz w:val="20"/>
                <w:szCs w:val="20"/>
                <w:lang w:val="en-GB"/>
              </w:rPr>
              <w:t>-born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7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7,815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sz w:val="20"/>
                <w:szCs w:val="20"/>
                <w:lang w:val="en-GB" w:eastAsia="da-DK"/>
              </w:rPr>
              <w:t>1.0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Migrant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4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,489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4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84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71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98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Country of birth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</w:p>
        </w:tc>
      </w:tr>
      <w:tr w:rsidR="000D10F7" w:rsidRPr="00615A31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Denmark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7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7,716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sz w:val="20"/>
                <w:szCs w:val="20"/>
                <w:lang w:val="en-GB" w:eastAsia="da-DK"/>
              </w:rPr>
              <w:t>1.0</w:t>
            </w:r>
          </w:p>
        </w:tc>
      </w:tr>
      <w:tr w:rsidR="000D10F7" w:rsidRPr="006A6380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Other Western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,391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93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78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1.12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None-Western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,197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3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73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55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93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 xml:space="preserve">Marital </w:t>
            </w:r>
            <w:r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s</w:t>
            </w:r>
            <w:r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tatus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 xml:space="preserve">In relationship 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58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,312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sz w:val="20"/>
                <w:szCs w:val="20"/>
                <w:lang w:val="en-GB" w:eastAsia="da-DK"/>
              </w:rPr>
              <w:t>1.0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3,992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4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80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74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86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Educational level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</w:p>
        </w:tc>
      </w:tr>
      <w:tr w:rsidR="000D10F7" w:rsidRPr="006A6380" w:rsidTr="005D044C">
        <w:trPr>
          <w:gridAfter w:val="1"/>
          <w:wAfter w:w="1452" w:type="dxa"/>
          <w:trHeight w:val="35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Pr="00615A3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econdary</w:t>
            </w: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 xml:space="preserve">  school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23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,071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 w:themeColor="text1"/>
                <w:sz w:val="20"/>
                <w:szCs w:val="20"/>
                <w:lang w:val="en-GB"/>
              </w:rPr>
            </w:pPr>
            <w:r w:rsidRPr="00615A31">
              <w:rPr>
                <w:rFonts w:ascii="Times" w:eastAsia="Times New Roman" w:hAnsi="Times" w:cs="Times New Roman"/>
                <w:sz w:val="20"/>
                <w:szCs w:val="20"/>
                <w:lang w:val="en-GB" w:eastAsia="da-DK"/>
              </w:rPr>
              <w:t>1.0</w:t>
            </w:r>
          </w:p>
        </w:tc>
      </w:tr>
      <w:tr w:rsidR="008633A8" w:rsidRPr="006A6380" w:rsidTr="005D044C">
        <w:trPr>
          <w:gridAfter w:val="1"/>
          <w:wAfter w:w="1452" w:type="dxa"/>
          <w:trHeight w:val="35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8633A8" w:rsidRDefault="008633A8" w:rsidP="000D10F7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High school/ skilled education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8633A8" w:rsidRPr="00615A31" w:rsidRDefault="008633A8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38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,159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8633A8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8633A8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8633A8" w:rsidRPr="00615A31" w:rsidRDefault="008633A8" w:rsidP="000D10F7">
            <w:pPr>
              <w:jc w:val="right"/>
              <w:rPr>
                <w:rFonts w:ascii="Times" w:eastAsia="Times New Roman" w:hAnsi="Times" w:cs="Times New Roman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01 (0.95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10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6A6380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Short higher education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3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,440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02 (0.86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19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6A6380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Middle higher education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11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</w:t>
            </w: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9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05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95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16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Long higher education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4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</w:t>
            </w: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3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8633A8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1.00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85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15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,399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4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83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62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1.07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Income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First quartile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22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,234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sz w:val="20"/>
                <w:szCs w:val="20"/>
                <w:lang w:val="en-GB" w:eastAsia="da-DK"/>
              </w:rPr>
              <w:t>1.0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Second quartile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22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,744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16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07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26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Third quartile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19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,510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31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19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43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Fourth quartile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17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,425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29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17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softHyphen/>
              <w:t>–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43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39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8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8633A8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83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(1.28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2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49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Consultations with GP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,685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6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sz w:val="20"/>
                <w:szCs w:val="20"/>
                <w:lang w:val="en-GB" w:eastAsia="da-DK"/>
              </w:rPr>
              <w:t>1.0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1+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7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6,619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8633A8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0.68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61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0.76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Consultations with dentist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20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,398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4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sz w:val="20"/>
                <w:szCs w:val="20"/>
                <w:lang w:val="en-GB" w:eastAsia="da-DK"/>
              </w:rPr>
              <w:t>1.0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1+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6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1,906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5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12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04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21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rPr>
                <w:rFonts w:ascii="Times" w:hAnsi="Times" w:cs="Times New Roman"/>
                <w:b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b/>
                <w:sz w:val="20"/>
                <w:szCs w:val="20"/>
                <w:lang w:val="en-GB"/>
              </w:rPr>
              <w:t>Partner’s screening status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</w:p>
        </w:tc>
      </w:tr>
      <w:tr w:rsidR="000D10F7" w:rsidRPr="00615A31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lastRenderedPageBreak/>
              <w:t>Participated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39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,598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6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sz w:val="20"/>
                <w:szCs w:val="20"/>
                <w:lang w:val="en-GB" w:eastAsia="da-DK"/>
              </w:rPr>
              <w:t>1.0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Did not participate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9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</w:t>
            </w: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9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4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73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66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81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  <w:trHeight w:val="35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Not invited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8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,</w:t>
            </w: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8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01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6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0D10F7" w:rsidRPr="00615A31" w:rsidRDefault="008633A8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1.08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98</w:t>
            </w:r>
            <w:r w:rsidR="000D10F7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1.19</w:t>
            </w:r>
            <w:r w:rsidR="000D10F7"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0D10F7" w:rsidRPr="008633A8" w:rsidTr="005D044C">
        <w:trPr>
          <w:gridAfter w:val="1"/>
          <w:wAfter w:w="1452" w:type="dxa"/>
        </w:trPr>
        <w:tc>
          <w:tcPr>
            <w:tcW w:w="336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8" w:space="0" w:color="000000" w:themeColor="text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ind w:left="142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sz w:val="20"/>
                <w:szCs w:val="20"/>
                <w:lang w:val="en-GB"/>
              </w:rPr>
              <w:t>No partner</w:t>
            </w:r>
          </w:p>
        </w:tc>
        <w:tc>
          <w:tcPr>
            <w:tcW w:w="15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8" w:space="0" w:color="000000" w:themeColor="text1"/>
              <w:right w:val="single" w:sz="18" w:space="0" w:color="FFFFFF" w:themeColor="background1"/>
            </w:tcBorders>
            <w:vAlign w:val="bottom"/>
          </w:tcPr>
          <w:p w:rsidR="000D10F7" w:rsidRPr="00615A31" w:rsidRDefault="000D10F7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2</w:t>
            </w: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3,992</w:t>
            </w:r>
          </w:p>
        </w:tc>
        <w:tc>
          <w:tcPr>
            <w:tcW w:w="18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8" w:space="0" w:color="000000" w:themeColor="text1"/>
              <w:right w:val="single" w:sz="18" w:space="0" w:color="FFFFFF" w:themeColor="background1"/>
            </w:tcBorders>
            <w:vAlign w:val="bottom"/>
          </w:tcPr>
          <w:p w:rsidR="000D10F7" w:rsidRPr="00615A31" w:rsidRDefault="005D044C" w:rsidP="000D10F7">
            <w:pPr>
              <w:jc w:val="right"/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>4</w:t>
            </w:r>
            <w:r w:rsidR="000D10F7" w:rsidRPr="00615A31">
              <w:rPr>
                <w:rFonts w:ascii="Times" w:hAnsi="Times" w:cs="Times New Roman"/>
                <w:color w:val="000000"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12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8" w:space="0" w:color="000000" w:themeColor="text1"/>
              <w:right w:val="single" w:sz="18" w:space="0" w:color="FFFFFF" w:themeColor="background1"/>
            </w:tcBorders>
          </w:tcPr>
          <w:p w:rsidR="000D10F7" w:rsidRPr="00615A31" w:rsidRDefault="000D10F7" w:rsidP="000D10F7">
            <w:pPr>
              <w:jc w:val="right"/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8633A8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77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 xml:space="preserve"> (0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72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–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0</w:t>
            </w:r>
            <w:r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.</w:t>
            </w:r>
            <w:r w:rsidR="006A6380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84</w:t>
            </w:r>
            <w:r w:rsidRPr="00615A31">
              <w:rPr>
                <w:rFonts w:ascii="Times" w:eastAsia="Times New Roman" w:hAnsi="Times" w:cs="Times New Roman"/>
                <w:color w:val="000000" w:themeColor="text1"/>
                <w:sz w:val="20"/>
                <w:szCs w:val="20"/>
                <w:lang w:val="en-GB" w:eastAsia="da-DK"/>
              </w:rPr>
              <w:t>)</w:t>
            </w:r>
          </w:p>
        </w:tc>
      </w:tr>
      <w:tr w:rsidR="006E4E6C" w:rsidRPr="005039D6" w:rsidTr="005D044C">
        <w:tc>
          <w:tcPr>
            <w:tcW w:w="10349" w:type="dxa"/>
            <w:gridSpan w:val="5"/>
            <w:tcBorders>
              <w:top w:val="single" w:sz="8" w:space="0" w:color="000000" w:themeColor="text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</w:tcPr>
          <w:p w:rsidR="006E4E6C" w:rsidRPr="00615A31" w:rsidRDefault="006E4E6C" w:rsidP="005D044C">
            <w:pPr>
              <w:pStyle w:val="Overskrift2"/>
              <w:outlineLvl w:val="1"/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</w:pPr>
            <w:r w:rsidRPr="00615A31"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  <w:t>Estimates were adjusted for age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  <w:t>,</w:t>
            </w:r>
            <w:r w:rsidRPr="00615A31"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  <w:t xml:space="preserve"> sex</w:t>
            </w:r>
            <w:r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  <w:t>,</w:t>
            </w:r>
            <w:r w:rsidRPr="00615A31"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GB" w:eastAsia="da-DK"/>
              </w:rPr>
              <w:t xml:space="preserve"> educational level and income.</w:t>
            </w:r>
          </w:p>
        </w:tc>
      </w:tr>
    </w:tbl>
    <w:p w:rsidR="005D044C" w:rsidRPr="006E4E6C" w:rsidRDefault="005D044C">
      <w:pPr>
        <w:rPr>
          <w:lang w:val="en-US"/>
        </w:rPr>
      </w:pPr>
    </w:p>
    <w:sectPr w:rsidR="005D044C" w:rsidRPr="006E4E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6C"/>
    <w:rsid w:val="000D10F7"/>
    <w:rsid w:val="004B6AF2"/>
    <w:rsid w:val="005039D6"/>
    <w:rsid w:val="005D044C"/>
    <w:rsid w:val="006A6380"/>
    <w:rsid w:val="006E4E6C"/>
    <w:rsid w:val="00762A6E"/>
    <w:rsid w:val="008633A8"/>
    <w:rsid w:val="00D0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8674D-CE7E-4593-93BE-19362D6E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E6C"/>
    <w:pPr>
      <w:spacing w:after="0" w:line="240" w:lineRule="auto"/>
    </w:pPr>
    <w:rPr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4E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E4E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-Gitter">
    <w:name w:val="Table Grid"/>
    <w:basedOn w:val="Tabel-Normal"/>
    <w:uiPriority w:val="59"/>
    <w:rsid w:val="006E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1744</Characters>
  <Application>Microsoft Office Word</Application>
  <DocSecurity>0</DocSecurity>
  <Lines>45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Vera Jørring Pallesen</dc:creator>
  <cp:keywords/>
  <dc:description/>
  <cp:lastModifiedBy>Anna Vera Jørring Pallesen</cp:lastModifiedBy>
  <cp:revision>2</cp:revision>
  <dcterms:created xsi:type="dcterms:W3CDTF">2020-10-28T10:45:00Z</dcterms:created>
  <dcterms:modified xsi:type="dcterms:W3CDTF">2020-10-28T10:45:00Z</dcterms:modified>
</cp:coreProperties>
</file>