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8C0" w:rsidRDefault="006E28C0" w:rsidP="006E28C0">
      <w:pPr>
        <w:rPr>
          <w:rFonts w:ascii="Times New Roman" w:hAnsi="Times New Roman" w:cs="Times New Roman"/>
          <w:lang w:val="en-US"/>
        </w:rPr>
      </w:pPr>
      <w:r w:rsidRPr="00D956DC">
        <w:rPr>
          <w:rFonts w:ascii="Times New Roman" w:hAnsi="Times New Roman" w:cs="Times New Roman"/>
          <w:b/>
          <w:lang w:val="en-US"/>
        </w:rPr>
        <w:t>Supplementary</w:t>
      </w:r>
    </w:p>
    <w:p w:rsidR="006E28C0" w:rsidRPr="007D64C6" w:rsidRDefault="006E28C0" w:rsidP="006E28C0">
      <w:pPr>
        <w:rPr>
          <w:rFonts w:ascii="Times New Roman" w:hAnsi="Times New Roman" w:cs="Times New Roman"/>
          <w:color w:val="000000" w:themeColor="text1"/>
          <w:lang w:val="en-US"/>
        </w:rPr>
      </w:pPr>
      <w:r w:rsidRPr="007D64C6">
        <w:rPr>
          <w:rFonts w:ascii="Times New Roman" w:hAnsi="Times New Roman" w:cs="Times New Roman"/>
          <w:color w:val="000000" w:themeColor="text1"/>
          <w:lang w:val="en-US"/>
        </w:rPr>
        <w:t>Figure S1: Restricted cubic spline depicting the HR for TTI for overall survival (A) and recurrence free survival (B) for patients with oral cavity squamous cell carcinoma diagnosed or treated at the University Hospital of Copenhagen, Denmark in the period 2000-2014</w:t>
      </w:r>
    </w:p>
    <w:p w:rsidR="006E28C0" w:rsidRPr="008765DA" w:rsidRDefault="006E28C0" w:rsidP="006E28C0">
      <w:pPr>
        <w:rPr>
          <w:rFonts w:ascii="Times New Roman" w:hAnsi="Times New Roman" w:cs="Times New Roman"/>
          <w:color w:val="C00000"/>
          <w:lang w:val="en-US"/>
        </w:rPr>
      </w:pPr>
    </w:p>
    <w:p w:rsidR="006E28C0" w:rsidRPr="007716BA" w:rsidRDefault="006E28C0" w:rsidP="006E28C0">
      <w:pPr>
        <w:pStyle w:val="Caption"/>
        <w:spacing w:after="120"/>
        <w:rPr>
          <w:rFonts w:ascii="Times New Roman" w:hAnsi="Times New Roman" w:cs="Times New Roman"/>
          <w:b w:val="0"/>
          <w:bCs/>
          <w:i/>
          <w:iCs w:val="0"/>
          <w:szCs w:val="28"/>
        </w:rPr>
      </w:pPr>
      <w:bookmarkStart w:id="0" w:name="_Ref37065404"/>
      <w:r w:rsidRPr="007716BA">
        <w:rPr>
          <w:rFonts w:ascii="Times New Roman" w:hAnsi="Times New Roman" w:cs="Times New Roman"/>
          <w:szCs w:val="28"/>
        </w:rPr>
        <w:t>Table S</w:t>
      </w:r>
      <w:bookmarkEnd w:id="0"/>
      <w:r w:rsidRPr="007716BA">
        <w:rPr>
          <w:rFonts w:ascii="Times New Roman" w:hAnsi="Times New Roman" w:cs="Times New Roman"/>
          <w:szCs w:val="28"/>
        </w:rPr>
        <w:t xml:space="preserve">1: </w:t>
      </w:r>
      <w:r w:rsidRPr="007716BA">
        <w:rPr>
          <w:rFonts w:ascii="Times New Roman" w:hAnsi="Times New Roman" w:cs="Times New Roman"/>
          <w:b w:val="0"/>
          <w:szCs w:val="28"/>
        </w:rPr>
        <w:t xml:space="preserve">Medical conditions included in the </w:t>
      </w:r>
      <w:proofErr w:type="spellStart"/>
      <w:r w:rsidRPr="007716BA">
        <w:rPr>
          <w:rFonts w:ascii="Times New Roman" w:hAnsi="Times New Roman" w:cs="Times New Roman"/>
          <w:b w:val="0"/>
          <w:bCs/>
          <w:iCs w:val="0"/>
          <w:szCs w:val="28"/>
        </w:rPr>
        <w:t>Charlson</w:t>
      </w:r>
      <w:proofErr w:type="spellEnd"/>
      <w:r w:rsidRPr="007716BA">
        <w:rPr>
          <w:rFonts w:ascii="Times New Roman" w:hAnsi="Times New Roman" w:cs="Times New Roman"/>
          <w:b w:val="0"/>
          <w:bCs/>
          <w:iCs w:val="0"/>
          <w:szCs w:val="28"/>
        </w:rPr>
        <w:t xml:space="preserve"> Comorbidity Index with weights and ICD-10 codes</w:t>
      </w:r>
    </w:p>
    <w:tbl>
      <w:tblPr>
        <w:tblStyle w:val="TableGrid"/>
        <w:tblW w:w="5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2977"/>
      </w:tblGrid>
      <w:tr w:rsidR="006E28C0" w:rsidRPr="007716BA" w:rsidTr="00383AD1">
        <w:tc>
          <w:tcPr>
            <w:tcW w:w="1843" w:type="dxa"/>
            <w:tcBorders>
              <w:top w:val="single" w:sz="4" w:space="0" w:color="auto"/>
              <w:bottom w:val="single" w:sz="8" w:space="0" w:color="000000" w:themeColor="text1"/>
            </w:tcBorders>
          </w:tcPr>
          <w:p w:rsidR="006E28C0" w:rsidRPr="007716BA" w:rsidRDefault="006E28C0" w:rsidP="00383AD1">
            <w:pPr>
              <w:pStyle w:val="Normaltab"/>
              <w:rPr>
                <w:b/>
                <w:bCs/>
                <w:color w:val="000000" w:themeColor="text1"/>
              </w:rPr>
            </w:pPr>
            <w:r w:rsidRPr="007716BA">
              <w:rPr>
                <w:b/>
                <w:bCs/>
                <w:color w:val="000000" w:themeColor="text1"/>
              </w:rPr>
              <w:t>Condition</w:t>
            </w:r>
          </w:p>
        </w:tc>
        <w:tc>
          <w:tcPr>
            <w:tcW w:w="992" w:type="dxa"/>
            <w:tcBorders>
              <w:top w:val="single" w:sz="4" w:space="0" w:color="auto"/>
              <w:bottom w:val="single" w:sz="8" w:space="0" w:color="000000" w:themeColor="text1"/>
            </w:tcBorders>
          </w:tcPr>
          <w:p w:rsidR="006E28C0" w:rsidRPr="007716BA" w:rsidRDefault="006E28C0" w:rsidP="00383AD1">
            <w:pPr>
              <w:pStyle w:val="Normaltab"/>
              <w:rPr>
                <w:b/>
                <w:bCs/>
                <w:color w:val="000000" w:themeColor="text1"/>
              </w:rPr>
            </w:pPr>
            <w:r w:rsidRPr="007716BA">
              <w:rPr>
                <w:b/>
                <w:bCs/>
                <w:color w:val="000000" w:themeColor="text1"/>
              </w:rPr>
              <w:t>Weight</w:t>
            </w:r>
          </w:p>
        </w:tc>
        <w:tc>
          <w:tcPr>
            <w:tcW w:w="2977" w:type="dxa"/>
            <w:tcBorders>
              <w:top w:val="single" w:sz="4" w:space="0" w:color="auto"/>
              <w:bottom w:val="single" w:sz="8" w:space="0" w:color="000000" w:themeColor="text1"/>
            </w:tcBorders>
          </w:tcPr>
          <w:p w:rsidR="006E28C0" w:rsidRPr="007716BA" w:rsidRDefault="006E28C0" w:rsidP="00383AD1">
            <w:pPr>
              <w:pStyle w:val="Normaltab"/>
              <w:rPr>
                <w:b/>
                <w:bCs/>
                <w:color w:val="000000" w:themeColor="text1"/>
              </w:rPr>
            </w:pPr>
            <w:r w:rsidRPr="007716BA">
              <w:rPr>
                <w:b/>
                <w:bCs/>
                <w:color w:val="000000" w:themeColor="text1"/>
              </w:rPr>
              <w:t xml:space="preserve">ICD-10 codes </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Myocardial infarction</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rPr>
            </w:pPr>
            <w:r w:rsidRPr="007716BA">
              <w:rPr>
                <w:color w:val="000000" w:themeColor="text1"/>
              </w:rPr>
              <w:t>I21; I22; I23</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Congestive heart failure</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rPr>
            </w:pPr>
            <w:r w:rsidRPr="007716BA">
              <w:rPr>
                <w:color w:val="000000" w:themeColor="text1"/>
              </w:rPr>
              <w:t>I50; I11.0; I13.0; I13.2</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Peripheral vascular disease</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rPr>
            </w:pPr>
            <w:r w:rsidRPr="007716BA">
              <w:rPr>
                <w:color w:val="000000" w:themeColor="text1"/>
              </w:rPr>
              <w:t>I70; I71; I72; I73; I74; I77</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Cerebrovascular disease</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rPr>
            </w:pPr>
            <w:r w:rsidRPr="007716BA">
              <w:rPr>
                <w:color w:val="000000" w:themeColor="text1"/>
              </w:rPr>
              <w:t>I60-I69; G45; G46</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Dementia</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rPr>
            </w:pPr>
            <w:r w:rsidRPr="007716BA">
              <w:rPr>
                <w:color w:val="000000" w:themeColor="text1"/>
              </w:rPr>
              <w:t>F00-F03; F05.1; G30</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Chronic pulmonary disease</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lang w:val="da-DK"/>
              </w:rPr>
            </w:pPr>
            <w:r w:rsidRPr="007716BA">
              <w:rPr>
                <w:color w:val="000000" w:themeColor="text1"/>
                <w:lang w:val="da-DK"/>
              </w:rPr>
              <w:t>J40-J47; J60-J67; J68.4; J70.1; J70.3; J84.1; J92.0; J96.1; J98.2; J98.3</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Connective tissue disease</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rPr>
            </w:pPr>
            <w:r w:rsidRPr="007716BA">
              <w:rPr>
                <w:color w:val="000000" w:themeColor="text1"/>
              </w:rPr>
              <w:t>M05-M06; M08-M09; M30-M36; D86</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Ulcer disease</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rPr>
            </w:pPr>
            <w:r w:rsidRPr="007716BA">
              <w:rPr>
                <w:color w:val="000000" w:themeColor="text1"/>
              </w:rPr>
              <w:t>K22.1; K25-K28</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Mild liver disease</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rPr>
            </w:pPr>
            <w:r w:rsidRPr="007716BA">
              <w:rPr>
                <w:color w:val="000000" w:themeColor="text1"/>
              </w:rPr>
              <w:t>B18; K70.0-K70.3; K70.9; K71; K73; K74; K76.0</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Diabetes mellitus</w:t>
            </w:r>
          </w:p>
        </w:tc>
        <w:tc>
          <w:tcPr>
            <w:tcW w:w="992" w:type="dxa"/>
          </w:tcPr>
          <w:p w:rsidR="006E28C0" w:rsidRPr="007716BA" w:rsidRDefault="006E28C0" w:rsidP="00383AD1">
            <w:pPr>
              <w:pStyle w:val="Normaltab"/>
              <w:rPr>
                <w:color w:val="000000" w:themeColor="text1"/>
              </w:rPr>
            </w:pPr>
            <w:r w:rsidRPr="007716BA">
              <w:rPr>
                <w:color w:val="000000" w:themeColor="text1"/>
              </w:rPr>
              <w:t>1</w:t>
            </w:r>
          </w:p>
        </w:tc>
        <w:tc>
          <w:tcPr>
            <w:tcW w:w="2977" w:type="dxa"/>
          </w:tcPr>
          <w:p w:rsidR="006E28C0" w:rsidRPr="007716BA" w:rsidRDefault="006E28C0" w:rsidP="00383AD1">
            <w:pPr>
              <w:pStyle w:val="Normaltab"/>
              <w:rPr>
                <w:color w:val="000000" w:themeColor="text1"/>
              </w:rPr>
            </w:pPr>
            <w:r w:rsidRPr="007716BA">
              <w:rPr>
                <w:color w:val="000000" w:themeColor="text1"/>
              </w:rPr>
              <w:t>E10.0; E10.1; E10.9; E11.0; E11.1; E11.9</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Hemiplegia</w:t>
            </w:r>
          </w:p>
        </w:tc>
        <w:tc>
          <w:tcPr>
            <w:tcW w:w="992" w:type="dxa"/>
          </w:tcPr>
          <w:p w:rsidR="006E28C0" w:rsidRPr="007716BA" w:rsidRDefault="006E28C0" w:rsidP="00383AD1">
            <w:pPr>
              <w:pStyle w:val="Normaltab"/>
              <w:rPr>
                <w:color w:val="000000" w:themeColor="text1"/>
              </w:rPr>
            </w:pPr>
            <w:r w:rsidRPr="007716BA">
              <w:rPr>
                <w:color w:val="000000" w:themeColor="text1"/>
              </w:rPr>
              <w:t>2</w:t>
            </w:r>
          </w:p>
        </w:tc>
        <w:tc>
          <w:tcPr>
            <w:tcW w:w="2977" w:type="dxa"/>
          </w:tcPr>
          <w:p w:rsidR="006E28C0" w:rsidRPr="007716BA" w:rsidRDefault="006E28C0" w:rsidP="00383AD1">
            <w:pPr>
              <w:pStyle w:val="Normaltab"/>
              <w:rPr>
                <w:color w:val="000000" w:themeColor="text1"/>
              </w:rPr>
            </w:pPr>
            <w:r w:rsidRPr="007716BA">
              <w:rPr>
                <w:color w:val="000000" w:themeColor="text1"/>
              </w:rPr>
              <w:t>G81; G82</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Chronic kidney disease</w:t>
            </w:r>
          </w:p>
        </w:tc>
        <w:tc>
          <w:tcPr>
            <w:tcW w:w="992" w:type="dxa"/>
          </w:tcPr>
          <w:p w:rsidR="006E28C0" w:rsidRPr="007716BA" w:rsidRDefault="006E28C0" w:rsidP="00383AD1">
            <w:pPr>
              <w:pStyle w:val="Normaltab"/>
              <w:rPr>
                <w:color w:val="000000" w:themeColor="text1"/>
              </w:rPr>
            </w:pPr>
            <w:r w:rsidRPr="007716BA">
              <w:rPr>
                <w:color w:val="000000" w:themeColor="text1"/>
              </w:rPr>
              <w:t>2</w:t>
            </w:r>
          </w:p>
        </w:tc>
        <w:tc>
          <w:tcPr>
            <w:tcW w:w="2977" w:type="dxa"/>
          </w:tcPr>
          <w:p w:rsidR="006E28C0" w:rsidRPr="007716BA" w:rsidRDefault="006E28C0" w:rsidP="00383AD1">
            <w:pPr>
              <w:pStyle w:val="Normaltab"/>
              <w:rPr>
                <w:color w:val="000000" w:themeColor="text1"/>
                <w:lang w:val="da-DK"/>
              </w:rPr>
            </w:pPr>
            <w:r w:rsidRPr="007716BA">
              <w:rPr>
                <w:color w:val="000000" w:themeColor="text1"/>
                <w:lang w:val="da-DK"/>
              </w:rPr>
              <w:t>I12; I13; N00-N05; N07; N11; N14; N17-N19; Q61</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Diabetes mellitus with chronic complications</w:t>
            </w:r>
          </w:p>
        </w:tc>
        <w:tc>
          <w:tcPr>
            <w:tcW w:w="992" w:type="dxa"/>
          </w:tcPr>
          <w:p w:rsidR="006E28C0" w:rsidRPr="007716BA" w:rsidRDefault="006E28C0" w:rsidP="00383AD1">
            <w:pPr>
              <w:pStyle w:val="Normaltab"/>
              <w:rPr>
                <w:color w:val="000000" w:themeColor="text1"/>
              </w:rPr>
            </w:pPr>
            <w:r w:rsidRPr="007716BA">
              <w:rPr>
                <w:color w:val="000000" w:themeColor="text1"/>
              </w:rPr>
              <w:t>2</w:t>
            </w:r>
          </w:p>
        </w:tc>
        <w:tc>
          <w:tcPr>
            <w:tcW w:w="2977" w:type="dxa"/>
          </w:tcPr>
          <w:p w:rsidR="006E28C0" w:rsidRPr="007716BA" w:rsidRDefault="006E28C0" w:rsidP="00383AD1">
            <w:pPr>
              <w:pStyle w:val="Normaltab"/>
              <w:rPr>
                <w:color w:val="000000" w:themeColor="text1"/>
              </w:rPr>
            </w:pPr>
            <w:r w:rsidRPr="007716BA">
              <w:rPr>
                <w:color w:val="000000" w:themeColor="text1"/>
              </w:rPr>
              <w:t>E10.2-E10.8; E11.2-E11.8</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Malignancy, non-metastatic*</w:t>
            </w:r>
          </w:p>
        </w:tc>
        <w:tc>
          <w:tcPr>
            <w:tcW w:w="992" w:type="dxa"/>
          </w:tcPr>
          <w:p w:rsidR="006E28C0" w:rsidRPr="007716BA" w:rsidRDefault="006E28C0" w:rsidP="00383AD1">
            <w:pPr>
              <w:pStyle w:val="Normaltab"/>
              <w:rPr>
                <w:color w:val="000000" w:themeColor="text1"/>
              </w:rPr>
            </w:pPr>
            <w:r w:rsidRPr="007716BA">
              <w:rPr>
                <w:color w:val="000000" w:themeColor="text1"/>
              </w:rPr>
              <w:t>2</w:t>
            </w:r>
          </w:p>
        </w:tc>
        <w:tc>
          <w:tcPr>
            <w:tcW w:w="2977" w:type="dxa"/>
          </w:tcPr>
          <w:p w:rsidR="006E28C0" w:rsidRPr="007716BA" w:rsidRDefault="006E28C0" w:rsidP="00383AD1">
            <w:pPr>
              <w:pStyle w:val="Normaltab"/>
              <w:rPr>
                <w:color w:val="000000" w:themeColor="text1"/>
              </w:rPr>
            </w:pPr>
            <w:r w:rsidRPr="007716BA">
              <w:rPr>
                <w:color w:val="000000" w:themeColor="text1"/>
              </w:rPr>
              <w:t>C01-C75; C81-C96</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Moderate to severe liver disease</w:t>
            </w:r>
          </w:p>
        </w:tc>
        <w:tc>
          <w:tcPr>
            <w:tcW w:w="992" w:type="dxa"/>
          </w:tcPr>
          <w:p w:rsidR="006E28C0" w:rsidRPr="007716BA" w:rsidRDefault="006E28C0" w:rsidP="00383AD1">
            <w:pPr>
              <w:pStyle w:val="Normaltab"/>
              <w:rPr>
                <w:color w:val="000000" w:themeColor="text1"/>
              </w:rPr>
            </w:pPr>
            <w:r w:rsidRPr="007716BA">
              <w:rPr>
                <w:color w:val="000000" w:themeColor="text1"/>
              </w:rPr>
              <w:t>3</w:t>
            </w:r>
          </w:p>
        </w:tc>
        <w:tc>
          <w:tcPr>
            <w:tcW w:w="2977" w:type="dxa"/>
          </w:tcPr>
          <w:p w:rsidR="006E28C0" w:rsidRPr="007716BA" w:rsidRDefault="006E28C0" w:rsidP="00383AD1">
            <w:pPr>
              <w:pStyle w:val="Normaltab"/>
              <w:rPr>
                <w:color w:val="000000" w:themeColor="text1"/>
              </w:rPr>
            </w:pPr>
            <w:r w:rsidRPr="007716BA">
              <w:rPr>
                <w:color w:val="000000" w:themeColor="text1"/>
              </w:rPr>
              <w:t>B15.0; B16.0; B16.2; B19.0; K70.4; K72; K76.6; I85</w:t>
            </w:r>
          </w:p>
        </w:tc>
      </w:tr>
      <w:tr w:rsidR="006E28C0" w:rsidRPr="007716BA" w:rsidTr="00383AD1">
        <w:tc>
          <w:tcPr>
            <w:tcW w:w="1843" w:type="dxa"/>
          </w:tcPr>
          <w:p w:rsidR="006E28C0" w:rsidRPr="007716BA" w:rsidRDefault="006E28C0" w:rsidP="00383AD1">
            <w:pPr>
              <w:pStyle w:val="Normaltab"/>
              <w:rPr>
                <w:color w:val="000000" w:themeColor="text1"/>
              </w:rPr>
            </w:pPr>
            <w:r w:rsidRPr="007716BA">
              <w:rPr>
                <w:color w:val="000000" w:themeColor="text1"/>
              </w:rPr>
              <w:t>Malignancy, metastatic</w:t>
            </w:r>
          </w:p>
        </w:tc>
        <w:tc>
          <w:tcPr>
            <w:tcW w:w="992" w:type="dxa"/>
          </w:tcPr>
          <w:p w:rsidR="006E28C0" w:rsidRPr="007716BA" w:rsidRDefault="006E28C0" w:rsidP="00383AD1">
            <w:pPr>
              <w:pStyle w:val="Normaltab"/>
              <w:rPr>
                <w:color w:val="000000" w:themeColor="text1"/>
              </w:rPr>
            </w:pPr>
            <w:r w:rsidRPr="007716BA">
              <w:rPr>
                <w:color w:val="000000" w:themeColor="text1"/>
              </w:rPr>
              <w:t>6</w:t>
            </w:r>
          </w:p>
        </w:tc>
        <w:tc>
          <w:tcPr>
            <w:tcW w:w="2977" w:type="dxa"/>
          </w:tcPr>
          <w:p w:rsidR="006E28C0" w:rsidRPr="007716BA" w:rsidRDefault="006E28C0" w:rsidP="00383AD1">
            <w:pPr>
              <w:pStyle w:val="Normaltab"/>
              <w:rPr>
                <w:color w:val="000000" w:themeColor="text1"/>
              </w:rPr>
            </w:pPr>
            <w:r w:rsidRPr="007716BA">
              <w:rPr>
                <w:color w:val="000000" w:themeColor="text1"/>
              </w:rPr>
              <w:t>C76-C80</w:t>
            </w:r>
          </w:p>
        </w:tc>
      </w:tr>
      <w:tr w:rsidR="006E28C0" w:rsidRPr="007716BA" w:rsidTr="00383AD1">
        <w:tc>
          <w:tcPr>
            <w:tcW w:w="1843" w:type="dxa"/>
            <w:tcBorders>
              <w:bottom w:val="single" w:sz="4" w:space="0" w:color="auto"/>
            </w:tcBorders>
          </w:tcPr>
          <w:p w:rsidR="006E28C0" w:rsidRPr="007716BA" w:rsidRDefault="006E28C0" w:rsidP="00383AD1">
            <w:pPr>
              <w:pStyle w:val="Normaltab"/>
              <w:rPr>
                <w:color w:val="000000" w:themeColor="text1"/>
              </w:rPr>
            </w:pPr>
            <w:r w:rsidRPr="007716BA">
              <w:rPr>
                <w:color w:val="000000" w:themeColor="text1"/>
              </w:rPr>
              <w:t>AIDS</w:t>
            </w:r>
          </w:p>
        </w:tc>
        <w:tc>
          <w:tcPr>
            <w:tcW w:w="992" w:type="dxa"/>
            <w:tcBorders>
              <w:bottom w:val="single" w:sz="4" w:space="0" w:color="auto"/>
            </w:tcBorders>
          </w:tcPr>
          <w:p w:rsidR="006E28C0" w:rsidRPr="007716BA" w:rsidRDefault="006E28C0" w:rsidP="00383AD1">
            <w:pPr>
              <w:pStyle w:val="Normaltab"/>
              <w:rPr>
                <w:color w:val="000000" w:themeColor="text1"/>
              </w:rPr>
            </w:pPr>
            <w:r w:rsidRPr="007716BA">
              <w:rPr>
                <w:color w:val="000000" w:themeColor="text1"/>
              </w:rPr>
              <w:t>6</w:t>
            </w:r>
          </w:p>
        </w:tc>
        <w:tc>
          <w:tcPr>
            <w:tcW w:w="2977" w:type="dxa"/>
            <w:tcBorders>
              <w:bottom w:val="single" w:sz="4" w:space="0" w:color="auto"/>
            </w:tcBorders>
          </w:tcPr>
          <w:p w:rsidR="006E28C0" w:rsidRPr="007716BA" w:rsidRDefault="006E28C0" w:rsidP="00383AD1">
            <w:pPr>
              <w:pStyle w:val="Normaltab"/>
              <w:rPr>
                <w:color w:val="000000" w:themeColor="text1"/>
              </w:rPr>
            </w:pPr>
            <w:r w:rsidRPr="007716BA">
              <w:rPr>
                <w:color w:val="000000" w:themeColor="text1"/>
              </w:rPr>
              <w:t>B21-B24</w:t>
            </w:r>
          </w:p>
        </w:tc>
      </w:tr>
    </w:tbl>
    <w:p w:rsidR="006E28C0" w:rsidRPr="007716BA" w:rsidRDefault="006E28C0" w:rsidP="006E28C0">
      <w:pPr>
        <w:rPr>
          <w:rFonts w:ascii="Times New Roman" w:hAnsi="Times New Roman" w:cs="Times New Roman"/>
          <w:color w:val="000000" w:themeColor="text1"/>
          <w:lang w:val="en-US"/>
        </w:rPr>
      </w:pPr>
    </w:p>
    <w:p w:rsidR="006E28C0" w:rsidRDefault="006E28C0" w:rsidP="006E28C0">
      <w:pPr>
        <w:rPr>
          <w:rFonts w:ascii="Times New Roman" w:hAnsi="Times New Roman" w:cs="Times New Roman"/>
          <w:color w:val="000000" w:themeColor="text1"/>
          <w:lang w:val="en-US"/>
        </w:rPr>
      </w:pPr>
      <w:r>
        <w:rPr>
          <w:rFonts w:ascii="Times New Roman" w:hAnsi="Times New Roman" w:cs="Times New Roman"/>
          <w:color w:val="000000" w:themeColor="text1"/>
          <w:lang w:val="en-US"/>
        </w:rPr>
        <w:br w:type="page"/>
      </w:r>
    </w:p>
    <w:p w:rsidR="006E28C0" w:rsidRDefault="006E28C0" w:rsidP="006E28C0">
      <w:pPr>
        <w:widowControl w:val="0"/>
        <w:autoSpaceDE w:val="0"/>
        <w:autoSpaceDN w:val="0"/>
        <w:adjustRightInd w:val="0"/>
        <w:spacing w:line="240" w:lineRule="auto"/>
        <w:rPr>
          <w:rFonts w:ascii="Times New Roman" w:hAnsi="Times New Roman" w:cs="Times New Roman"/>
          <w:color w:val="000000" w:themeColor="text1"/>
          <w:lang w:val="en-US"/>
        </w:rPr>
      </w:pPr>
      <w:r>
        <w:rPr>
          <w:rFonts w:ascii="Times New Roman" w:hAnsi="Times New Roman" w:cs="Times New Roman"/>
          <w:color w:val="000000" w:themeColor="text1"/>
          <w:lang w:val="en-US"/>
        </w:rPr>
        <w:lastRenderedPageBreak/>
        <w:t xml:space="preserve">Table S2: </w:t>
      </w:r>
      <w:proofErr w:type="spellStart"/>
      <w:r>
        <w:rPr>
          <w:rFonts w:ascii="Times New Roman" w:hAnsi="Times New Roman" w:cs="Times New Roman"/>
          <w:lang w:val="en-US"/>
        </w:rPr>
        <w:t>Uni</w:t>
      </w:r>
      <w:proofErr w:type="spellEnd"/>
      <w:r>
        <w:rPr>
          <w:rFonts w:ascii="Times New Roman" w:hAnsi="Times New Roman" w:cs="Times New Roman"/>
          <w:lang w:val="en-US"/>
        </w:rPr>
        <w:t>- and multivariate cox regression analyses for patients with oral cavity squamous cell carcinoma diagnosed or treated at the University Hospital of Copenhagen, Denmark in the period 2000-2014, divided in the time periods 2000-2007 and 2008-2014</w:t>
      </w:r>
    </w:p>
    <w:tbl>
      <w:tblPr>
        <w:tblStyle w:val="TableGrid"/>
        <w:tblW w:w="0" w:type="auto"/>
        <w:tblLook w:val="04A0" w:firstRow="1" w:lastRow="0" w:firstColumn="1" w:lastColumn="0" w:noHBand="0" w:noVBand="1"/>
      </w:tblPr>
      <w:tblGrid>
        <w:gridCol w:w="1555"/>
        <w:gridCol w:w="2409"/>
        <w:gridCol w:w="1560"/>
        <w:gridCol w:w="2970"/>
      </w:tblGrid>
      <w:tr w:rsidR="006E28C0" w:rsidRPr="00113629" w:rsidTr="00383AD1">
        <w:tc>
          <w:tcPr>
            <w:tcW w:w="1555" w:type="dxa"/>
            <w:shd w:val="clear" w:color="auto" w:fill="1F4E79" w:themeFill="accent1" w:themeFillShade="80"/>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2409" w:type="dxa"/>
            <w:shd w:val="clear" w:color="auto" w:fill="1F4E79" w:themeFill="accent1" w:themeFillShade="80"/>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1560" w:type="dxa"/>
            <w:shd w:val="clear" w:color="auto" w:fill="1F4E79" w:themeFill="accent1" w:themeFillShade="80"/>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2970" w:type="dxa"/>
            <w:shd w:val="clear" w:color="auto" w:fill="1F4E79" w:themeFill="accent1" w:themeFillShade="80"/>
          </w:tcPr>
          <w:p w:rsidR="006E28C0" w:rsidRDefault="006E28C0" w:rsidP="00383AD1">
            <w:pPr>
              <w:widowControl w:val="0"/>
              <w:autoSpaceDE w:val="0"/>
              <w:autoSpaceDN w:val="0"/>
              <w:adjustRightInd w:val="0"/>
              <w:jc w:val="center"/>
              <w:rPr>
                <w:rFonts w:ascii="Times New Roman" w:hAnsi="Times New Roman" w:cs="Times New Roman"/>
                <w:b/>
                <w:color w:val="FFFFFF" w:themeColor="background1"/>
                <w:lang w:val="en-US"/>
              </w:rPr>
            </w:pPr>
            <w:r w:rsidRPr="0079251C">
              <w:rPr>
                <w:rFonts w:ascii="Times New Roman" w:hAnsi="Times New Roman" w:cs="Times New Roman"/>
                <w:b/>
                <w:color w:val="FFFFFF" w:themeColor="background1"/>
                <w:lang w:val="en-US"/>
              </w:rPr>
              <w:t>TTI – 5-day increase</w:t>
            </w:r>
          </w:p>
          <w:p w:rsidR="006E28C0" w:rsidRPr="0079251C" w:rsidRDefault="006E28C0" w:rsidP="00383AD1">
            <w:pPr>
              <w:widowControl w:val="0"/>
              <w:autoSpaceDE w:val="0"/>
              <w:autoSpaceDN w:val="0"/>
              <w:adjustRightInd w:val="0"/>
              <w:jc w:val="center"/>
              <w:rPr>
                <w:rFonts w:ascii="Times New Roman" w:hAnsi="Times New Roman" w:cs="Times New Roman"/>
                <w:b/>
                <w:color w:val="000000" w:themeColor="text1"/>
                <w:lang w:val="en-US"/>
              </w:rPr>
            </w:pPr>
            <w:r w:rsidRPr="00B47E7F">
              <w:rPr>
                <w:rFonts w:ascii="Times New Roman" w:eastAsia="Times New Roman" w:hAnsi="Times New Roman" w:cs="Times New Roman"/>
                <w:b/>
                <w:bCs/>
                <w:szCs w:val="24"/>
                <w:lang w:val="en-US" w:eastAsia="da-DK"/>
              </w:rPr>
              <w:t>HR (95%CI )</w:t>
            </w:r>
          </w:p>
        </w:tc>
      </w:tr>
      <w:tr w:rsidR="006E28C0" w:rsidTr="00383AD1">
        <w:tc>
          <w:tcPr>
            <w:tcW w:w="1555" w:type="dxa"/>
            <w:vMerge w:val="restart"/>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Patients diagnosed in the period 2000 – 2007 </w:t>
            </w:r>
          </w:p>
        </w:tc>
        <w:tc>
          <w:tcPr>
            <w:tcW w:w="2409" w:type="dxa"/>
            <w:vMerge w:val="restart"/>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Overall survival </w:t>
            </w:r>
          </w:p>
        </w:tc>
        <w:tc>
          <w:tcPr>
            <w:tcW w:w="1560" w:type="dxa"/>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roofErr w:type="spellStart"/>
            <w:r>
              <w:rPr>
                <w:rFonts w:ascii="Times New Roman" w:hAnsi="Times New Roman" w:cs="Times New Roman"/>
                <w:color w:val="000000" w:themeColor="text1"/>
                <w:lang w:val="en-US"/>
              </w:rPr>
              <w:t>Univariate</w:t>
            </w:r>
            <w:proofErr w:type="spellEnd"/>
            <w:r>
              <w:rPr>
                <w:rFonts w:ascii="Times New Roman" w:hAnsi="Times New Roman" w:cs="Times New Roman"/>
                <w:color w:val="000000" w:themeColor="text1"/>
                <w:lang w:val="en-US"/>
              </w:rPr>
              <w:t xml:space="preserve"> </w:t>
            </w:r>
          </w:p>
        </w:tc>
        <w:tc>
          <w:tcPr>
            <w:tcW w:w="2970" w:type="dxa"/>
          </w:tcPr>
          <w:p w:rsidR="006E28C0" w:rsidRDefault="006E28C0" w:rsidP="00383AD1">
            <w:pPr>
              <w:widowControl w:val="0"/>
              <w:autoSpaceDE w:val="0"/>
              <w:autoSpaceDN w:val="0"/>
              <w:adjustRightInd w:val="0"/>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1.06 (1.02-1.09)</w:t>
            </w:r>
          </w:p>
        </w:tc>
      </w:tr>
      <w:tr w:rsidR="006E28C0" w:rsidTr="00383AD1">
        <w:tc>
          <w:tcPr>
            <w:tcW w:w="1555" w:type="dxa"/>
            <w:vMerge/>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2409" w:type="dxa"/>
            <w:vMerge/>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1560" w:type="dxa"/>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Multivariate*</w:t>
            </w:r>
          </w:p>
        </w:tc>
        <w:tc>
          <w:tcPr>
            <w:tcW w:w="2970" w:type="dxa"/>
            <w:shd w:val="clear" w:color="auto" w:fill="A6A6A6" w:themeFill="background1" w:themeFillShade="A6"/>
          </w:tcPr>
          <w:p w:rsidR="006E28C0" w:rsidRDefault="006E28C0" w:rsidP="00383AD1">
            <w:pPr>
              <w:widowControl w:val="0"/>
              <w:autoSpaceDE w:val="0"/>
              <w:autoSpaceDN w:val="0"/>
              <w:adjustRightInd w:val="0"/>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1.01 (0.96-1.06)</w:t>
            </w:r>
          </w:p>
        </w:tc>
      </w:tr>
      <w:tr w:rsidR="006E28C0" w:rsidTr="00383AD1">
        <w:tc>
          <w:tcPr>
            <w:tcW w:w="1555" w:type="dxa"/>
            <w:vMerge/>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2409" w:type="dxa"/>
            <w:vMerge w:val="restart"/>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Recurrence free survival </w:t>
            </w:r>
          </w:p>
        </w:tc>
        <w:tc>
          <w:tcPr>
            <w:tcW w:w="1560" w:type="dxa"/>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roofErr w:type="spellStart"/>
            <w:r>
              <w:rPr>
                <w:rFonts w:ascii="Times New Roman" w:hAnsi="Times New Roman" w:cs="Times New Roman"/>
                <w:color w:val="000000" w:themeColor="text1"/>
                <w:lang w:val="en-US"/>
              </w:rPr>
              <w:t>Univariate</w:t>
            </w:r>
            <w:proofErr w:type="spellEnd"/>
            <w:r>
              <w:rPr>
                <w:rFonts w:ascii="Times New Roman" w:hAnsi="Times New Roman" w:cs="Times New Roman"/>
                <w:color w:val="000000" w:themeColor="text1"/>
                <w:lang w:val="en-US"/>
              </w:rPr>
              <w:t xml:space="preserve"> </w:t>
            </w:r>
          </w:p>
        </w:tc>
        <w:tc>
          <w:tcPr>
            <w:tcW w:w="2970" w:type="dxa"/>
          </w:tcPr>
          <w:p w:rsidR="006E28C0" w:rsidRDefault="006E28C0" w:rsidP="00383AD1">
            <w:pPr>
              <w:widowControl w:val="0"/>
              <w:autoSpaceDE w:val="0"/>
              <w:autoSpaceDN w:val="0"/>
              <w:adjustRightInd w:val="0"/>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1.05 (1.01-1.08)</w:t>
            </w:r>
          </w:p>
        </w:tc>
      </w:tr>
      <w:tr w:rsidR="006E28C0" w:rsidTr="00383AD1">
        <w:tc>
          <w:tcPr>
            <w:tcW w:w="1555" w:type="dxa"/>
            <w:vMerge/>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2409" w:type="dxa"/>
            <w:vMerge/>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1560" w:type="dxa"/>
            <w:shd w:val="clear" w:color="auto" w:fill="D9D9D9" w:themeFill="background1" w:themeFillShade="D9"/>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Multivariate*</w:t>
            </w:r>
          </w:p>
        </w:tc>
        <w:tc>
          <w:tcPr>
            <w:tcW w:w="2970" w:type="dxa"/>
            <w:shd w:val="clear" w:color="auto" w:fill="A6A6A6" w:themeFill="background1" w:themeFillShade="A6"/>
          </w:tcPr>
          <w:p w:rsidR="006E28C0" w:rsidRDefault="006E28C0" w:rsidP="00383AD1">
            <w:pPr>
              <w:widowControl w:val="0"/>
              <w:autoSpaceDE w:val="0"/>
              <w:autoSpaceDN w:val="0"/>
              <w:adjustRightInd w:val="0"/>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1.00 (0.96-1.05)</w:t>
            </w:r>
          </w:p>
        </w:tc>
      </w:tr>
      <w:tr w:rsidR="006E28C0" w:rsidTr="00383AD1">
        <w:tc>
          <w:tcPr>
            <w:tcW w:w="1555" w:type="dxa"/>
            <w:vMerge w:val="restart"/>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Patients diagnosed in the period 2008-2014</w:t>
            </w:r>
          </w:p>
        </w:tc>
        <w:tc>
          <w:tcPr>
            <w:tcW w:w="2409" w:type="dxa"/>
            <w:vMerge w:val="restart"/>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Overall survival </w:t>
            </w:r>
          </w:p>
        </w:tc>
        <w:tc>
          <w:tcPr>
            <w:tcW w:w="1560" w:type="dxa"/>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roofErr w:type="spellStart"/>
            <w:r>
              <w:rPr>
                <w:rFonts w:ascii="Times New Roman" w:hAnsi="Times New Roman" w:cs="Times New Roman"/>
                <w:color w:val="000000" w:themeColor="text1"/>
                <w:lang w:val="en-US"/>
              </w:rPr>
              <w:t>Univariate</w:t>
            </w:r>
            <w:proofErr w:type="spellEnd"/>
            <w:r>
              <w:rPr>
                <w:rFonts w:ascii="Times New Roman" w:hAnsi="Times New Roman" w:cs="Times New Roman"/>
                <w:color w:val="000000" w:themeColor="text1"/>
                <w:lang w:val="en-US"/>
              </w:rPr>
              <w:t xml:space="preserve"> </w:t>
            </w:r>
          </w:p>
        </w:tc>
        <w:tc>
          <w:tcPr>
            <w:tcW w:w="2970" w:type="dxa"/>
          </w:tcPr>
          <w:p w:rsidR="006E28C0" w:rsidRDefault="006E28C0" w:rsidP="00383AD1">
            <w:pPr>
              <w:widowControl w:val="0"/>
              <w:autoSpaceDE w:val="0"/>
              <w:autoSpaceDN w:val="0"/>
              <w:adjustRightInd w:val="0"/>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1.03 (0.98-1.07)</w:t>
            </w:r>
          </w:p>
        </w:tc>
      </w:tr>
      <w:tr w:rsidR="006E28C0" w:rsidTr="00383AD1">
        <w:tc>
          <w:tcPr>
            <w:tcW w:w="1555" w:type="dxa"/>
            <w:vMerge/>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2409" w:type="dxa"/>
            <w:vMerge/>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1560" w:type="dxa"/>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Multivariate*</w:t>
            </w:r>
          </w:p>
        </w:tc>
        <w:tc>
          <w:tcPr>
            <w:tcW w:w="2970" w:type="dxa"/>
            <w:shd w:val="clear" w:color="auto" w:fill="D9D9D9" w:themeFill="background1" w:themeFillShade="D9"/>
          </w:tcPr>
          <w:p w:rsidR="006E28C0" w:rsidRDefault="006E28C0" w:rsidP="00383AD1">
            <w:pPr>
              <w:widowControl w:val="0"/>
              <w:autoSpaceDE w:val="0"/>
              <w:autoSpaceDN w:val="0"/>
              <w:adjustRightInd w:val="0"/>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1.01 (0.96-1.06)</w:t>
            </w:r>
          </w:p>
        </w:tc>
      </w:tr>
      <w:tr w:rsidR="006E28C0" w:rsidTr="00383AD1">
        <w:tc>
          <w:tcPr>
            <w:tcW w:w="1555" w:type="dxa"/>
            <w:vMerge/>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2409" w:type="dxa"/>
            <w:vMerge w:val="restart"/>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Recurrence free survival </w:t>
            </w:r>
          </w:p>
        </w:tc>
        <w:tc>
          <w:tcPr>
            <w:tcW w:w="1560" w:type="dxa"/>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roofErr w:type="spellStart"/>
            <w:r>
              <w:rPr>
                <w:rFonts w:ascii="Times New Roman" w:hAnsi="Times New Roman" w:cs="Times New Roman"/>
                <w:color w:val="000000" w:themeColor="text1"/>
                <w:lang w:val="en-US"/>
              </w:rPr>
              <w:t>Univariate</w:t>
            </w:r>
            <w:proofErr w:type="spellEnd"/>
            <w:r>
              <w:rPr>
                <w:rFonts w:ascii="Times New Roman" w:hAnsi="Times New Roman" w:cs="Times New Roman"/>
                <w:color w:val="000000" w:themeColor="text1"/>
                <w:lang w:val="en-US"/>
              </w:rPr>
              <w:t xml:space="preserve"> </w:t>
            </w:r>
          </w:p>
        </w:tc>
        <w:tc>
          <w:tcPr>
            <w:tcW w:w="2970" w:type="dxa"/>
          </w:tcPr>
          <w:p w:rsidR="006E28C0" w:rsidRDefault="006E28C0" w:rsidP="00383AD1">
            <w:pPr>
              <w:widowControl w:val="0"/>
              <w:autoSpaceDE w:val="0"/>
              <w:autoSpaceDN w:val="0"/>
              <w:adjustRightInd w:val="0"/>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1.03 (0.98-1.07)</w:t>
            </w:r>
          </w:p>
        </w:tc>
      </w:tr>
      <w:tr w:rsidR="006E28C0" w:rsidTr="00383AD1">
        <w:tc>
          <w:tcPr>
            <w:tcW w:w="1555" w:type="dxa"/>
            <w:vMerge/>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2409" w:type="dxa"/>
            <w:vMerge/>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p>
        </w:tc>
        <w:tc>
          <w:tcPr>
            <w:tcW w:w="1560" w:type="dxa"/>
            <w:shd w:val="clear" w:color="auto" w:fill="A6A6A6" w:themeFill="background1" w:themeFillShade="A6"/>
          </w:tcPr>
          <w:p w:rsidR="006E28C0" w:rsidRDefault="006E28C0" w:rsidP="00383AD1">
            <w:pPr>
              <w:widowControl w:val="0"/>
              <w:autoSpaceDE w:val="0"/>
              <w:autoSpaceDN w:val="0"/>
              <w:adjustRightInd w:val="0"/>
              <w:rPr>
                <w:rFonts w:ascii="Times New Roman" w:hAnsi="Times New Roman" w:cs="Times New Roman"/>
                <w:color w:val="000000" w:themeColor="text1"/>
                <w:lang w:val="en-US"/>
              </w:rPr>
            </w:pPr>
            <w:r>
              <w:rPr>
                <w:rFonts w:ascii="Times New Roman" w:hAnsi="Times New Roman" w:cs="Times New Roman"/>
                <w:color w:val="000000" w:themeColor="text1"/>
                <w:lang w:val="en-US"/>
              </w:rPr>
              <w:t>Multivariate*</w:t>
            </w:r>
          </w:p>
        </w:tc>
        <w:tc>
          <w:tcPr>
            <w:tcW w:w="2970" w:type="dxa"/>
            <w:shd w:val="clear" w:color="auto" w:fill="D9D9D9" w:themeFill="background1" w:themeFillShade="D9"/>
          </w:tcPr>
          <w:p w:rsidR="006E28C0" w:rsidRDefault="006E28C0" w:rsidP="00383AD1">
            <w:pPr>
              <w:widowControl w:val="0"/>
              <w:autoSpaceDE w:val="0"/>
              <w:autoSpaceDN w:val="0"/>
              <w:adjustRightInd w:val="0"/>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1.00 (0.95-1.04)</w:t>
            </w:r>
          </w:p>
        </w:tc>
      </w:tr>
    </w:tbl>
    <w:p w:rsidR="006E28C0" w:rsidRPr="00955FA3" w:rsidRDefault="006E28C0" w:rsidP="006E28C0">
      <w:pPr>
        <w:widowControl w:val="0"/>
        <w:autoSpaceDE w:val="0"/>
        <w:autoSpaceDN w:val="0"/>
        <w:adjustRightInd w:val="0"/>
        <w:spacing w:line="240" w:lineRule="auto"/>
        <w:rPr>
          <w:rFonts w:ascii="Times New Roman" w:hAnsi="Times New Roman" w:cs="Times New Roman"/>
          <w:color w:val="000000" w:themeColor="text1"/>
          <w:lang w:val="en-US"/>
        </w:rPr>
      </w:pPr>
      <w:r>
        <w:rPr>
          <w:rFonts w:ascii="Times New Roman" w:hAnsi="Times New Roman" w:cs="Times New Roman"/>
          <w:color w:val="000000" w:themeColor="text1"/>
          <w:lang w:val="en-US"/>
        </w:rPr>
        <w:t>*</w:t>
      </w:r>
      <w:r w:rsidRPr="00955FA3">
        <w:rPr>
          <w:rFonts w:ascii="Times New Roman" w:hAnsi="Times New Roman" w:cs="Times New Roman"/>
          <w:i/>
          <w:color w:val="000000" w:themeColor="text1"/>
          <w:lang w:val="en-US"/>
        </w:rPr>
        <w:t xml:space="preserve">adjusted for sex, age, smoking status, UICC stage, tumor </w:t>
      </w:r>
      <w:proofErr w:type="spellStart"/>
      <w:r w:rsidRPr="00955FA3">
        <w:rPr>
          <w:rFonts w:ascii="Times New Roman" w:hAnsi="Times New Roman" w:cs="Times New Roman"/>
          <w:i/>
          <w:color w:val="000000" w:themeColor="text1"/>
          <w:lang w:val="en-US"/>
        </w:rPr>
        <w:t>sublocation</w:t>
      </w:r>
      <w:proofErr w:type="spellEnd"/>
      <w:r w:rsidRPr="00955FA3">
        <w:rPr>
          <w:rFonts w:ascii="Times New Roman" w:hAnsi="Times New Roman" w:cs="Times New Roman"/>
          <w:i/>
          <w:color w:val="000000" w:themeColor="text1"/>
          <w:lang w:val="en-US"/>
        </w:rPr>
        <w:t>, and CCI</w:t>
      </w:r>
      <w:r>
        <w:rPr>
          <w:rFonts w:ascii="Times New Roman" w:hAnsi="Times New Roman" w:cs="Times New Roman"/>
          <w:color w:val="000000" w:themeColor="text1"/>
          <w:lang w:val="en-US"/>
        </w:rPr>
        <w:t xml:space="preserve"> </w:t>
      </w:r>
    </w:p>
    <w:p w:rsidR="00EC19AE" w:rsidRDefault="006E28C0">
      <w:bookmarkStart w:id="1" w:name="_GoBack"/>
      <w:bookmarkEnd w:id="1"/>
    </w:p>
    <w:sectPr w:rsidR="00EC19AE" w:rsidSect="00E93920">
      <w:footerReference w:type="even" r:id="rId4"/>
      <w:footerReference w:type="default" r:id="rId5"/>
      <w:pgSz w:w="11906" w:h="16838"/>
      <w:pgMar w:top="2268" w:right="1134" w:bottom="1701" w:left="2268" w:header="709" w:footer="709" w:gutter="0"/>
      <w:lnNumType w:countBy="1" w:restart="continuous"/>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MU Serif">
    <w:altName w:val="Calibri"/>
    <w:panose1 w:val="00000000000000000000"/>
    <w:charset w:val="00"/>
    <w:family w:val="auto"/>
    <w:notTrueType/>
    <w:pitch w:val="variable"/>
    <w:sig w:usb0="E10002FF" w:usb1="5201E9EB" w:usb2="02000004" w:usb3="00000000" w:csb0="0000019F" w:csb1="00000000"/>
  </w:font>
  <w:font w:name="AdvPSA183">
    <w:altName w:val="Calibri"/>
    <w:charset w:val="00"/>
    <w:family w:val="swiss"/>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648160880"/>
      <w:docPartObj>
        <w:docPartGallery w:val="Page Numbers (Bottom of Page)"/>
        <w:docPartUnique/>
      </w:docPartObj>
    </w:sdtPr>
    <w:sdtEndPr>
      <w:rPr>
        <w:rStyle w:val="PageNumber"/>
      </w:rPr>
    </w:sdtEndPr>
    <w:sdtContent>
      <w:p w:rsidR="00E601D6" w:rsidRDefault="006E28C0" w:rsidP="00A765F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601D6" w:rsidRDefault="006E28C0" w:rsidP="00A4087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639102961"/>
      <w:docPartObj>
        <w:docPartGallery w:val="Page Numbers (Bottom of Page)"/>
        <w:docPartUnique/>
      </w:docPartObj>
    </w:sdtPr>
    <w:sdtEndPr>
      <w:rPr>
        <w:rStyle w:val="PageNumber"/>
      </w:rPr>
    </w:sdtEndPr>
    <w:sdtContent>
      <w:p w:rsidR="00E601D6" w:rsidRDefault="006E28C0" w:rsidP="00A765F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E601D6" w:rsidRDefault="006E28C0" w:rsidP="00A40876">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8C0"/>
    <w:rsid w:val="006E28C0"/>
    <w:rsid w:val="00787A9F"/>
    <w:rsid w:val="00B94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C01B8F-15EE-4D5F-B00F-5EA5856CD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8C0"/>
    <w:rPr>
      <w:lang w:val="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28C0"/>
    <w:pPr>
      <w:spacing w:after="0" w:line="240" w:lineRule="auto"/>
    </w:pPr>
    <w:rPr>
      <w:lang w:val="da-D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E28C0"/>
    <w:pPr>
      <w:tabs>
        <w:tab w:val="center" w:pos="4819"/>
        <w:tab w:val="right" w:pos="9638"/>
      </w:tabs>
      <w:spacing w:after="0" w:line="240" w:lineRule="auto"/>
    </w:pPr>
  </w:style>
  <w:style w:type="character" w:customStyle="1" w:styleId="FooterChar">
    <w:name w:val="Footer Char"/>
    <w:basedOn w:val="DefaultParagraphFont"/>
    <w:link w:val="Footer"/>
    <w:uiPriority w:val="99"/>
    <w:rsid w:val="006E28C0"/>
    <w:rPr>
      <w:lang w:val="da-DK"/>
    </w:rPr>
  </w:style>
  <w:style w:type="character" w:styleId="PageNumber">
    <w:name w:val="page number"/>
    <w:basedOn w:val="DefaultParagraphFont"/>
    <w:uiPriority w:val="99"/>
    <w:semiHidden/>
    <w:unhideWhenUsed/>
    <w:rsid w:val="006E28C0"/>
  </w:style>
  <w:style w:type="paragraph" w:styleId="Caption">
    <w:name w:val="caption"/>
    <w:aliases w:val="Figure Caption"/>
    <w:next w:val="Subtitle"/>
    <w:uiPriority w:val="35"/>
    <w:unhideWhenUsed/>
    <w:qFormat/>
    <w:rsid w:val="006E28C0"/>
    <w:pPr>
      <w:spacing w:after="360" w:line="240" w:lineRule="auto"/>
    </w:pPr>
    <w:rPr>
      <w:rFonts w:ascii="CMU Serif" w:eastAsiaTheme="minorEastAsia" w:hAnsi="CMU Serif" w:cs="AdvPSA183"/>
      <w:b/>
      <w:iCs/>
      <w:color w:val="000000" w:themeColor="text1"/>
      <w:szCs w:val="26"/>
      <w:lang w:eastAsia="da-DK"/>
    </w:rPr>
  </w:style>
  <w:style w:type="paragraph" w:customStyle="1" w:styleId="Normaltab">
    <w:name w:val="Normal tab"/>
    <w:basedOn w:val="Normal"/>
    <w:qFormat/>
    <w:rsid w:val="006E28C0"/>
    <w:pPr>
      <w:spacing w:after="80" w:line="240" w:lineRule="auto"/>
    </w:pPr>
    <w:rPr>
      <w:rFonts w:ascii="Times New Roman" w:eastAsiaTheme="minorEastAsia" w:hAnsi="Times New Roman" w:cs="AdvPSA183"/>
      <w:sz w:val="18"/>
      <w:szCs w:val="18"/>
      <w:lang w:val="en-US" w:eastAsia="da-DK"/>
    </w:rPr>
  </w:style>
  <w:style w:type="paragraph" w:styleId="Subtitle">
    <w:name w:val="Subtitle"/>
    <w:basedOn w:val="Normal"/>
    <w:next w:val="Normal"/>
    <w:link w:val="SubtitleChar"/>
    <w:uiPriority w:val="11"/>
    <w:qFormat/>
    <w:rsid w:val="006E28C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E28C0"/>
    <w:rPr>
      <w:rFonts w:eastAsiaTheme="minorEastAsia"/>
      <w:color w:val="5A5A5A" w:themeColor="text1" w:themeTint="A5"/>
      <w:spacing w:val="15"/>
      <w:lang w:val="da-DK"/>
    </w:rPr>
  </w:style>
  <w:style w:type="character" w:styleId="LineNumber">
    <w:name w:val="line number"/>
    <w:basedOn w:val="DefaultParagraphFont"/>
    <w:uiPriority w:val="99"/>
    <w:semiHidden/>
    <w:unhideWhenUsed/>
    <w:rsid w:val="006E2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Jamuna Chandrashekar</dc:creator>
  <cp:keywords/>
  <dc:description/>
  <cp:lastModifiedBy>Jamuna Chandrashekar</cp:lastModifiedBy>
  <cp:revision>1</cp:revision>
  <dcterms:created xsi:type="dcterms:W3CDTF">2020-12-17T17:15:00Z</dcterms:created>
  <dcterms:modified xsi:type="dcterms:W3CDTF">2020-12-17T17:16:00Z</dcterms:modified>
</cp:coreProperties>
</file>