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673" w:rsidRPr="004D7106" w:rsidRDefault="002634B1" w:rsidP="00A56673">
      <w:pPr>
        <w:spacing w:line="276" w:lineRule="auto"/>
        <w:rPr>
          <w:b/>
          <w:sz w:val="28"/>
        </w:rPr>
      </w:pPr>
      <w:r>
        <w:rPr>
          <w:b/>
          <w:sz w:val="28"/>
        </w:rPr>
        <w:t>Captions for supplementary figures</w:t>
      </w:r>
    </w:p>
    <w:p w:rsidR="00A56673" w:rsidRDefault="00A56673" w:rsidP="00A56673">
      <w:pPr>
        <w:spacing w:line="276" w:lineRule="auto"/>
      </w:pPr>
    </w:p>
    <w:p w:rsidR="00A56673" w:rsidRPr="002634B1" w:rsidRDefault="00A56673" w:rsidP="00A56673">
      <w:pPr>
        <w:spacing w:line="276" w:lineRule="auto"/>
      </w:pPr>
    </w:p>
    <w:p w:rsidR="00A56673" w:rsidRDefault="00A56673" w:rsidP="00A56673">
      <w:pPr>
        <w:spacing w:line="276" w:lineRule="auto"/>
        <w:rPr>
          <w:b/>
          <w:sz w:val="18"/>
        </w:rPr>
      </w:pPr>
      <w:r w:rsidRPr="00B42958">
        <w:rPr>
          <w:b/>
          <w:sz w:val="18"/>
        </w:rPr>
        <w:t xml:space="preserve">Supplementary Figure 1. </w:t>
      </w:r>
      <w:r>
        <w:rPr>
          <w:b/>
          <w:sz w:val="18"/>
        </w:rPr>
        <w:t>Example of c</w:t>
      </w:r>
      <w:r w:rsidRPr="00B42958">
        <w:rPr>
          <w:b/>
          <w:sz w:val="18"/>
        </w:rPr>
        <w:t>ohort and period approaches to survival analysis, Lung Cancer Data</w:t>
      </w:r>
      <w:r>
        <w:rPr>
          <w:b/>
          <w:sz w:val="18"/>
        </w:rPr>
        <w:t xml:space="preserve"> </w:t>
      </w:r>
      <w:r w:rsidRPr="00B42958">
        <w:rPr>
          <w:b/>
          <w:sz w:val="18"/>
        </w:rPr>
        <w:t>Base Sweden, 1995-2016</w:t>
      </w:r>
      <w:r>
        <w:rPr>
          <w:b/>
          <w:sz w:val="18"/>
        </w:rPr>
        <w:t>.</w:t>
      </w:r>
      <w:bookmarkStart w:id="0" w:name="_GoBack"/>
      <w:bookmarkEnd w:id="0"/>
    </w:p>
    <w:p w:rsidR="00A56673" w:rsidRPr="009411DE" w:rsidRDefault="00A56673" w:rsidP="00A56673">
      <w:pPr>
        <w:spacing w:line="276" w:lineRule="auto"/>
        <w:rPr>
          <w:b/>
        </w:rPr>
      </w:pPr>
    </w:p>
    <w:p w:rsidR="00A56673" w:rsidRPr="002634B1" w:rsidRDefault="00A56673" w:rsidP="00A56673">
      <w:pPr>
        <w:spacing w:line="276" w:lineRule="auto"/>
        <w:rPr>
          <w:b/>
        </w:rPr>
      </w:pPr>
      <w:r>
        <w:rPr>
          <w:b/>
          <w:sz w:val="18"/>
          <w:szCs w:val="18"/>
        </w:rPr>
        <w:t>Supplementary Figure 2</w:t>
      </w:r>
      <w:r w:rsidRPr="00C01A57">
        <w:rPr>
          <w:b/>
          <w:sz w:val="18"/>
          <w:szCs w:val="18"/>
        </w:rPr>
        <w:t xml:space="preserve">. </w:t>
      </w:r>
      <w:r>
        <w:rPr>
          <w:b/>
          <w:sz w:val="18"/>
          <w:szCs w:val="18"/>
        </w:rPr>
        <w:t xml:space="preserve">Overall </w:t>
      </w:r>
      <w:proofErr w:type="spellStart"/>
      <w:r>
        <w:rPr>
          <w:b/>
          <w:sz w:val="18"/>
          <w:szCs w:val="18"/>
        </w:rPr>
        <w:t>un</w:t>
      </w:r>
      <w:r w:rsidRPr="00C01A57">
        <w:rPr>
          <w:b/>
          <w:sz w:val="18"/>
          <w:szCs w:val="18"/>
        </w:rPr>
        <w:t>standardised</w:t>
      </w:r>
      <w:proofErr w:type="spellEnd"/>
      <w:r w:rsidRPr="00C01A57">
        <w:rPr>
          <w:b/>
          <w:sz w:val="18"/>
          <w:szCs w:val="18"/>
        </w:rPr>
        <w:t xml:space="preserve"> one-, two- and five-year relative survival estim</w:t>
      </w:r>
      <w:r>
        <w:rPr>
          <w:b/>
          <w:sz w:val="18"/>
          <w:szCs w:val="18"/>
        </w:rPr>
        <w:t>ates over calendar years in</w:t>
      </w:r>
      <w:r w:rsidRPr="00C01A57">
        <w:rPr>
          <w:b/>
          <w:sz w:val="18"/>
          <w:szCs w:val="18"/>
        </w:rPr>
        <w:t xml:space="preserve"> patients diagnosed with adenocarcinoma or squamous cell carcinoma of the lung, </w:t>
      </w:r>
      <w:r w:rsidRPr="00C01A57">
        <w:rPr>
          <w:b/>
          <w:bCs/>
          <w:color w:val="000000"/>
          <w:sz w:val="18"/>
          <w:szCs w:val="18"/>
        </w:rPr>
        <w:t>Lung Cancer Data</w:t>
      </w:r>
      <w:r>
        <w:rPr>
          <w:b/>
          <w:bCs/>
          <w:color w:val="000000"/>
          <w:sz w:val="18"/>
          <w:szCs w:val="18"/>
        </w:rPr>
        <w:t xml:space="preserve"> </w:t>
      </w:r>
      <w:r w:rsidRPr="00C01A57">
        <w:rPr>
          <w:b/>
          <w:bCs/>
          <w:color w:val="000000"/>
          <w:sz w:val="18"/>
          <w:szCs w:val="18"/>
        </w:rPr>
        <w:t>Base Sweden</w:t>
      </w:r>
      <w:r w:rsidRPr="00C01A57">
        <w:rPr>
          <w:b/>
          <w:sz w:val="18"/>
          <w:szCs w:val="18"/>
        </w:rPr>
        <w:t>, 1995–2016</w:t>
      </w:r>
      <w:r w:rsidRPr="007762AF">
        <w:rPr>
          <w:b/>
          <w:sz w:val="18"/>
          <w:szCs w:val="18"/>
        </w:rPr>
        <w:t xml:space="preserve">. </w:t>
      </w:r>
    </w:p>
    <w:p w:rsidR="00A56673" w:rsidRPr="0075161C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Note: </w:t>
      </w:r>
      <w:r w:rsidRPr="0075161C">
        <w:rPr>
          <w:i/>
          <w:sz w:val="18"/>
          <w:szCs w:val="18"/>
        </w:rPr>
        <w:t xml:space="preserve">The years </w:t>
      </w: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1995-2001 include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only the </w:t>
      </w: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Uppsala-</w:t>
      </w:r>
      <w:proofErr w:type="spellStart"/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Örebro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Health Care Region</w:t>
      </w: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(approximately 2 million inhabitants, 20 % of the Swedish population)</w:t>
      </w:r>
    </w:p>
    <w:p w:rsidR="00A56673" w:rsidRPr="0075161C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1-year: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38</w:t>
      </w:r>
      <w:r w:rsidRPr="0075161C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% (1995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) –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51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% (2016); 2-year: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22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% (1995) –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36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% (2016);</w:t>
      </w:r>
      <w:r w:rsidRPr="00D4108A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5-year:</w:t>
      </w:r>
      <w:r w:rsidRPr="00826BED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14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% (1995</w:t>
      </w:r>
      <w:r w:rsidRPr="00D4108A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) –</w:t>
      </w:r>
      <w:r w:rsidRPr="00826BED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23</w:t>
      </w:r>
      <w:r w:rsidRPr="008A20E8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% </w:t>
      </w:r>
      <w:r w:rsidRPr="00D4108A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(2016)</w:t>
      </w:r>
    </w:p>
    <w:p w:rsidR="00A56673" w:rsidRDefault="00A56673" w:rsidP="00A56673">
      <w:pPr>
        <w:spacing w:line="276" w:lineRule="auto"/>
      </w:pPr>
    </w:p>
    <w:p w:rsidR="00A56673" w:rsidRDefault="00A56673" w:rsidP="00A56673">
      <w:pPr>
        <w:spacing w:line="276" w:lineRule="auto"/>
      </w:pPr>
    </w:p>
    <w:p w:rsidR="00A56673" w:rsidRPr="002634B1" w:rsidRDefault="00A56673" w:rsidP="00A56673">
      <w:pPr>
        <w:spacing w:line="276" w:lineRule="auto"/>
      </w:pPr>
      <w:r>
        <w:rPr>
          <w:b/>
          <w:sz w:val="18"/>
          <w:szCs w:val="18"/>
        </w:rPr>
        <w:t>Supplementary Figure 3</w:t>
      </w:r>
      <w:r w:rsidRPr="002201D0">
        <w:rPr>
          <w:b/>
          <w:sz w:val="18"/>
          <w:szCs w:val="18"/>
        </w:rPr>
        <w:t xml:space="preserve">. Age-standardised one-, two- and five-year relative survival estimates over calendar years </w:t>
      </w:r>
      <w:r>
        <w:rPr>
          <w:b/>
          <w:sz w:val="18"/>
          <w:szCs w:val="18"/>
        </w:rPr>
        <w:t>by sex in</w:t>
      </w:r>
      <w:r w:rsidRPr="002201D0">
        <w:rPr>
          <w:b/>
          <w:sz w:val="18"/>
          <w:szCs w:val="18"/>
        </w:rPr>
        <w:t xml:space="preserve"> patients diagnosed with adenocarcinoma or squamous cell carcinoma of the lung, </w:t>
      </w:r>
      <w:r w:rsidRPr="007762AF">
        <w:rPr>
          <w:b/>
          <w:bCs/>
          <w:color w:val="000000"/>
          <w:sz w:val="18"/>
          <w:szCs w:val="18"/>
        </w:rPr>
        <w:t>Lung Cancer Data</w:t>
      </w:r>
      <w:r>
        <w:rPr>
          <w:b/>
          <w:bCs/>
          <w:color w:val="000000"/>
          <w:sz w:val="18"/>
          <w:szCs w:val="18"/>
        </w:rPr>
        <w:t xml:space="preserve"> </w:t>
      </w:r>
      <w:r w:rsidRPr="007762AF">
        <w:rPr>
          <w:b/>
          <w:bCs/>
          <w:color w:val="000000"/>
          <w:sz w:val="18"/>
          <w:szCs w:val="18"/>
        </w:rPr>
        <w:t>Base Sweden</w:t>
      </w:r>
      <w:r w:rsidRPr="007762AF">
        <w:rPr>
          <w:b/>
          <w:sz w:val="18"/>
          <w:szCs w:val="18"/>
        </w:rPr>
        <w:t>, 1995–2016.</w:t>
      </w:r>
      <w:r w:rsidRPr="003304F4">
        <w:rPr>
          <w:b/>
          <w:sz w:val="18"/>
          <w:szCs w:val="18"/>
        </w:rPr>
        <w:t xml:space="preserve"> 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Note: </w:t>
      </w:r>
      <w:r w:rsidRPr="00C24513">
        <w:rPr>
          <w:i/>
          <w:sz w:val="18"/>
          <w:szCs w:val="18"/>
        </w:rPr>
        <w:t xml:space="preserve">The years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1995-2001 include only the Uppsala-</w:t>
      </w:r>
      <w:proofErr w:type="spellStart"/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Örebro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Heath Care Region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(approximately 2 million inhabitants, 20 % of the Swedish population)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Women: 1-year: 40% (1995) – 57% (2016); 2-year: 26% (1995) – 40% (2016); 5-year: 17% (1995) – 27% (2016)</w:t>
      </w:r>
    </w:p>
    <w:p w:rsidR="00A56673" w:rsidRPr="00C24513" w:rsidRDefault="00A56673" w:rsidP="00A56673">
      <w:pPr>
        <w:spacing w:line="276" w:lineRule="auto"/>
        <w:contextualSpacing/>
        <w:rPr>
          <w:b/>
          <w:i/>
          <w:sz w:val="18"/>
          <w:szCs w:val="18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Men: 1-year: 37% (1995) – 49% (2016); 2-year: 19% (1995) – 35% (2016); 5-year: 14% (1995) – 20% (2016)</w:t>
      </w:r>
    </w:p>
    <w:p w:rsidR="00A56673" w:rsidRDefault="00A56673" w:rsidP="00A56673">
      <w:pPr>
        <w:spacing w:line="276" w:lineRule="auto"/>
        <w:rPr>
          <w:rFonts w:eastAsia="Calibri"/>
          <w:szCs w:val="24"/>
        </w:rPr>
      </w:pPr>
    </w:p>
    <w:p w:rsidR="00A56673" w:rsidRDefault="00A56673" w:rsidP="00A56673">
      <w:pPr>
        <w:spacing w:line="276" w:lineRule="auto"/>
        <w:jc w:val="center"/>
        <w:rPr>
          <w:rFonts w:eastAsia="Calibri"/>
          <w:noProof/>
          <w:sz w:val="18"/>
          <w:szCs w:val="18"/>
          <w:lang w:val="sv-SE" w:eastAsia="sv-SE"/>
        </w:rPr>
      </w:pPr>
    </w:p>
    <w:p w:rsidR="00A56673" w:rsidRDefault="00A56673" w:rsidP="00A56673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Supplementary Figure 4</w:t>
      </w:r>
      <w:r w:rsidRPr="002201D0">
        <w:rPr>
          <w:b/>
          <w:sz w:val="18"/>
          <w:szCs w:val="18"/>
        </w:rPr>
        <w:t>. Age-standardised one-, two- and five-year relative survival estimates over ca</w:t>
      </w:r>
      <w:r>
        <w:rPr>
          <w:b/>
          <w:sz w:val="18"/>
          <w:szCs w:val="18"/>
        </w:rPr>
        <w:t>lendar years by cancer stage in</w:t>
      </w:r>
      <w:r w:rsidRPr="002201D0">
        <w:rPr>
          <w:b/>
          <w:sz w:val="18"/>
          <w:szCs w:val="18"/>
        </w:rPr>
        <w:t xml:space="preserve"> patients diagnosed with adenocarcinoma or squamous cell carcinoma of the lung, </w:t>
      </w:r>
      <w:r w:rsidRPr="007762AF">
        <w:rPr>
          <w:b/>
          <w:bCs/>
          <w:color w:val="000000"/>
          <w:sz w:val="18"/>
          <w:szCs w:val="18"/>
        </w:rPr>
        <w:t xml:space="preserve">Lung Cancer </w:t>
      </w:r>
      <w:proofErr w:type="spellStart"/>
      <w:r w:rsidRPr="007762AF">
        <w:rPr>
          <w:b/>
          <w:bCs/>
          <w:color w:val="000000"/>
          <w:sz w:val="18"/>
          <w:szCs w:val="18"/>
        </w:rPr>
        <w:t>DataBase</w:t>
      </w:r>
      <w:proofErr w:type="spellEnd"/>
      <w:r w:rsidRPr="007762AF">
        <w:rPr>
          <w:b/>
          <w:bCs/>
          <w:color w:val="000000"/>
          <w:sz w:val="18"/>
          <w:szCs w:val="18"/>
        </w:rPr>
        <w:t xml:space="preserve"> Sweden</w:t>
      </w:r>
      <w:r w:rsidRPr="007762AF">
        <w:rPr>
          <w:b/>
          <w:sz w:val="18"/>
          <w:szCs w:val="18"/>
        </w:rPr>
        <w:t xml:space="preserve">, 1995–2016. 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i/>
          <w:sz w:val="18"/>
          <w:szCs w:val="18"/>
        </w:rPr>
        <w:t xml:space="preserve">Note: The years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1995-2001 includ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e only the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Uppsala-</w:t>
      </w:r>
      <w:proofErr w:type="spellStart"/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Örebro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healthcare region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(approximately 2 million inhabitants, 20 % of the Swedish population)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Stages I-II: 1-year: 81% (1995) – 88% (2016); 2-year: 61% (1995) – 76% (2016); 5-year: 45% (1995) – 59% (2016)</w:t>
      </w:r>
    </w:p>
    <w:p w:rsidR="00A5667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Stage III: 1-year: 29% (1995) – 61% (2016); 2-year: 10% (1995) – 39% (2016); 5-year: 4% (1995) – 21% (2016)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Stage IV: 1-year: 14% (1995) – 31% (2016); 2-year: 3% (1995) – 16% (2016); 5-year: 1% (1995) – 5% (2016)</w:t>
      </w:r>
    </w:p>
    <w:p w:rsidR="00A5667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</w:p>
    <w:p w:rsidR="00A56673" w:rsidRDefault="00A56673" w:rsidP="00A56673">
      <w:pPr>
        <w:rPr>
          <w:rFonts w:eastAsia="Calibri"/>
          <w:szCs w:val="24"/>
        </w:rPr>
      </w:pPr>
    </w:p>
    <w:p w:rsidR="00A56673" w:rsidRPr="00706854" w:rsidRDefault="00A56673" w:rsidP="00A56673">
      <w:pPr>
        <w:spacing w:line="276" w:lineRule="auto"/>
        <w:rPr>
          <w:rFonts w:eastAsia="Calibri"/>
          <w:szCs w:val="24"/>
        </w:rPr>
      </w:pPr>
    </w:p>
    <w:p w:rsidR="00A56673" w:rsidRDefault="00A56673" w:rsidP="00A56673">
      <w:pPr>
        <w:spacing w:after="0" w:line="240" w:lineRule="auto"/>
        <w:jc w:val="center"/>
        <w:rPr>
          <w:rFonts w:eastAsia="Calibri"/>
          <w:szCs w:val="24"/>
        </w:rPr>
      </w:pPr>
    </w:p>
    <w:p w:rsidR="002634B1" w:rsidRDefault="002634B1" w:rsidP="00A56673">
      <w:pPr>
        <w:spacing w:after="0" w:line="240" w:lineRule="auto"/>
        <w:jc w:val="center"/>
        <w:rPr>
          <w:rFonts w:eastAsia="Calibri"/>
          <w:szCs w:val="24"/>
        </w:rPr>
      </w:pPr>
    </w:p>
    <w:p w:rsidR="002634B1" w:rsidRDefault="002634B1" w:rsidP="00A56673">
      <w:pPr>
        <w:spacing w:after="0" w:line="240" w:lineRule="auto"/>
        <w:jc w:val="center"/>
        <w:rPr>
          <w:rFonts w:eastAsia="Calibri"/>
          <w:szCs w:val="24"/>
        </w:rPr>
      </w:pPr>
    </w:p>
    <w:p w:rsidR="002634B1" w:rsidRDefault="002634B1" w:rsidP="00A56673">
      <w:pPr>
        <w:spacing w:after="0" w:line="240" w:lineRule="auto"/>
        <w:jc w:val="center"/>
        <w:rPr>
          <w:rFonts w:eastAsia="Calibri"/>
          <w:szCs w:val="24"/>
        </w:rPr>
      </w:pPr>
    </w:p>
    <w:p w:rsidR="002634B1" w:rsidRPr="00706854" w:rsidRDefault="002634B1" w:rsidP="00A56673">
      <w:pPr>
        <w:spacing w:after="0" w:line="240" w:lineRule="auto"/>
        <w:jc w:val="center"/>
        <w:rPr>
          <w:rFonts w:eastAsia="Calibri"/>
          <w:szCs w:val="24"/>
        </w:rPr>
      </w:pPr>
    </w:p>
    <w:p w:rsidR="00A56673" w:rsidRDefault="00A56673" w:rsidP="00A56673">
      <w:pPr>
        <w:spacing w:line="276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>Supplementary Figure 5</w:t>
      </w:r>
      <w:r w:rsidRPr="002201D0">
        <w:rPr>
          <w:b/>
          <w:sz w:val="18"/>
          <w:szCs w:val="18"/>
        </w:rPr>
        <w:t>. Age-standardised one-, two- and five-year relative survival estimates over cale</w:t>
      </w:r>
      <w:r>
        <w:rPr>
          <w:b/>
          <w:sz w:val="18"/>
          <w:szCs w:val="18"/>
        </w:rPr>
        <w:t>ndar years by histopathology in</w:t>
      </w:r>
      <w:r w:rsidRPr="002201D0">
        <w:rPr>
          <w:b/>
          <w:sz w:val="18"/>
          <w:szCs w:val="18"/>
        </w:rPr>
        <w:t xml:space="preserve"> patients diagnosed with lung cancer, </w:t>
      </w:r>
      <w:r w:rsidRPr="002201D0">
        <w:rPr>
          <w:b/>
          <w:bCs/>
          <w:color w:val="000000"/>
          <w:sz w:val="18"/>
          <w:szCs w:val="18"/>
        </w:rPr>
        <w:t>Lung Cancer Data</w:t>
      </w:r>
      <w:r>
        <w:rPr>
          <w:b/>
          <w:bCs/>
          <w:color w:val="000000"/>
          <w:sz w:val="18"/>
          <w:szCs w:val="18"/>
        </w:rPr>
        <w:t xml:space="preserve"> </w:t>
      </w:r>
      <w:r w:rsidRPr="002201D0">
        <w:rPr>
          <w:b/>
          <w:bCs/>
          <w:color w:val="000000"/>
          <w:sz w:val="18"/>
          <w:szCs w:val="18"/>
        </w:rPr>
        <w:t>Base Sweden</w:t>
      </w:r>
      <w:r w:rsidRPr="002201D0">
        <w:rPr>
          <w:b/>
          <w:sz w:val="18"/>
          <w:szCs w:val="18"/>
        </w:rPr>
        <w:t xml:space="preserve">, 1995–2016. 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i/>
          <w:sz w:val="18"/>
          <w:szCs w:val="18"/>
        </w:rPr>
        <w:lastRenderedPageBreak/>
        <w:t xml:space="preserve">Note: The years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1995-2001 include only the Uppsala-</w:t>
      </w:r>
      <w:proofErr w:type="spellStart"/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Örebro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Health Care Region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(approximately 2 million inhabitants, 20 % of the Swedish population)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Squamous cell ca</w:t>
      </w:r>
      <w:r w:rsidR="005C75D0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rcinoma: 1-year: 37% (1995) – 43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% (2016); 2-year: 21% (1995) – 30% (2016); 5-year: 17% (1995) – 19% (2016)</w:t>
      </w:r>
    </w:p>
    <w:p w:rsidR="00A56673" w:rsidRPr="00C24513" w:rsidRDefault="00A56673" w:rsidP="00A56673">
      <w:pPr>
        <w:spacing w:line="276" w:lineRule="auto"/>
        <w:contextualSpacing/>
        <w:rPr>
          <w:i/>
          <w:sz w:val="18"/>
          <w:szCs w:val="18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Adenocarcinoma: 1-year: 36% (1995) – 55% (2016); 2-year: 22% (1995) – 39% (2016); 5-year: 14% (1995) – 25% (2016)</w:t>
      </w:r>
    </w:p>
    <w:p w:rsidR="00A56673" w:rsidRPr="00706854" w:rsidRDefault="00A56673" w:rsidP="00A56673">
      <w:pPr>
        <w:spacing w:after="0" w:line="240" w:lineRule="auto"/>
        <w:rPr>
          <w:b/>
          <w:sz w:val="18"/>
        </w:rPr>
      </w:pPr>
    </w:p>
    <w:p w:rsidR="00A56673" w:rsidRDefault="00A56673" w:rsidP="00A56673">
      <w:pPr>
        <w:spacing w:line="276" w:lineRule="auto"/>
        <w:jc w:val="center"/>
        <w:rPr>
          <w:b/>
          <w:sz w:val="18"/>
          <w:szCs w:val="18"/>
        </w:rPr>
      </w:pPr>
    </w:p>
    <w:p w:rsidR="00A56673" w:rsidRDefault="00A56673" w:rsidP="00A56673">
      <w:pPr>
        <w:spacing w:line="276" w:lineRule="auto"/>
        <w:rPr>
          <w:sz w:val="18"/>
          <w:szCs w:val="18"/>
        </w:rPr>
      </w:pPr>
      <w:r>
        <w:rPr>
          <w:b/>
          <w:sz w:val="18"/>
          <w:szCs w:val="18"/>
        </w:rPr>
        <w:t>Supplementary Figure 6</w:t>
      </w:r>
      <w:r w:rsidRPr="002201D0">
        <w:rPr>
          <w:b/>
          <w:sz w:val="18"/>
          <w:szCs w:val="18"/>
        </w:rPr>
        <w:t>. Age-standardised on</w:t>
      </w:r>
      <w:r w:rsidRPr="007762AF">
        <w:rPr>
          <w:b/>
          <w:sz w:val="18"/>
          <w:szCs w:val="18"/>
        </w:rPr>
        <w:t>e-, two- and five-year relative survival estimates over cale</w:t>
      </w:r>
      <w:r>
        <w:rPr>
          <w:b/>
          <w:sz w:val="18"/>
          <w:szCs w:val="18"/>
        </w:rPr>
        <w:t>ndar years by smoking status in</w:t>
      </w:r>
      <w:r w:rsidRPr="007762AF">
        <w:rPr>
          <w:b/>
          <w:sz w:val="18"/>
          <w:szCs w:val="18"/>
        </w:rPr>
        <w:t xml:space="preserve"> patients diagnosed with adenocarcinoma or squamous cell carcinoma of the lung, </w:t>
      </w:r>
      <w:r w:rsidRPr="007762AF">
        <w:rPr>
          <w:b/>
          <w:bCs/>
          <w:color w:val="000000"/>
          <w:sz w:val="18"/>
          <w:szCs w:val="18"/>
        </w:rPr>
        <w:t>Lung Cancer Data</w:t>
      </w:r>
      <w:r>
        <w:rPr>
          <w:b/>
          <w:bCs/>
          <w:color w:val="000000"/>
          <w:sz w:val="18"/>
          <w:szCs w:val="18"/>
        </w:rPr>
        <w:t xml:space="preserve"> </w:t>
      </w:r>
      <w:r w:rsidRPr="007762AF">
        <w:rPr>
          <w:b/>
          <w:bCs/>
          <w:color w:val="000000"/>
          <w:sz w:val="18"/>
          <w:szCs w:val="18"/>
        </w:rPr>
        <w:t>Base Sweden</w:t>
      </w:r>
      <w:r w:rsidRPr="007762AF">
        <w:rPr>
          <w:b/>
          <w:sz w:val="18"/>
          <w:szCs w:val="18"/>
        </w:rPr>
        <w:t xml:space="preserve">, 1995–2016. </w:t>
      </w:r>
    </w:p>
    <w:p w:rsidR="00A56673" w:rsidRPr="008216A0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i/>
          <w:sz w:val="18"/>
          <w:szCs w:val="18"/>
        </w:rPr>
        <w:t xml:space="preserve">Note: The years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1995-2001 include only the Uppsala-</w:t>
      </w:r>
      <w:proofErr w:type="spellStart"/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Örebro</w:t>
      </w:r>
      <w:proofErr w:type="spellEnd"/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H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ealth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 C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are </w:t>
      </w:r>
      <w:r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R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 xml:space="preserve">egion (approximately 2 million inhabitants, 20 % of the Swedish population). </w:t>
      </w:r>
      <w:r>
        <w:rPr>
          <w:rFonts w:ascii="Calibri" w:eastAsia="Times New Roman" w:hAnsi="Calibri" w:cs="Calibri"/>
          <w:i/>
          <w:color w:val="000000"/>
          <w:sz w:val="18"/>
          <w:szCs w:val="16"/>
          <w:lang w:val="en-US"/>
        </w:rPr>
        <w:t>Smoking history</w:t>
      </w:r>
      <w:r w:rsidRPr="00C24513">
        <w:rPr>
          <w:rFonts w:ascii="Calibri" w:eastAsia="Times New Roman" w:hAnsi="Calibri" w:cs="Calibri"/>
          <w:i/>
          <w:color w:val="000000"/>
          <w:sz w:val="18"/>
          <w:szCs w:val="16"/>
          <w:lang w:val="en-US"/>
        </w:rPr>
        <w:t xml:space="preserve"> is based on self-reported information from the patient to the physician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6"/>
          <w:lang w:val="en-US"/>
        </w:rPr>
        <w:t xml:space="preserve">Current smokers: </w:t>
      </w: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1-year: 28% (1995) – 49% (2016); 2-year: 18% (1995) – 34% (2016); 5-year: 12% (1995) – 22% (2016)</w:t>
      </w:r>
    </w:p>
    <w:p w:rsidR="00A56673" w:rsidRPr="00C24513" w:rsidRDefault="00A56673" w:rsidP="00A56673">
      <w:pPr>
        <w:spacing w:line="276" w:lineRule="auto"/>
        <w:contextualSpacing/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Former smokers: 1-year: 48% (1995) – 55% (2016); 2-year: 25% (1995) – 37% (2016); 5-year: 14% (1995) – 23% (2016)</w:t>
      </w:r>
    </w:p>
    <w:p w:rsidR="00A56673" w:rsidRPr="00C24513" w:rsidRDefault="00A56673" w:rsidP="00A56673">
      <w:pPr>
        <w:spacing w:line="276" w:lineRule="auto"/>
        <w:contextualSpacing/>
        <w:rPr>
          <w:b/>
          <w:i/>
          <w:sz w:val="18"/>
          <w:szCs w:val="18"/>
        </w:rPr>
      </w:pPr>
      <w:r w:rsidRPr="00C24513">
        <w:rPr>
          <w:rFonts w:ascii="Calibri" w:eastAsia="Times New Roman" w:hAnsi="Calibri" w:cs="Calibri"/>
          <w:i/>
          <w:color w:val="000000"/>
          <w:sz w:val="18"/>
          <w:szCs w:val="18"/>
          <w:lang w:val="en-US"/>
        </w:rPr>
        <w:t>Never-smokers: 1-year: 48% (1995) – 64% (2016); 2-year: 20% (1995) – 47% (2016); 5-year: 16% (1995) – 31% (2016)</w:t>
      </w:r>
    </w:p>
    <w:p w:rsidR="00A56673" w:rsidRDefault="00A56673" w:rsidP="00A56673"/>
    <w:p w:rsidR="00A56673" w:rsidRDefault="00A56673" w:rsidP="00A56673"/>
    <w:sectPr w:rsidR="00A566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1F5F"/>
    <w:multiLevelType w:val="hybridMultilevel"/>
    <w:tmpl w:val="7CC61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D60C6"/>
    <w:multiLevelType w:val="hybridMultilevel"/>
    <w:tmpl w:val="D076DE28"/>
    <w:lvl w:ilvl="0" w:tplc="27AC40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E39E3"/>
    <w:multiLevelType w:val="hybridMultilevel"/>
    <w:tmpl w:val="D8282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26AA8"/>
    <w:multiLevelType w:val="hybridMultilevel"/>
    <w:tmpl w:val="FAC88ECC"/>
    <w:lvl w:ilvl="0" w:tplc="27AC40D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0196"/>
    <w:multiLevelType w:val="hybridMultilevel"/>
    <w:tmpl w:val="98EAC8E6"/>
    <w:lvl w:ilvl="0" w:tplc="706691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SwtDQ3NDQxMze3tDRQ0lEKTi0uzszPAykwrAUAJ5QrACwAAAA="/>
  </w:docVars>
  <w:rsids>
    <w:rsidRoot w:val="00A56673"/>
    <w:rsid w:val="000F190A"/>
    <w:rsid w:val="002634B1"/>
    <w:rsid w:val="005B5724"/>
    <w:rsid w:val="005C75D0"/>
    <w:rsid w:val="00A56673"/>
    <w:rsid w:val="00AD7EF4"/>
    <w:rsid w:val="00FB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0A22221A-1378-42B2-A993-9C5C5922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6673"/>
    <w:rPr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6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6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67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566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566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67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67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56673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Hyperkobling">
    <w:name w:val="Hyperlink"/>
    <w:basedOn w:val="Standardskriftforavsnitt"/>
    <w:uiPriority w:val="99"/>
    <w:unhideWhenUsed/>
    <w:rsid w:val="00A56673"/>
    <w:rPr>
      <w:color w:val="0563C1" w:themeColor="hyperlink"/>
      <w:u w:val="single"/>
    </w:rPr>
  </w:style>
  <w:style w:type="paragraph" w:customStyle="1" w:styleId="EndNoteBibliographyTitle">
    <w:name w:val="EndNote Bibliography Title"/>
    <w:basedOn w:val="Normal"/>
    <w:link w:val="EndNoteBibliographyTitleChar"/>
    <w:rsid w:val="00A56673"/>
    <w:pPr>
      <w:spacing w:after="0"/>
      <w:jc w:val="center"/>
    </w:pPr>
    <w:rPr>
      <w:rFonts w:ascii="Calibri" w:hAnsi="Calibri" w:cs="Calibri"/>
      <w:noProof/>
      <w:lang w:val="en-US"/>
    </w:rPr>
  </w:style>
  <w:style w:type="character" w:customStyle="1" w:styleId="EndNoteBibliographyTitleChar">
    <w:name w:val="EndNote Bibliography Title Char"/>
    <w:basedOn w:val="Standardskriftforavsnitt"/>
    <w:link w:val="EndNoteBibliographyTitle"/>
    <w:rsid w:val="00A5667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A56673"/>
    <w:pPr>
      <w:spacing w:line="240" w:lineRule="auto"/>
    </w:pPr>
    <w:rPr>
      <w:rFonts w:ascii="Calibri" w:hAnsi="Calibri" w:cs="Calibri"/>
      <w:noProof/>
      <w:lang w:val="en-US"/>
    </w:rPr>
  </w:style>
  <w:style w:type="character" w:customStyle="1" w:styleId="EndNoteBibliographyChar">
    <w:name w:val="EndNote Bibliography Char"/>
    <w:basedOn w:val="Standardskriftforavsnitt"/>
    <w:link w:val="EndNoteBibliography"/>
    <w:rsid w:val="00A56673"/>
    <w:rPr>
      <w:rFonts w:ascii="Calibri" w:hAnsi="Calibri" w:cs="Calibri"/>
      <w:noProof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5667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5667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56673"/>
    <w:rPr>
      <w:sz w:val="20"/>
      <w:szCs w:val="20"/>
      <w:lang w:val="en-GB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6673"/>
    <w:rPr>
      <w:rFonts w:ascii="Segoe UI" w:hAnsi="Segoe UI" w:cs="Segoe UI"/>
      <w:sz w:val="18"/>
      <w:szCs w:val="18"/>
      <w:lang w:val="en-GB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66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eavsnitt">
    <w:name w:val="List Paragraph"/>
    <w:basedOn w:val="Normal"/>
    <w:uiPriority w:val="34"/>
    <w:qFormat/>
    <w:rsid w:val="00A56673"/>
    <w:pPr>
      <w:ind w:left="720"/>
      <w:contextualSpacing/>
    </w:p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56673"/>
    <w:rPr>
      <w:b/>
      <w:bCs/>
      <w:sz w:val="20"/>
      <w:szCs w:val="20"/>
      <w:lang w:val="en-GB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56673"/>
    <w:rPr>
      <w:b/>
      <w:bCs/>
    </w:rPr>
  </w:style>
  <w:style w:type="paragraph" w:styleId="Topptekst">
    <w:name w:val="header"/>
    <w:basedOn w:val="Normal"/>
    <w:link w:val="TopptekstTegn"/>
    <w:uiPriority w:val="99"/>
    <w:unhideWhenUsed/>
    <w:rsid w:val="00A56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56673"/>
    <w:rPr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566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56673"/>
    <w:rPr>
      <w:lang w:val="en-GB"/>
    </w:rPr>
  </w:style>
  <w:style w:type="table" w:styleId="Tabellrutenett">
    <w:name w:val="Table Grid"/>
    <w:basedOn w:val="Vanligtabell"/>
    <w:rsid w:val="00A56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5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A56673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A5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A56673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A566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A566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0">
    <w:name w:val="xl70"/>
    <w:basedOn w:val="Normal"/>
    <w:rsid w:val="00A5667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63">
    <w:name w:val="xl63"/>
    <w:basedOn w:val="Normal"/>
    <w:rsid w:val="00A5667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A5667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A56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543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Löfling</dc:creator>
  <cp:keywords/>
  <dc:description/>
  <cp:lastModifiedBy>Lukas Löfling</cp:lastModifiedBy>
  <cp:revision>4</cp:revision>
  <dcterms:created xsi:type="dcterms:W3CDTF">2021-04-09T09:20:00Z</dcterms:created>
  <dcterms:modified xsi:type="dcterms:W3CDTF">2021-11-11T10:22:00Z</dcterms:modified>
</cp:coreProperties>
</file>