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771" w:rsidRPr="007E37BB" w:rsidRDefault="007E37BB" w:rsidP="007E37BB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E37B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Supplementary material nr. 3: </w:t>
      </w:r>
      <w:r w:rsidR="00ED3771" w:rsidRPr="007E37B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Response </w:t>
      </w:r>
      <w:r w:rsidRPr="007E37BB">
        <w:rPr>
          <w:rFonts w:ascii="Times New Roman" w:hAnsi="Times New Roman" w:cs="Times New Roman"/>
          <w:b/>
          <w:bCs/>
          <w:sz w:val="28"/>
          <w:szCs w:val="28"/>
          <w:lang w:val="en-US"/>
        </w:rPr>
        <w:t>and p</w:t>
      </w:r>
      <w:r w:rsidR="00F90C1E" w:rsidRPr="007E37BB">
        <w:rPr>
          <w:rFonts w:ascii="Times New Roman" w:hAnsi="Times New Roman" w:cs="Times New Roman"/>
          <w:b/>
          <w:bCs/>
          <w:sz w:val="28"/>
          <w:szCs w:val="28"/>
          <w:lang w:val="en-US"/>
        </w:rPr>
        <w:t>rogression</w:t>
      </w:r>
      <w:r w:rsidRPr="007E37BB"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 w:rsidR="00F90C1E" w:rsidRPr="007E37B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free survival </w:t>
      </w:r>
    </w:p>
    <w:p w:rsidR="00F34E1B" w:rsidRDefault="00EC3F2D" w:rsidP="007E37BB">
      <w:pPr>
        <w:spacing w:line="48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C3F2D">
        <w:rPr>
          <w:rFonts w:ascii="Times New Roman" w:hAnsi="Times New Roman" w:cs="Times New Roman"/>
          <w:bCs/>
          <w:sz w:val="24"/>
          <w:szCs w:val="24"/>
          <w:lang w:val="en-US"/>
        </w:rPr>
        <w:t>We</w:t>
      </w:r>
      <w:r w:rsidR="00AE6B1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here present </w:t>
      </w:r>
      <w:r w:rsidR="008E0C0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</w:t>
      </w:r>
      <w:r w:rsidR="00AE6B12">
        <w:rPr>
          <w:rFonts w:ascii="Times New Roman" w:hAnsi="Times New Roman" w:cs="Times New Roman"/>
          <w:bCs/>
          <w:sz w:val="24"/>
          <w:szCs w:val="24"/>
          <w:lang w:val="en-US"/>
        </w:rPr>
        <w:t>results o</w:t>
      </w:r>
      <w:r w:rsidRPr="00EC3F2D">
        <w:rPr>
          <w:rFonts w:ascii="Times New Roman" w:hAnsi="Times New Roman" w:cs="Times New Roman"/>
          <w:bCs/>
          <w:sz w:val="24"/>
          <w:szCs w:val="24"/>
          <w:lang w:val="en-US"/>
        </w:rPr>
        <w:t>f the response evaluation</w:t>
      </w:r>
      <w:r w:rsidR="00AE6B1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90C1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including the </w:t>
      </w:r>
      <w:r w:rsidR="00AE6B1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disease control rates of our first line and second line cohort. </w:t>
      </w:r>
      <w:r w:rsidR="00F226F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Patients who deceased before radiologic evaluation were included </w:t>
      </w:r>
      <w:r w:rsidR="00F90C1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as </w:t>
      </w:r>
      <w:r w:rsidR="008E0C0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having </w:t>
      </w:r>
      <w:r w:rsidR="00F226F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progressive disease when they were considered dying due to cancer progression by a clinician, even without radiologic confirmation. </w:t>
      </w:r>
    </w:p>
    <w:p w:rsidR="00443990" w:rsidRDefault="00F34E1B" w:rsidP="007E37BB">
      <w:pPr>
        <w:spacing w:line="480" w:lineRule="auto"/>
        <w:ind w:firstLine="709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We </w:t>
      </w:r>
      <w:r w:rsidR="008D1DB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analyzed also </w:t>
      </w:r>
      <w:r w:rsidR="008E0C0F">
        <w:rPr>
          <w:rFonts w:ascii="Times New Roman" w:hAnsi="Times New Roman" w:cs="Times New Roman"/>
          <w:bCs/>
          <w:sz w:val="24"/>
          <w:szCs w:val="24"/>
          <w:lang w:val="en-US"/>
        </w:rPr>
        <w:t>PFS</w:t>
      </w:r>
      <w:bookmarkStart w:id="0" w:name="_GoBack"/>
      <w:bookmarkEnd w:id="0"/>
      <w:r w:rsidR="008E0C0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E6B12">
        <w:rPr>
          <w:rFonts w:ascii="Times New Roman" w:hAnsi="Times New Roman" w:cs="Times New Roman"/>
          <w:bCs/>
          <w:sz w:val="24"/>
          <w:szCs w:val="24"/>
          <w:lang w:val="en-US"/>
        </w:rPr>
        <w:t>for both cohorts and present results of subgroups of patients who had significant</w:t>
      </w:r>
      <w:r w:rsidR="00F61F4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differences in median PFS</w:t>
      </w:r>
      <w:r w:rsidR="008D1DB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(M</w:t>
      </w:r>
      <w:r w:rsidR="00443990">
        <w:rPr>
          <w:rFonts w:ascii="Times New Roman" w:hAnsi="Times New Roman" w:cs="Times New Roman"/>
          <w:bCs/>
          <w:sz w:val="24"/>
          <w:szCs w:val="24"/>
          <w:lang w:val="en-US"/>
        </w:rPr>
        <w:t>PFS)</w:t>
      </w:r>
      <w:r w:rsidR="00F61F4A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F34E1B" w:rsidRDefault="008D1DB4" w:rsidP="007E37BB">
      <w:pPr>
        <w:spacing w:line="480" w:lineRule="auto"/>
        <w:ind w:firstLine="709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In our first line cohort, M</w:t>
      </w:r>
      <w:r w:rsidR="0044399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PFS was significant longer for patients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in</w:t>
      </w:r>
      <w:r w:rsidR="0044399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stage III vs stage IV and in patients without vs patients with brain metastases. </w:t>
      </w:r>
      <w:r w:rsidR="008148FC">
        <w:rPr>
          <w:rFonts w:ascii="Times New Roman" w:hAnsi="Times New Roman" w:cs="Times New Roman"/>
          <w:bCs/>
          <w:sz w:val="24"/>
          <w:szCs w:val="24"/>
          <w:lang w:val="en-US"/>
        </w:rPr>
        <w:t>No differences were found between patients in ECOG PS 0-1 vs ECOG PS 2-3, between patients with vs patients without liver and/or bone metastases, between patients in different age groups (&lt;65, 65-75, &gt;75 years)</w:t>
      </w:r>
      <w:r w:rsidR="00CC3C0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between patients with non-squamous vs </w:t>
      </w:r>
      <w:r w:rsidR="006A6D8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patients with </w:t>
      </w:r>
      <w:r w:rsidR="00CC3C0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squamous histologies </w:t>
      </w:r>
      <w:r w:rsidR="008148FC">
        <w:rPr>
          <w:rFonts w:ascii="Times New Roman" w:hAnsi="Times New Roman" w:cs="Times New Roman"/>
          <w:bCs/>
          <w:sz w:val="24"/>
          <w:szCs w:val="24"/>
          <w:lang w:val="en-US"/>
        </w:rPr>
        <w:t>and between men and women.</w:t>
      </w:r>
      <w:r w:rsidR="00F61F4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AE6B1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</w:p>
    <w:p w:rsidR="00443990" w:rsidRDefault="008148FC" w:rsidP="007C6E06">
      <w:pPr>
        <w:spacing w:line="480" w:lineRule="auto"/>
        <w:ind w:firstLine="709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In our second line cohort </w:t>
      </w:r>
      <w:r w:rsidR="008D1DB4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="00CC3C0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PFS was significant longer in patients with ECOG PS 0-1 vs ECOG PS 2-3 and for patients without vs patients with liver and/or bone metastases. No significant differences were found between patients with or without brain metastases, between patients in different age groups (&lt;65, 65-75, &gt;75 years), </w:t>
      </w:r>
      <w:r w:rsidR="001800D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between patients with </w:t>
      </w:r>
      <w:r w:rsidR="00CB05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PD-L1 TPS </w:t>
      </w:r>
      <w:r w:rsidR="001800D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1-49% vs ≥50%, </w:t>
      </w:r>
      <w:r w:rsidR="00CC3C06">
        <w:rPr>
          <w:rFonts w:ascii="Times New Roman" w:hAnsi="Times New Roman" w:cs="Times New Roman"/>
          <w:bCs/>
          <w:sz w:val="24"/>
          <w:szCs w:val="24"/>
          <w:lang w:val="en-US"/>
        </w:rPr>
        <w:t>between patients with non-squamous vs squamous histologies and between men and women.</w:t>
      </w:r>
    </w:p>
    <w:p w:rsidR="008D1DB4" w:rsidRDefault="008D1DB4" w:rsidP="007C6E06">
      <w:pPr>
        <w:spacing w:line="480" w:lineRule="auto"/>
        <w:ind w:firstLine="709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276"/>
      </w:tblGrid>
      <w:tr w:rsidR="00F61F4A" w:rsidRPr="00F842C9" w:rsidTr="00123CC7">
        <w:trPr>
          <w:trHeight w:val="562"/>
        </w:trPr>
        <w:tc>
          <w:tcPr>
            <w:tcW w:w="6204" w:type="dxa"/>
            <w:gridSpan w:val="3"/>
          </w:tcPr>
          <w:p w:rsidR="00F61F4A" w:rsidRPr="00783EF7" w:rsidRDefault="00F61F4A" w:rsidP="007C6E0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83E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Best overall response</w:t>
            </w:r>
          </w:p>
          <w:p w:rsidR="00F61F4A" w:rsidRDefault="00123CC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</w:t>
            </w:r>
            <w:r w:rsidR="00F61F4A" w:rsidRPr="00783E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rst line cohort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Complete response</w:t>
            </w:r>
          </w:p>
        </w:tc>
        <w:tc>
          <w:tcPr>
            <w:tcW w:w="1276" w:type="dxa"/>
          </w:tcPr>
          <w:p w:rsidR="00783EF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 (2%)</w:t>
            </w: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Partial response</w:t>
            </w:r>
          </w:p>
        </w:tc>
        <w:tc>
          <w:tcPr>
            <w:tcW w:w="1276" w:type="dxa"/>
          </w:tcPr>
          <w:p w:rsidR="00783EF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27 (52%) </w:t>
            </w: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Stable disease</w:t>
            </w:r>
          </w:p>
        </w:tc>
        <w:tc>
          <w:tcPr>
            <w:tcW w:w="1276" w:type="dxa"/>
          </w:tcPr>
          <w:p w:rsidR="00783EF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 (4%)</w:t>
            </w: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Progression </w:t>
            </w:r>
          </w:p>
        </w:tc>
        <w:tc>
          <w:tcPr>
            <w:tcW w:w="1276" w:type="dxa"/>
          </w:tcPr>
          <w:p w:rsidR="00783EF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21 (40%)</w:t>
            </w: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Missing</w:t>
            </w:r>
          </w:p>
        </w:tc>
        <w:tc>
          <w:tcPr>
            <w:tcW w:w="1276" w:type="dxa"/>
          </w:tcPr>
          <w:p w:rsidR="00783EF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 (2%)</w:t>
            </w: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83EF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83EF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83EF7" w:rsidTr="00123CC7">
        <w:tc>
          <w:tcPr>
            <w:tcW w:w="2660" w:type="dxa"/>
          </w:tcPr>
          <w:p w:rsidR="00783EF7" w:rsidRDefault="00783EF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783EF7" w:rsidRPr="00123CC7" w:rsidRDefault="00783EF7" w:rsidP="007C6E0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23C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Disease control rate</w:t>
            </w:r>
          </w:p>
        </w:tc>
        <w:tc>
          <w:tcPr>
            <w:tcW w:w="1276" w:type="dxa"/>
          </w:tcPr>
          <w:p w:rsidR="00783EF7" w:rsidRPr="00123CC7" w:rsidRDefault="00783EF7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23C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58%</w:t>
            </w:r>
          </w:p>
        </w:tc>
      </w:tr>
    </w:tbl>
    <w:p w:rsidR="00F61F4A" w:rsidRDefault="00F61F4A" w:rsidP="007C6E06">
      <w:pPr>
        <w:spacing w:line="48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276"/>
      </w:tblGrid>
      <w:tr w:rsidR="00F61F4A" w:rsidRPr="00F842C9" w:rsidTr="00123CC7">
        <w:trPr>
          <w:trHeight w:val="601"/>
        </w:trPr>
        <w:tc>
          <w:tcPr>
            <w:tcW w:w="6204" w:type="dxa"/>
            <w:gridSpan w:val="3"/>
          </w:tcPr>
          <w:p w:rsidR="00F61F4A" w:rsidRPr="00783EF7" w:rsidRDefault="00F61F4A" w:rsidP="007C6E0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83E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Best overall response</w:t>
            </w:r>
          </w:p>
          <w:p w:rsidR="00F61F4A" w:rsidRDefault="00123CC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="00F61F4A" w:rsidRPr="00783E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econd line cohort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Complete response</w:t>
            </w: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Partial response</w:t>
            </w: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23 (22%)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Stable disease</w:t>
            </w: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 (19%)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Progression </w:t>
            </w: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61 (58%)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Missing</w:t>
            </w: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 (1%)</w:t>
            </w: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1F4A" w:rsidTr="00123CC7">
        <w:tc>
          <w:tcPr>
            <w:tcW w:w="2660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61F4A" w:rsidRPr="00123CC7" w:rsidRDefault="00F61F4A" w:rsidP="007C6E0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23C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Disease control rate</w:t>
            </w:r>
          </w:p>
        </w:tc>
        <w:tc>
          <w:tcPr>
            <w:tcW w:w="1276" w:type="dxa"/>
          </w:tcPr>
          <w:p w:rsidR="00F61F4A" w:rsidRPr="00123CC7" w:rsidRDefault="00F61F4A" w:rsidP="007C6E06">
            <w:pPr>
              <w:spacing w:line="48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23C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="00123C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123C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%</w:t>
            </w:r>
          </w:p>
        </w:tc>
      </w:tr>
    </w:tbl>
    <w:p w:rsidR="00F61F4A" w:rsidRDefault="00F61F4A" w:rsidP="007C6E06">
      <w:pPr>
        <w:spacing w:line="48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C60B64" w:rsidRDefault="00C60B64" w:rsidP="007C6E06">
      <w:pPr>
        <w:spacing w:line="48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ellrutenett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808"/>
        <w:gridCol w:w="1027"/>
        <w:gridCol w:w="1134"/>
      </w:tblGrid>
      <w:tr w:rsidR="0056178B" w:rsidTr="00600256">
        <w:trPr>
          <w:trHeight w:val="562"/>
        </w:trPr>
        <w:tc>
          <w:tcPr>
            <w:tcW w:w="2235" w:type="dxa"/>
          </w:tcPr>
          <w:p w:rsidR="0056178B" w:rsidRP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61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Progression</w:t>
            </w:r>
            <w:r w:rsidR="00BE4C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F61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free survival </w:t>
            </w:r>
          </w:p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61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First line cohort</w:t>
            </w:r>
          </w:p>
        </w:tc>
        <w:tc>
          <w:tcPr>
            <w:tcW w:w="1701" w:type="dxa"/>
          </w:tcPr>
          <w:p w:rsidR="0056178B" w:rsidRPr="00286C61" w:rsidRDefault="0056178B" w:rsidP="007C6E06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</w:pPr>
            <w:r w:rsidRPr="00286C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Median </w:t>
            </w:r>
            <w:r w:rsidR="008E0C0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PFS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  <w:t>1</w:t>
            </w:r>
          </w:p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86C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(95% CI)</w:t>
            </w:r>
          </w:p>
        </w:tc>
        <w:tc>
          <w:tcPr>
            <w:tcW w:w="1027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Log Rank</w:t>
            </w:r>
          </w:p>
        </w:tc>
        <w:tc>
          <w:tcPr>
            <w:tcW w:w="1134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Breslow</w:t>
            </w:r>
          </w:p>
        </w:tc>
      </w:tr>
      <w:tr w:rsidR="0056178B" w:rsidTr="00600256">
        <w:tc>
          <w:tcPr>
            <w:tcW w:w="2235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6178B" w:rsidTr="00600256">
        <w:tc>
          <w:tcPr>
            <w:tcW w:w="2235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All patients</w:t>
            </w:r>
          </w:p>
        </w:tc>
        <w:tc>
          <w:tcPr>
            <w:tcW w:w="1701" w:type="dxa"/>
          </w:tcPr>
          <w:p w:rsidR="0056178B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7.0 (0.0; 14.1)</w:t>
            </w:r>
          </w:p>
        </w:tc>
        <w:tc>
          <w:tcPr>
            <w:tcW w:w="1027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6178B" w:rsidTr="00600256">
        <w:tc>
          <w:tcPr>
            <w:tcW w:w="2235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Stage of disease</w:t>
            </w:r>
          </w:p>
        </w:tc>
        <w:tc>
          <w:tcPr>
            <w:tcW w:w="1701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808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Not reached</w:t>
            </w:r>
          </w:p>
        </w:tc>
        <w:tc>
          <w:tcPr>
            <w:tcW w:w="1027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6178B" w:rsidTr="00600256">
        <w:tc>
          <w:tcPr>
            <w:tcW w:w="2235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1808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6.0 (2.3; 9.7)</w:t>
            </w:r>
          </w:p>
        </w:tc>
        <w:tc>
          <w:tcPr>
            <w:tcW w:w="1027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134" w:type="dxa"/>
          </w:tcPr>
          <w:p w:rsidR="0056178B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0.009</w:t>
            </w:r>
          </w:p>
        </w:tc>
      </w:tr>
      <w:tr w:rsidR="00F842C9" w:rsidTr="00600256">
        <w:tc>
          <w:tcPr>
            <w:tcW w:w="2235" w:type="dxa"/>
          </w:tcPr>
          <w:p w:rsidR="00F842C9" w:rsidRPr="00286C61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6178B" w:rsidTr="00600256">
        <w:tc>
          <w:tcPr>
            <w:tcW w:w="2235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Brain metastases</w:t>
            </w:r>
          </w:p>
        </w:tc>
        <w:tc>
          <w:tcPr>
            <w:tcW w:w="1701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Yes</w:t>
            </w:r>
          </w:p>
        </w:tc>
        <w:tc>
          <w:tcPr>
            <w:tcW w:w="1808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3.0 (1.8; 4.1)</w:t>
            </w:r>
          </w:p>
        </w:tc>
        <w:tc>
          <w:tcPr>
            <w:tcW w:w="1027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6178B" w:rsidTr="00600256">
        <w:tc>
          <w:tcPr>
            <w:tcW w:w="2235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No </w:t>
            </w:r>
          </w:p>
        </w:tc>
        <w:tc>
          <w:tcPr>
            <w:tcW w:w="1808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14.0 (3.5; 24.5)</w:t>
            </w:r>
          </w:p>
        </w:tc>
        <w:tc>
          <w:tcPr>
            <w:tcW w:w="1027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134" w:type="dxa"/>
          </w:tcPr>
          <w:p w:rsidR="0056178B" w:rsidRPr="00286C61" w:rsidRDefault="0056178B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0.012</w:t>
            </w:r>
          </w:p>
        </w:tc>
      </w:tr>
      <w:tr w:rsidR="00F842C9" w:rsidTr="00600256">
        <w:tc>
          <w:tcPr>
            <w:tcW w:w="2235" w:type="dxa"/>
          </w:tcPr>
          <w:p w:rsidR="00F842C9" w:rsidRPr="00286C61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842C9" w:rsidRDefault="00F842C9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E0C0F" w:rsidTr="00600256">
        <w:tc>
          <w:tcPr>
            <w:tcW w:w="2235" w:type="dxa"/>
          </w:tcPr>
          <w:p w:rsidR="008E0C0F" w:rsidRPr="00286C61" w:rsidRDefault="008E0C0F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Theme="minorEastAsia" w:hAnsiTheme="minorEastAsia" w:cs="Times New Roman"/>
                <w:bCs/>
                <w:sz w:val="24"/>
                <w:szCs w:val="24"/>
                <w:lang w:val="en-US"/>
              </w:rPr>
              <w:t>Months</w:t>
            </w:r>
          </w:p>
        </w:tc>
        <w:tc>
          <w:tcPr>
            <w:tcW w:w="1701" w:type="dxa"/>
          </w:tcPr>
          <w:p w:rsidR="008E0C0F" w:rsidRDefault="008E0C0F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8E0C0F" w:rsidRDefault="008E0C0F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</w:tcPr>
          <w:p w:rsidR="008E0C0F" w:rsidRDefault="008E0C0F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8E0C0F" w:rsidRDefault="008E0C0F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F34E1B" w:rsidRDefault="00F34E1B" w:rsidP="007C6E0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235"/>
        <w:gridCol w:w="1701"/>
        <w:gridCol w:w="1842"/>
        <w:gridCol w:w="993"/>
        <w:gridCol w:w="1134"/>
      </w:tblGrid>
      <w:tr w:rsidR="00F61F4A" w:rsidTr="0007491F">
        <w:tc>
          <w:tcPr>
            <w:tcW w:w="2235" w:type="dxa"/>
          </w:tcPr>
          <w:p w:rsidR="00F61F4A" w:rsidRPr="00F61F4A" w:rsidRDefault="00530637" w:rsidP="007C6E0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Progression-</w:t>
            </w:r>
            <w:r w:rsidR="00F61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free </w:t>
            </w:r>
            <w:r w:rsidR="00F61F4A" w:rsidRPr="00F61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survival</w:t>
            </w:r>
            <w:r w:rsidR="00BE4C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Second </w:t>
            </w:r>
            <w:r w:rsidRPr="00F61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line cohort</w:t>
            </w: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123CC7" w:rsidRPr="00286C61" w:rsidRDefault="00123CC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</w:pPr>
            <w:r w:rsidRPr="00286C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Median </w:t>
            </w:r>
            <w:r w:rsidR="008E0C0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PFS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  <w:t>1</w:t>
            </w:r>
          </w:p>
          <w:p w:rsidR="00F61F4A" w:rsidRPr="00286C61" w:rsidRDefault="00123CC7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86C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(95% CI) </w:t>
            </w:r>
          </w:p>
        </w:tc>
        <w:tc>
          <w:tcPr>
            <w:tcW w:w="993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Log</w:t>
            </w:r>
          </w:p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Rank</w:t>
            </w: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Breslow</w:t>
            </w:r>
          </w:p>
        </w:tc>
      </w:tr>
      <w:tr w:rsidR="00F61F4A" w:rsidTr="0007491F">
        <w:tc>
          <w:tcPr>
            <w:tcW w:w="2235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F61F4A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1F4A" w:rsidTr="0007491F">
        <w:tc>
          <w:tcPr>
            <w:tcW w:w="2235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All patients </w:t>
            </w: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2.0 (1.5; 2.5)</w:t>
            </w: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1F4A" w:rsidTr="0007491F">
        <w:tc>
          <w:tcPr>
            <w:tcW w:w="2235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Performance status</w:t>
            </w: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ECOG PS 0-1</w:t>
            </w:r>
          </w:p>
        </w:tc>
        <w:tc>
          <w:tcPr>
            <w:tcW w:w="1842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3.0 (1.3; 4.7)</w:t>
            </w: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1F4A" w:rsidTr="0007491F">
        <w:tc>
          <w:tcPr>
            <w:tcW w:w="2235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ECOG PS 2-3</w:t>
            </w:r>
          </w:p>
        </w:tc>
        <w:tc>
          <w:tcPr>
            <w:tcW w:w="1842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2.0 (1.7; 2.3)</w:t>
            </w: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&lt;0.001</w:t>
            </w: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&lt; 0.001</w:t>
            </w:r>
          </w:p>
        </w:tc>
      </w:tr>
      <w:tr w:rsidR="00F61F4A" w:rsidTr="0007491F">
        <w:tc>
          <w:tcPr>
            <w:tcW w:w="2235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Liver and/or bone metastases</w:t>
            </w: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Yes</w:t>
            </w:r>
          </w:p>
        </w:tc>
        <w:tc>
          <w:tcPr>
            <w:tcW w:w="1842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2.0 (1.6; 2.3)</w:t>
            </w: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1F4A" w:rsidTr="0007491F">
        <w:tc>
          <w:tcPr>
            <w:tcW w:w="2235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1842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3.0 (1.9; 4.0)</w:t>
            </w: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0.009</w:t>
            </w: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0.088</w:t>
            </w:r>
          </w:p>
        </w:tc>
      </w:tr>
      <w:tr w:rsidR="00F61F4A" w:rsidTr="0007491F">
        <w:tc>
          <w:tcPr>
            <w:tcW w:w="2235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1F4A" w:rsidTr="0007491F">
        <w:trPr>
          <w:trHeight w:val="313"/>
        </w:trPr>
        <w:tc>
          <w:tcPr>
            <w:tcW w:w="2235" w:type="dxa"/>
          </w:tcPr>
          <w:p w:rsidR="00F61F4A" w:rsidRPr="00286C61" w:rsidRDefault="00F61F4A" w:rsidP="007C6E06">
            <w:pPr>
              <w:spacing w:line="480" w:lineRule="auto"/>
              <w:rPr>
                <w:rFonts w:asciiTheme="minorEastAsia" w:hAnsiTheme="minorEastAsia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Theme="minorEastAsia" w:hAnsiTheme="minorEastAsia" w:cs="Times New Roman"/>
                <w:bCs/>
                <w:sz w:val="24"/>
                <w:szCs w:val="24"/>
                <w:lang w:val="en-US"/>
              </w:rPr>
              <w:t>Months</w:t>
            </w:r>
          </w:p>
        </w:tc>
        <w:tc>
          <w:tcPr>
            <w:tcW w:w="1701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F61F4A" w:rsidRPr="00286C61" w:rsidRDefault="00F61F4A" w:rsidP="007C6E06">
            <w:pPr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286C61" w:rsidRDefault="00286C61" w:rsidP="007C6E0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86C61" w:rsidRDefault="00286C61" w:rsidP="007C6E0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86C61" w:rsidRDefault="00286C61" w:rsidP="007C6E0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286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8C8" w:rsidRDefault="004268C8" w:rsidP="004268C8">
      <w:r>
        <w:separator/>
      </w:r>
    </w:p>
  </w:endnote>
  <w:endnote w:type="continuationSeparator" w:id="0">
    <w:p w:rsidR="004268C8" w:rsidRDefault="004268C8" w:rsidP="0042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8C8" w:rsidRDefault="004268C8" w:rsidP="004268C8">
      <w:r>
        <w:separator/>
      </w:r>
    </w:p>
  </w:footnote>
  <w:footnote w:type="continuationSeparator" w:id="0">
    <w:p w:rsidR="004268C8" w:rsidRDefault="004268C8" w:rsidP="00426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80481"/>
    <w:multiLevelType w:val="hybridMultilevel"/>
    <w:tmpl w:val="C7B610A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EB"/>
    <w:rsid w:val="0007491F"/>
    <w:rsid w:val="0010138B"/>
    <w:rsid w:val="00121B31"/>
    <w:rsid w:val="00123CC7"/>
    <w:rsid w:val="001800DD"/>
    <w:rsid w:val="00235E0B"/>
    <w:rsid w:val="00286C61"/>
    <w:rsid w:val="0033300A"/>
    <w:rsid w:val="003E0DA2"/>
    <w:rsid w:val="004268C8"/>
    <w:rsid w:val="00443990"/>
    <w:rsid w:val="00530637"/>
    <w:rsid w:val="00556916"/>
    <w:rsid w:val="0056178B"/>
    <w:rsid w:val="00600256"/>
    <w:rsid w:val="006A6D86"/>
    <w:rsid w:val="006D7D40"/>
    <w:rsid w:val="00783EF7"/>
    <w:rsid w:val="007B1514"/>
    <w:rsid w:val="007C6E06"/>
    <w:rsid w:val="007E37BB"/>
    <w:rsid w:val="007F10CC"/>
    <w:rsid w:val="008148FC"/>
    <w:rsid w:val="008D1DB4"/>
    <w:rsid w:val="008E0C0F"/>
    <w:rsid w:val="009329EB"/>
    <w:rsid w:val="009A0D29"/>
    <w:rsid w:val="009B05BB"/>
    <w:rsid w:val="00AE6B12"/>
    <w:rsid w:val="00BE4C73"/>
    <w:rsid w:val="00C60B64"/>
    <w:rsid w:val="00CB0570"/>
    <w:rsid w:val="00CB313D"/>
    <w:rsid w:val="00CC3C06"/>
    <w:rsid w:val="00DA45DE"/>
    <w:rsid w:val="00E03A29"/>
    <w:rsid w:val="00EC3F2D"/>
    <w:rsid w:val="00ED3771"/>
    <w:rsid w:val="00EF2A99"/>
    <w:rsid w:val="00F20B15"/>
    <w:rsid w:val="00F226F3"/>
    <w:rsid w:val="00F34E1B"/>
    <w:rsid w:val="00F61F4A"/>
    <w:rsid w:val="00F842C9"/>
    <w:rsid w:val="00F90C1E"/>
    <w:rsid w:val="00FC652E"/>
    <w:rsid w:val="00FD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E3C0"/>
  <w15:chartTrackingRefBased/>
  <w15:docId w15:val="{92C00924-8AE6-4CBB-A9C8-62E5921F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7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color w:val="000000"/>
      <w:sz w:val="20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ED3771"/>
    <w:pPr>
      <w:ind w:left="720"/>
      <w:contextualSpacing/>
    </w:pPr>
  </w:style>
  <w:style w:type="table" w:styleId="Tabellrutenett">
    <w:name w:val="Table Grid"/>
    <w:basedOn w:val="Vanligtabell"/>
    <w:uiPriority w:val="59"/>
    <w:rsid w:val="00CB3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4268C8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268C8"/>
    <w:rPr>
      <w:rFonts w:ascii="Courier New" w:eastAsiaTheme="minorEastAsia" w:hAnsi="Courier New" w:cs="Courier New"/>
      <w:color w:val="000000"/>
      <w:sz w:val="20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4268C8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268C8"/>
    <w:rPr>
      <w:rFonts w:ascii="Courier New" w:eastAsiaTheme="minorEastAsia" w:hAnsi="Courier New" w:cs="Courier New"/>
      <w:color w:val="000000"/>
      <w:sz w:val="20"/>
      <w:szCs w:val="20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1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BB63AB2-32EC-498E-A073-85429A87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395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Helse Vest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Gärtner, Fabian</dc:creator>
  <cp:keywords/>
  <dc:description/>
  <cp:lastModifiedBy>Gärtner, Fabian</cp:lastModifiedBy>
  <cp:revision>37</cp:revision>
  <cp:lastPrinted>2022-03-22T12:22:00Z</cp:lastPrinted>
  <dcterms:created xsi:type="dcterms:W3CDTF">2022-01-18T10:12:00Z</dcterms:created>
  <dcterms:modified xsi:type="dcterms:W3CDTF">2022-04-06T10:14:00Z</dcterms:modified>
</cp:coreProperties>
</file>