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10"/>
        <w:gridCol w:w="6278"/>
        <w:gridCol w:w="3146"/>
      </w:tblGrid>
      <w:tr w:rsidR="00E720F9" w:rsidRPr="00E720F9" w:rsidTr="00E720F9">
        <w:trPr>
          <w:trHeight w:val="570"/>
        </w:trPr>
        <w:tc>
          <w:tcPr>
            <w:tcW w:w="102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Supplementary</w:t>
            </w: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 xml:space="preserve"> Table S1. </w:t>
            </w: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Characteristics</w:t>
            </w: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 xml:space="preserve"> of patients with unresectable melanoma, sampled for plasma thymidine kinase 1 activity (</w:t>
            </w:r>
            <w:proofErr w:type="spellStart"/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TKa</w:t>
            </w:r>
            <w:proofErr w:type="spellEnd"/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), before initiating therapy with immune checkpoint inhibitors</w:t>
            </w:r>
          </w:p>
        </w:tc>
      </w:tr>
      <w:tr w:rsidR="00E720F9" w:rsidRPr="00E720F9" w:rsidTr="00E720F9">
        <w:trPr>
          <w:trHeight w:val="300"/>
        </w:trPr>
        <w:tc>
          <w:tcPr>
            <w:tcW w:w="70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Characteristics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E720F9" w:rsidRPr="00E720F9" w:rsidTr="00E720F9">
        <w:trPr>
          <w:trHeight w:val="300"/>
        </w:trPr>
        <w:tc>
          <w:tcPr>
            <w:tcW w:w="7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Sex, n (%)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 xml:space="preserve">Male 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58 (67.4%)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Female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28 (32.6%)</w:t>
            </w:r>
          </w:p>
        </w:tc>
      </w:tr>
      <w:tr w:rsidR="00E720F9" w:rsidRPr="00E720F9" w:rsidTr="00E720F9">
        <w:trPr>
          <w:trHeight w:val="300"/>
        </w:trPr>
        <w:tc>
          <w:tcPr>
            <w:tcW w:w="7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Age, median years (range)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69 (31-84 years)</w:t>
            </w:r>
          </w:p>
        </w:tc>
      </w:tr>
      <w:tr w:rsidR="00E720F9" w:rsidRPr="00E720F9" w:rsidTr="00E720F9">
        <w:trPr>
          <w:trHeight w:val="300"/>
        </w:trPr>
        <w:tc>
          <w:tcPr>
            <w:tcW w:w="7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BRAF v600 mutation in tumor, n (%)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 xml:space="preserve">Yes                                                                                          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34 (39.5%)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No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52 (60.5%)</w:t>
            </w:r>
          </w:p>
        </w:tc>
      </w:tr>
      <w:tr w:rsidR="00E720F9" w:rsidRPr="00E720F9" w:rsidTr="00E720F9">
        <w:trPr>
          <w:trHeight w:val="300"/>
        </w:trPr>
        <w:tc>
          <w:tcPr>
            <w:tcW w:w="7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Performance status, n (%)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 xml:space="preserve">ECOG 0 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69 (80.2%)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ECOG ≥1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17 (19.8%)</w:t>
            </w:r>
          </w:p>
        </w:tc>
      </w:tr>
      <w:tr w:rsidR="00E720F9" w:rsidRPr="00E720F9" w:rsidTr="00E720F9">
        <w:trPr>
          <w:trHeight w:val="300"/>
        </w:trPr>
        <w:tc>
          <w:tcPr>
            <w:tcW w:w="7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LDH, n (%)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Normal LDH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41 (57.7%)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Elevated LDH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44 (51.2%)</w:t>
            </w:r>
          </w:p>
        </w:tc>
      </w:tr>
      <w:tr w:rsidR="00E720F9" w:rsidRPr="00E720F9" w:rsidTr="00E720F9">
        <w:trPr>
          <w:trHeight w:val="300"/>
        </w:trPr>
        <w:tc>
          <w:tcPr>
            <w:tcW w:w="7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Tumor stage, n (%)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 xml:space="preserve">M1a or M1b 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47 (54.7%)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 xml:space="preserve">M1c or M1d 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39 (45.3%)</w:t>
            </w:r>
          </w:p>
        </w:tc>
      </w:tr>
      <w:tr w:rsidR="00E720F9" w:rsidRPr="00E720F9" w:rsidTr="00E720F9">
        <w:trPr>
          <w:trHeight w:val="300"/>
        </w:trPr>
        <w:tc>
          <w:tcPr>
            <w:tcW w:w="7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Previous lines of treatment, n (%)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0 previous lines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77 (89.5%)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≥1 previous line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9 (10.5%)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CTLA-4 inhibitor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5 (5.8%)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 xml:space="preserve">BRAF±MEK inhibitors 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3 (3.5%)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Chemotherapy (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t</w:t>
            </w: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emozolomide)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1 (1.2%)</w:t>
            </w:r>
          </w:p>
        </w:tc>
      </w:tr>
      <w:tr w:rsidR="00E720F9" w:rsidRPr="00E720F9" w:rsidTr="00E720F9">
        <w:trPr>
          <w:trHeight w:val="300"/>
        </w:trPr>
        <w:tc>
          <w:tcPr>
            <w:tcW w:w="7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ICI regime*, n (%)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CTLA-4 inhibitor monotherapy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2 (2.3%)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PD-1 inhibitor monotherapy</w:t>
            </w:r>
          </w:p>
        </w:tc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78 (90.7%)</w:t>
            </w:r>
          </w:p>
        </w:tc>
      </w:tr>
      <w:tr w:rsidR="00E720F9" w:rsidRPr="00E720F9" w:rsidTr="00E720F9">
        <w:trPr>
          <w:trHeight w:val="300"/>
        </w:trPr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6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CTLA-4 and PD-1 inhibitors combination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6 (7.0%)</w:t>
            </w:r>
          </w:p>
        </w:tc>
      </w:tr>
      <w:tr w:rsidR="00E720F9" w:rsidRPr="00E720F9" w:rsidTr="00E720F9">
        <w:trPr>
          <w:trHeight w:val="300"/>
        </w:trPr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0F9" w:rsidRPr="00E720F9" w:rsidRDefault="00E720F9" w:rsidP="00E720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 xml:space="preserve">*Immune checkpoint inhibitor (ICI) regime that the patient started after the baseline </w:t>
            </w:r>
            <w:proofErr w:type="spellStart"/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>TKa</w:t>
            </w:r>
            <w:proofErr w:type="spellEnd"/>
            <w:r w:rsidRPr="00E720F9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sv-SE"/>
              </w:rPr>
              <w:t xml:space="preserve"> test</w:t>
            </w:r>
          </w:p>
        </w:tc>
      </w:tr>
    </w:tbl>
    <w:p w:rsidR="00E720F9" w:rsidRPr="00E720F9" w:rsidRDefault="00E720F9">
      <w:pPr>
        <w:rPr>
          <w:lang w:val="en-US"/>
        </w:rPr>
      </w:pPr>
      <w:bookmarkStart w:id="0" w:name="_GoBack"/>
      <w:bookmarkEnd w:id="0"/>
    </w:p>
    <w:tbl>
      <w:tblPr>
        <w:tblW w:w="14901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3419"/>
        <w:gridCol w:w="2008"/>
        <w:gridCol w:w="2008"/>
        <w:gridCol w:w="895"/>
        <w:gridCol w:w="195"/>
        <w:gridCol w:w="2643"/>
        <w:gridCol w:w="2643"/>
        <w:gridCol w:w="895"/>
      </w:tblGrid>
      <w:tr w:rsidR="00A07864" w:rsidRPr="00E720F9" w:rsidTr="00A07864">
        <w:trPr>
          <w:trHeight w:val="690"/>
        </w:trPr>
        <w:tc>
          <w:tcPr>
            <w:tcW w:w="149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Supplementary Table S</w:t>
            </w:r>
            <w:r w:rsid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2</w:t>
            </w: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. Responses in patients with metastatic melanoma dependent on </w:t>
            </w:r>
            <w:proofErr w:type="spellStart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TKa</w:t>
            </w:r>
            <w:proofErr w:type="spellEnd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 and LDH levels one month after start of ICI treatment</w:t>
            </w:r>
          </w:p>
        </w:tc>
      </w:tr>
      <w:tr w:rsidR="00A07864" w:rsidRPr="00E720F9" w:rsidTr="00A07864">
        <w:trPr>
          <w:trHeight w:val="263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4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proofErr w:type="spellStart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TKa</w:t>
            </w:r>
            <w:proofErr w:type="spellEnd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 (TRM-sample)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5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proofErr w:type="spellStart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TKa</w:t>
            </w:r>
            <w:proofErr w:type="spellEnd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 1 fold-change (TRM-sample/PRE-sample)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263"/>
        </w:trPr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proofErr w:type="spellStart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TKa</w:t>
            </w:r>
            <w:proofErr w:type="spellEnd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 &lt;60 Du/L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proofErr w:type="spellStart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TKa</w:t>
            </w:r>
            <w:proofErr w:type="spellEnd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 &gt; 60 Du/L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val="en-US" w:eastAsia="sv-SE"/>
              </w:rPr>
              <w:t>P</w:t>
            </w: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 value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Fold change &lt; median  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Fold change &gt; median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val="en-US" w:eastAsia="sv-SE"/>
              </w:rPr>
              <w:t>P</w:t>
            </w: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 value</w:t>
            </w:r>
          </w:p>
        </w:tc>
      </w:tr>
      <w:tr w:rsidR="00A07864" w:rsidRPr="00E720F9" w:rsidTr="00A07864">
        <w:trPr>
          <w:trHeight w:val="375"/>
        </w:trPr>
        <w:tc>
          <w:tcPr>
            <w:tcW w:w="3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Best overall response, n (%)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7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Complete response (CR)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9 (30.0%)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9 (32.1%)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10 (34.5%)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8 (27.6%)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7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Partial response (PR)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8 (26.7%)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12 (42.9%)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8 (27.6%)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12 (41.4%)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7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Stable disease (SD)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9 (30.0%)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3 (10.7%)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4 (13.8%)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7 (24.1%)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7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Progressive disease (PD)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4 (13.3%)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4 (14.3%)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7 (24.1%)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2 (6.9%)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75"/>
        </w:trPr>
        <w:tc>
          <w:tcPr>
            <w:tcW w:w="3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Response rate (CR+PR), %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56.7%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75.0%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0.147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62.1%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69.0%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0.551</w:t>
            </w:r>
          </w:p>
        </w:tc>
      </w:tr>
      <w:tr w:rsidR="00A07864" w:rsidRPr="00E720F9" w:rsidTr="00A07864">
        <w:trPr>
          <w:trHeight w:val="37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1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4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LDH (TRM-sample)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5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LDH 1 fold-change (TRM-sample/PRE-sample)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15"/>
        </w:trPr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LDH &lt; 4.0 </w:t>
            </w:r>
            <w:bookmarkStart w:id="1" w:name="_Hlk112598189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µ</w:t>
            </w:r>
            <w:proofErr w:type="spellStart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kat</w:t>
            </w:r>
            <w:proofErr w:type="spellEnd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/L</w:t>
            </w:r>
            <w:bookmarkEnd w:id="1"/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LDH &gt; 4.0 µ</w:t>
            </w:r>
            <w:proofErr w:type="spellStart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kat</w:t>
            </w:r>
            <w:proofErr w:type="spellEnd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/L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  <w:lang w:val="en-US" w:eastAsia="sv-SE"/>
              </w:rPr>
              <w:t>P</w:t>
            </w: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 value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Fold change &lt; median  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Fold change &gt; median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75"/>
        </w:trPr>
        <w:tc>
          <w:tcPr>
            <w:tcW w:w="3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Best overall response, n (%)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7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Complete response (CR)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19 (37.3%)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2 (5.9%)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14 (32.6%)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7 (16.7%)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7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Partial response (PR)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16 (31.4%)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10 (29.4%)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16 (37.2%)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10 (23.8%)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7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Stable disease (SD)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12 (23.5%)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4 (11.8%)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9 (21.0%)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7 (16.7%)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7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Progressive disease (PD)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4 (7.8%)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18 (52.9%)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4 (9.3%)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18 (42.9%)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75"/>
        </w:trPr>
        <w:tc>
          <w:tcPr>
            <w:tcW w:w="36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Response rate (CR+PR), %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68.6%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35.3%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0.008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 xml:space="preserve"> 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69.8%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40.4%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0.010</w:t>
            </w:r>
          </w:p>
        </w:tc>
      </w:tr>
      <w:tr w:rsidR="00A07864" w:rsidRPr="00E720F9" w:rsidTr="00A07864">
        <w:trPr>
          <w:trHeight w:val="360"/>
        </w:trPr>
        <w:tc>
          <w:tcPr>
            <w:tcW w:w="3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proofErr w:type="spellStart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TKa</w:t>
            </w:r>
            <w:proofErr w:type="spellEnd"/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: Thymidine kinase activity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60"/>
        </w:trPr>
        <w:tc>
          <w:tcPr>
            <w:tcW w:w="3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LDH: Lactate dehydrogenase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  <w:tr w:rsidR="00A07864" w:rsidRPr="00E720F9" w:rsidTr="00A07864">
        <w:trPr>
          <w:trHeight w:val="360"/>
        </w:trPr>
        <w:tc>
          <w:tcPr>
            <w:tcW w:w="5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ICI: Immune checkpoint inhibitor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7864" w:rsidRPr="00E720F9" w:rsidRDefault="00A07864" w:rsidP="00A0786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</w:pPr>
            <w:r w:rsidRPr="00E720F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sv-SE"/>
              </w:rPr>
              <w:t> </w:t>
            </w:r>
          </w:p>
        </w:tc>
      </w:tr>
    </w:tbl>
    <w:p w:rsidR="008E2D3E" w:rsidRPr="00E720F9" w:rsidRDefault="008E2D3E">
      <w:pPr>
        <w:rPr>
          <w:lang w:val="en-US"/>
        </w:rPr>
      </w:pPr>
    </w:p>
    <w:p w:rsidR="00A07864" w:rsidRPr="00E720F9" w:rsidRDefault="00A07864">
      <w:pPr>
        <w:rPr>
          <w:lang w:val="en-US"/>
        </w:rPr>
        <w:sectPr w:rsidR="00A07864" w:rsidRPr="00E720F9" w:rsidSect="00A07864">
          <w:headerReference w:type="default" r:id="rId6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5A302B" w:rsidRDefault="00A07864" w:rsidP="00A07864">
      <w:pPr>
        <w:rPr>
          <w:rFonts w:ascii="Times New Roman" w:hAnsi="Times New Roman" w:cs="Times New Roman"/>
          <w:b/>
          <w:bCs/>
          <w:lang w:val="en-US"/>
        </w:rPr>
      </w:pPr>
      <w:r w:rsidRPr="00E720F9">
        <w:rPr>
          <w:noProof/>
          <w:lang w:val="en-US"/>
        </w:rPr>
        <w:lastRenderedPageBreak/>
        <w:drawing>
          <wp:inline distT="0" distB="0" distL="0" distR="0" wp14:anchorId="27BF3D49" wp14:editId="6E9EF441">
            <wp:extent cx="5759450" cy="7679267"/>
            <wp:effectExtent l="0" t="0" r="0" b="0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79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0F9">
        <w:rPr>
          <w:rFonts w:ascii="Times New Roman" w:hAnsi="Times New Roman" w:cs="Times New Roman"/>
          <w:b/>
          <w:bCs/>
          <w:lang w:val="en-US"/>
        </w:rPr>
        <w:t xml:space="preserve"> </w:t>
      </w:r>
    </w:p>
    <w:p w:rsidR="00A07864" w:rsidRPr="00E720F9" w:rsidRDefault="00A07864" w:rsidP="00A0786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720F9">
        <w:rPr>
          <w:rFonts w:ascii="Times New Roman" w:hAnsi="Times New Roman" w:cs="Times New Roman"/>
          <w:b/>
          <w:bCs/>
          <w:sz w:val="20"/>
          <w:szCs w:val="20"/>
          <w:lang w:val="en-US"/>
        </w:rPr>
        <w:t>Supplementary Figure S1.</w:t>
      </w:r>
      <w:r w:rsidRPr="00E720F9">
        <w:rPr>
          <w:rFonts w:ascii="Times New Roman" w:hAnsi="Times New Roman" w:cs="Times New Roman"/>
          <w:sz w:val="20"/>
          <w:szCs w:val="20"/>
          <w:lang w:val="en-US"/>
        </w:rPr>
        <w:t xml:space="preserve"> Survival dependent on thymidine kinase activity (</w:t>
      </w:r>
      <w:proofErr w:type="spellStart"/>
      <w:r w:rsidRPr="00E720F9">
        <w:rPr>
          <w:rFonts w:ascii="Times New Roman" w:hAnsi="Times New Roman" w:cs="Times New Roman"/>
          <w:sz w:val="20"/>
          <w:szCs w:val="20"/>
          <w:lang w:val="en-US"/>
        </w:rPr>
        <w:t>TKa</w:t>
      </w:r>
      <w:proofErr w:type="spellEnd"/>
      <w:r w:rsidRPr="00E720F9">
        <w:rPr>
          <w:rFonts w:ascii="Times New Roman" w:hAnsi="Times New Roman" w:cs="Times New Roman"/>
          <w:sz w:val="20"/>
          <w:szCs w:val="20"/>
          <w:lang w:val="en-US"/>
        </w:rPr>
        <w:t xml:space="preserve">) and lactate dehydrogenase (LDH) fold change at one month compared to before ICI treatment start in patients with metastatic melanoma. Kaplan-Meier survival curves and hazard ratio (HR) for survival 12 months after treatment start. </w:t>
      </w:r>
    </w:p>
    <w:p w:rsidR="00A07864" w:rsidRPr="00E720F9" w:rsidRDefault="00A07864" w:rsidP="00A0786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720F9">
        <w:rPr>
          <w:rFonts w:ascii="Times New Roman" w:hAnsi="Times New Roman" w:cs="Times New Roman"/>
          <w:sz w:val="20"/>
          <w:szCs w:val="20"/>
          <w:lang w:val="en-US"/>
        </w:rPr>
        <w:t xml:space="preserve">A. Progression-free survival in patients with low or high </w:t>
      </w:r>
      <w:proofErr w:type="spellStart"/>
      <w:r w:rsidRPr="00E720F9">
        <w:rPr>
          <w:rFonts w:ascii="Times New Roman" w:hAnsi="Times New Roman" w:cs="Times New Roman"/>
          <w:sz w:val="20"/>
          <w:szCs w:val="20"/>
          <w:lang w:val="en-US"/>
        </w:rPr>
        <w:t>TKa</w:t>
      </w:r>
      <w:proofErr w:type="spellEnd"/>
      <w:r w:rsidRPr="00E720F9">
        <w:rPr>
          <w:rFonts w:ascii="Times New Roman" w:hAnsi="Times New Roman" w:cs="Times New Roman"/>
          <w:sz w:val="20"/>
          <w:szCs w:val="20"/>
          <w:lang w:val="en-US"/>
        </w:rPr>
        <w:t xml:space="preserve"> fold change (above left), low or high LDH fold change (above right) and combined LDH and </w:t>
      </w:r>
      <w:proofErr w:type="spellStart"/>
      <w:r w:rsidRPr="00E720F9">
        <w:rPr>
          <w:rFonts w:ascii="Times New Roman" w:hAnsi="Times New Roman" w:cs="Times New Roman"/>
          <w:sz w:val="20"/>
          <w:szCs w:val="20"/>
          <w:lang w:val="en-US"/>
        </w:rPr>
        <w:t>TKa</w:t>
      </w:r>
      <w:proofErr w:type="spellEnd"/>
      <w:r w:rsidRPr="00E720F9">
        <w:rPr>
          <w:rFonts w:ascii="Times New Roman" w:hAnsi="Times New Roman" w:cs="Times New Roman"/>
          <w:sz w:val="20"/>
          <w:szCs w:val="20"/>
          <w:lang w:val="en-US"/>
        </w:rPr>
        <w:t xml:space="preserve"> (lower panel)</w:t>
      </w:r>
    </w:p>
    <w:p w:rsidR="00A07864" w:rsidRPr="00E720F9" w:rsidRDefault="00A07864" w:rsidP="00A0786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720F9">
        <w:rPr>
          <w:rFonts w:ascii="Times New Roman" w:hAnsi="Times New Roman" w:cs="Times New Roman"/>
          <w:sz w:val="20"/>
          <w:szCs w:val="20"/>
          <w:lang w:val="en-US"/>
        </w:rPr>
        <w:t xml:space="preserve">B. Overall survival in patients with low or high fold change in </w:t>
      </w:r>
      <w:proofErr w:type="spellStart"/>
      <w:r w:rsidRPr="00E720F9">
        <w:rPr>
          <w:rFonts w:ascii="Times New Roman" w:hAnsi="Times New Roman" w:cs="Times New Roman"/>
          <w:sz w:val="20"/>
          <w:szCs w:val="20"/>
          <w:lang w:val="en-US"/>
        </w:rPr>
        <w:t>TKa</w:t>
      </w:r>
      <w:proofErr w:type="spellEnd"/>
      <w:r w:rsidRPr="00E720F9">
        <w:rPr>
          <w:rFonts w:ascii="Times New Roman" w:hAnsi="Times New Roman" w:cs="Times New Roman"/>
          <w:sz w:val="20"/>
          <w:szCs w:val="20"/>
          <w:lang w:val="en-US"/>
        </w:rPr>
        <w:t xml:space="preserve"> (above left), low or high fold change in LDH (above right) and combined LDH and </w:t>
      </w:r>
      <w:proofErr w:type="spellStart"/>
      <w:r w:rsidRPr="00E720F9">
        <w:rPr>
          <w:rFonts w:ascii="Times New Roman" w:hAnsi="Times New Roman" w:cs="Times New Roman"/>
          <w:sz w:val="20"/>
          <w:szCs w:val="20"/>
          <w:lang w:val="en-US"/>
        </w:rPr>
        <w:t>TKa</w:t>
      </w:r>
      <w:proofErr w:type="spellEnd"/>
      <w:r w:rsidRPr="00E720F9">
        <w:rPr>
          <w:rFonts w:ascii="Times New Roman" w:hAnsi="Times New Roman" w:cs="Times New Roman"/>
          <w:sz w:val="20"/>
          <w:szCs w:val="20"/>
          <w:lang w:val="en-US"/>
        </w:rPr>
        <w:t xml:space="preserve"> (lower panel) </w:t>
      </w:r>
    </w:p>
    <w:p w:rsidR="00A07864" w:rsidRPr="00E720F9" w:rsidRDefault="00A0786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720F9">
        <w:rPr>
          <w:rFonts w:ascii="Times New Roman" w:hAnsi="Times New Roman" w:cs="Times New Roman"/>
          <w:sz w:val="20"/>
          <w:szCs w:val="20"/>
          <w:lang w:val="en-US"/>
        </w:rPr>
        <w:t xml:space="preserve">C. Duration of response in patients with low or high fold change in </w:t>
      </w:r>
      <w:proofErr w:type="spellStart"/>
      <w:r w:rsidRPr="00E720F9">
        <w:rPr>
          <w:rFonts w:ascii="Times New Roman" w:hAnsi="Times New Roman" w:cs="Times New Roman"/>
          <w:sz w:val="20"/>
          <w:szCs w:val="20"/>
          <w:lang w:val="en-US"/>
        </w:rPr>
        <w:t>TKa</w:t>
      </w:r>
      <w:proofErr w:type="spellEnd"/>
      <w:r w:rsidRPr="00E720F9">
        <w:rPr>
          <w:rFonts w:ascii="Times New Roman" w:hAnsi="Times New Roman" w:cs="Times New Roman"/>
          <w:sz w:val="20"/>
          <w:szCs w:val="20"/>
          <w:lang w:val="en-US"/>
        </w:rPr>
        <w:t xml:space="preserve"> (above left), low or high fold change in LDH (above right) and combined LDH and </w:t>
      </w:r>
      <w:proofErr w:type="spellStart"/>
      <w:r w:rsidRPr="00E720F9">
        <w:rPr>
          <w:rFonts w:ascii="Times New Roman" w:hAnsi="Times New Roman" w:cs="Times New Roman"/>
          <w:sz w:val="20"/>
          <w:szCs w:val="20"/>
          <w:lang w:val="en-US"/>
        </w:rPr>
        <w:t>TKa</w:t>
      </w:r>
      <w:proofErr w:type="spellEnd"/>
      <w:r w:rsidRPr="00E720F9">
        <w:rPr>
          <w:rFonts w:ascii="Times New Roman" w:hAnsi="Times New Roman" w:cs="Times New Roman"/>
          <w:sz w:val="20"/>
          <w:szCs w:val="20"/>
          <w:lang w:val="en-US"/>
        </w:rPr>
        <w:t xml:space="preserve"> (lower panel)</w:t>
      </w:r>
    </w:p>
    <w:sectPr w:rsidR="00A07864" w:rsidRPr="00E720F9" w:rsidSect="00A07864">
      <w:pgSz w:w="11906" w:h="16838"/>
      <w:pgMar w:top="1418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02B" w:rsidRDefault="005A302B" w:rsidP="005A302B">
      <w:pPr>
        <w:spacing w:after="0" w:line="240" w:lineRule="auto"/>
      </w:pPr>
      <w:r>
        <w:separator/>
      </w:r>
    </w:p>
  </w:endnote>
  <w:endnote w:type="continuationSeparator" w:id="0">
    <w:p w:rsidR="005A302B" w:rsidRDefault="005A302B" w:rsidP="005A3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02B" w:rsidRDefault="005A302B" w:rsidP="005A302B">
      <w:pPr>
        <w:spacing w:after="0" w:line="240" w:lineRule="auto"/>
      </w:pPr>
      <w:r>
        <w:separator/>
      </w:r>
    </w:p>
  </w:footnote>
  <w:footnote w:type="continuationSeparator" w:id="0">
    <w:p w:rsidR="005A302B" w:rsidRDefault="005A302B" w:rsidP="005A3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302B" w:rsidRPr="005A302B" w:rsidRDefault="005A302B">
    <w:pPr>
      <w:pStyle w:val="Sidhuvud"/>
      <w:rPr>
        <w:lang w:val="en-US"/>
      </w:rPr>
    </w:pPr>
    <w:r w:rsidRPr="005A302B">
      <w:rPr>
        <w:lang w:val="en-US"/>
      </w:rPr>
      <w:t>Dynamics of Plasma Thymidine Kinase Activity in Metastatic Melanoma Reflects Immune Checkpoint Inhibitor Efficacy</w:t>
    </w:r>
    <w:r>
      <w:rPr>
        <w:lang w:val="en-US"/>
      </w:rPr>
      <w:t>: Supplementary File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B3E"/>
    <w:rsid w:val="005A302B"/>
    <w:rsid w:val="00722F45"/>
    <w:rsid w:val="007875B3"/>
    <w:rsid w:val="008E2D3E"/>
    <w:rsid w:val="00A07864"/>
    <w:rsid w:val="00E720F9"/>
    <w:rsid w:val="00F9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0A7F5"/>
  <w15:chartTrackingRefBased/>
  <w15:docId w15:val="{87CCAD1D-557E-4C36-8D8A-BDADE753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5A3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5A302B"/>
  </w:style>
  <w:style w:type="paragraph" w:styleId="Sidfot">
    <w:name w:val="footer"/>
    <w:basedOn w:val="Normal"/>
    <w:link w:val="SidfotChar"/>
    <w:uiPriority w:val="99"/>
    <w:unhideWhenUsed/>
    <w:rsid w:val="005A3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5A3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6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538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Hildur Helgadottir(3p5b)</dc:creator>
  <cp:keywords/>
  <dc:description/>
  <cp:lastModifiedBy>Hildur Helgadottir(3p5b)</cp:lastModifiedBy>
  <cp:revision>4</cp:revision>
  <dcterms:created xsi:type="dcterms:W3CDTF">2022-06-27T18:29:00Z</dcterms:created>
  <dcterms:modified xsi:type="dcterms:W3CDTF">2022-08-29T12:01:00Z</dcterms:modified>
</cp:coreProperties>
</file>