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1C7E" w:rsidRDefault="005F1C7E" w:rsidP="005F1C7E">
      <w:pPr>
        <w:spacing w:after="160" w:line="259" w:lineRule="auto"/>
        <w:rPr>
          <w:rFonts w:ascii="Arial" w:eastAsiaTheme="majorEastAsia" w:hAnsi="Arial" w:cs="Arial"/>
          <w:b/>
          <w:bCs/>
          <w:sz w:val="26"/>
          <w:szCs w:val="26"/>
          <w:lang w:val="en-US"/>
        </w:rPr>
      </w:pPr>
      <w:bookmarkStart w:id="0" w:name="_Hlk50099707"/>
      <w:bookmarkStart w:id="1" w:name="_Hlk44661900"/>
      <w:r>
        <w:rPr>
          <w:rFonts w:ascii="Arial" w:eastAsiaTheme="majorEastAsia" w:hAnsi="Arial" w:cs="Arial"/>
          <w:b/>
          <w:bCs/>
          <w:sz w:val="26"/>
          <w:szCs w:val="26"/>
          <w:lang w:val="en-US"/>
        </w:rPr>
        <w:t xml:space="preserve">Appendix: </w:t>
      </w:r>
    </w:p>
    <w:p w:rsidR="005F1C7E" w:rsidRPr="0028047F" w:rsidRDefault="005F1C7E" w:rsidP="005F1C7E">
      <w:pPr>
        <w:spacing w:after="160" w:line="259" w:lineRule="auto"/>
        <w:rPr>
          <w:rFonts w:ascii="Arial" w:eastAsiaTheme="majorEastAsia" w:hAnsi="Arial" w:cs="Arial"/>
          <w:b/>
          <w:bCs/>
          <w:sz w:val="26"/>
          <w:szCs w:val="26"/>
          <w:lang w:val="en-US"/>
        </w:rPr>
      </w:pPr>
      <w:r w:rsidRPr="0028047F">
        <w:rPr>
          <w:rFonts w:ascii="Arial" w:eastAsiaTheme="majorEastAsia" w:hAnsi="Arial" w:cs="Arial"/>
          <w:b/>
          <w:bCs/>
          <w:sz w:val="26"/>
          <w:szCs w:val="26"/>
          <w:lang w:val="en-US"/>
        </w:rPr>
        <w:t xml:space="preserve">Table </w:t>
      </w:r>
      <w:r>
        <w:rPr>
          <w:rFonts w:ascii="Arial" w:eastAsiaTheme="majorEastAsia" w:hAnsi="Arial" w:cs="Arial"/>
          <w:b/>
          <w:bCs/>
          <w:sz w:val="26"/>
          <w:szCs w:val="26"/>
          <w:lang w:val="en-US"/>
        </w:rPr>
        <w:t>A1</w:t>
      </w:r>
      <w:r w:rsidRPr="0028047F">
        <w:rPr>
          <w:rFonts w:ascii="Arial" w:eastAsiaTheme="majorEastAsia" w:hAnsi="Arial" w:cs="Arial"/>
          <w:b/>
          <w:bCs/>
          <w:sz w:val="26"/>
          <w:szCs w:val="26"/>
          <w:lang w:val="en-US"/>
        </w:rPr>
        <w:t>: Clavien-Dindo classification</w:t>
      </w:r>
      <w:bookmarkEnd w:id="0"/>
      <w:r>
        <w:rPr>
          <w:rFonts w:ascii="Arial" w:eastAsiaTheme="majorEastAsia" w:hAnsi="Arial" w:cs="Arial"/>
          <w:b/>
          <w:bCs/>
          <w:sz w:val="26"/>
          <w:szCs w:val="26"/>
          <w:lang w:val="en-US"/>
        </w:rPr>
        <w:fldChar w:fldCharType="begin" w:fldLock="1"/>
      </w:r>
      <w:r>
        <w:rPr>
          <w:rFonts w:ascii="Arial" w:eastAsiaTheme="majorEastAsia" w:hAnsi="Arial" w:cs="Arial"/>
          <w:b/>
          <w:bCs/>
          <w:sz w:val="26"/>
          <w:szCs w:val="26"/>
          <w:lang w:val="en-US"/>
        </w:rPr>
        <w:instrText>ADDIN CSL_CITATION { "citationItems" : [ { "id" : "ITEM-1", "itemData" : { "DOI" : "10.1097/01.sla.0000133083.54934.ae", "ISSN" : "00034932", "PMID" : "15273542", "abstract" : "Objective: Although quality assessment is gaining increasing attention, there is still no consensus on how to define and grade postoperative complications. This shortcoming hampers comparison of outcome data among different centers and therapies and over time. Patients and Methods: A classification of complications published by one of the authors in 1992 was critically re-evaluated and modified to increase its accuracy and its acceptability in the surgical community. Modifications mainly focused on the manner of reporting life-threatening and permanently disabling complications. The new grading system still mostly relies on the therapy used to treat the complication. The classification was tested in a cohort of 6336 patients who underwent elective general surgery at our institution. The reproducibility and personal judgment of the classification were evaluated through an international survey with 2 questionnaires sent to 10 surgical centers worldwide. Results: The new ranking system significantly correlated with complexity of surgery (P &lt; 0.0001) as well as with the length of the hospital stay (P &lt; 0.0001). A total of 144 surgeons from 10 different centers around the world and at different levels of training returned the survey. Ninety percent of the case presentations were correctly graded. The classification was considered to be simple (92% of the respondents), reproducible (91%), logical (92%), useful (90%), and comprehensive (89%). The answers of both questionnaires were not dependent on the origin of the reply and the level of training of the surgeons. Conclusions: The new complication classification appears reliable and may represent a compelling tool for quality assessment in surgery in all parts of the world.", "author" : [ { "dropping-particle" : "", "family" : "Dindo", "given" : "Daniel", "non-dropping-particle" : "", "parse-names" : false, "suffix" : "" }, { "dropping-particle" : "", "family" : "Demartines", "given" : "Nicolas", "non-dropping-particle" : "", "parse-names" : false, "suffix" : "" }, { "dropping-particle" : "", "family" : "Clavien", "given" : "Pierre Alain", "non-dropping-particle" : "", "parse-names" : false, "suffix" : "" } ], "container-title" : "Annals of Surgery", "id" : "ITEM-1", "issue" : "2", "issued" : { "date-parts" : [ [ "2004" ] ] }, "page" : "205-213", "title" : "Classification of surgical complications: A new proposal with evaluation in a cohort of 6336 patients and results of a survey", "type" : "article-journal", "volume" : "240" }, "uris" : [ "http://www.mendeley.com/documents/?uuid=fbd486ed-f432-4f8b-9ec9-c5cf42f6d0ad" ] } ], "mendeley" : { "formattedCitation" : "&lt;sup&gt;14&lt;/sup&gt;", "plainTextFormattedCitation" : "14", "previouslyFormattedCitation" : "&lt;sup&gt;14&lt;/sup&gt;" }, "properties" : {  }, "schema" : "https://github.com/citation-style-language/schema/raw/master/csl-citation.json" }</w:instrText>
      </w:r>
      <w:r>
        <w:rPr>
          <w:rFonts w:ascii="Arial" w:eastAsiaTheme="majorEastAsia" w:hAnsi="Arial" w:cs="Arial"/>
          <w:b/>
          <w:bCs/>
          <w:sz w:val="26"/>
          <w:szCs w:val="26"/>
          <w:lang w:val="en-US"/>
        </w:rPr>
        <w:fldChar w:fldCharType="separate"/>
      </w:r>
      <w:r w:rsidRPr="00BE07D5">
        <w:rPr>
          <w:rFonts w:ascii="Arial" w:eastAsiaTheme="majorEastAsia" w:hAnsi="Arial" w:cs="Arial"/>
          <w:bCs/>
          <w:noProof/>
          <w:sz w:val="26"/>
          <w:szCs w:val="26"/>
          <w:vertAlign w:val="superscript"/>
          <w:lang w:val="en-US"/>
        </w:rPr>
        <w:t>14</w:t>
      </w:r>
      <w:r>
        <w:rPr>
          <w:rFonts w:ascii="Arial" w:eastAsiaTheme="majorEastAsia" w:hAnsi="Arial" w:cs="Arial"/>
          <w:b/>
          <w:bCs/>
          <w:sz w:val="26"/>
          <w:szCs w:val="26"/>
          <w:lang w:val="en-US"/>
        </w:rPr>
        <w:fldChar w:fldCharType="end"/>
      </w:r>
    </w:p>
    <w:tbl>
      <w:tblPr>
        <w:tblStyle w:val="Tabel-Gitter"/>
        <w:tblW w:w="0" w:type="auto"/>
        <w:tblLook w:val="04A0" w:firstRow="1" w:lastRow="0" w:firstColumn="1" w:lastColumn="0" w:noHBand="0" w:noVBand="1"/>
      </w:tblPr>
      <w:tblGrid>
        <w:gridCol w:w="1555"/>
        <w:gridCol w:w="8073"/>
      </w:tblGrid>
      <w:tr w:rsidR="005F1C7E" w:rsidRPr="0078550C" w:rsidTr="00292DB7">
        <w:tc>
          <w:tcPr>
            <w:tcW w:w="1555" w:type="dxa"/>
            <w:tcBorders>
              <w:bottom w:val="thinThickThinMediumGap" w:sz="24" w:space="0" w:color="F7CAAC" w:themeColor="accent2" w:themeTint="66"/>
            </w:tcBorders>
            <w:shd w:val="clear" w:color="auto" w:fill="D0CECE" w:themeFill="background2" w:themeFillShade="E6"/>
            <w:hideMark/>
          </w:tcPr>
          <w:p w:rsidR="005F1C7E" w:rsidRPr="0028047F" w:rsidRDefault="005F1C7E" w:rsidP="00292DB7">
            <w:pPr>
              <w:spacing w:line="240" w:lineRule="auto"/>
              <w:rPr>
                <w:rFonts w:ascii="Arial" w:eastAsiaTheme="minorHAnsi" w:hAnsi="Arial" w:cs="Arial"/>
                <w:sz w:val="22"/>
                <w:szCs w:val="22"/>
                <w:lang w:val="en-US"/>
              </w:rPr>
            </w:pPr>
            <w:r w:rsidRPr="0028047F">
              <w:rPr>
                <w:rFonts w:ascii="Arial" w:hAnsi="Arial" w:cs="Arial"/>
                <w:lang w:val="en-US"/>
              </w:rPr>
              <w:t>Grades</w:t>
            </w:r>
          </w:p>
        </w:tc>
        <w:tc>
          <w:tcPr>
            <w:tcW w:w="8073" w:type="dxa"/>
            <w:tcBorders>
              <w:bottom w:val="thinThickThinMediumGap" w:sz="24" w:space="0" w:color="F7CAAC" w:themeColor="accent2" w:themeTint="66"/>
            </w:tcBorders>
            <w:shd w:val="clear" w:color="auto" w:fill="D0CECE" w:themeFill="background2" w:themeFillShade="E6"/>
            <w:hideMark/>
          </w:tcPr>
          <w:p w:rsidR="005F1C7E" w:rsidRPr="0028047F" w:rsidRDefault="005F1C7E" w:rsidP="00292DB7">
            <w:pPr>
              <w:spacing w:line="240" w:lineRule="auto"/>
              <w:jc w:val="center"/>
              <w:rPr>
                <w:rFonts w:ascii="Arial" w:hAnsi="Arial" w:cs="Arial"/>
                <w:lang w:val="en-US"/>
              </w:rPr>
            </w:pPr>
            <w:r w:rsidRPr="0028047F">
              <w:rPr>
                <w:rFonts w:ascii="Arial" w:hAnsi="Arial" w:cs="Arial"/>
                <w:lang w:val="en-US"/>
              </w:rPr>
              <w:t>Definition</w:t>
            </w:r>
          </w:p>
        </w:tc>
      </w:tr>
      <w:tr w:rsidR="005F1C7E" w:rsidRPr="0078550C" w:rsidTr="00292DB7">
        <w:tc>
          <w:tcPr>
            <w:tcW w:w="1555" w:type="dxa"/>
            <w:tcBorders>
              <w:top w:val="thinThickThinMediumGap" w:sz="24" w:space="0" w:color="F7CAAC" w:themeColor="accent2" w:themeTint="66"/>
            </w:tcBorders>
            <w:shd w:val="clear" w:color="auto" w:fill="E7E6E6" w:themeFill="background2"/>
            <w:hideMark/>
          </w:tcPr>
          <w:p w:rsidR="005F1C7E" w:rsidRPr="0028047F" w:rsidRDefault="005F1C7E" w:rsidP="00292DB7">
            <w:pPr>
              <w:spacing w:line="240" w:lineRule="auto"/>
              <w:rPr>
                <w:rFonts w:ascii="Arial" w:hAnsi="Arial" w:cs="Arial"/>
                <w:lang w:val="en-US"/>
              </w:rPr>
            </w:pPr>
            <w:r w:rsidRPr="0028047F">
              <w:rPr>
                <w:rFonts w:ascii="Arial" w:hAnsi="Arial" w:cs="Arial"/>
                <w:lang w:val="en-US"/>
              </w:rPr>
              <w:t>Grade I</w:t>
            </w:r>
          </w:p>
        </w:tc>
        <w:tc>
          <w:tcPr>
            <w:tcW w:w="8073" w:type="dxa"/>
            <w:tcBorders>
              <w:top w:val="thinThickThinMediumGap" w:sz="24" w:space="0" w:color="F7CAAC" w:themeColor="accent2" w:themeTint="66"/>
            </w:tcBorders>
            <w:hideMark/>
          </w:tcPr>
          <w:p w:rsidR="005F1C7E" w:rsidRPr="0028047F" w:rsidRDefault="005F1C7E" w:rsidP="00292DB7">
            <w:pPr>
              <w:spacing w:line="240" w:lineRule="auto"/>
              <w:rPr>
                <w:rFonts w:ascii="Arial" w:hAnsi="Arial" w:cs="Arial"/>
                <w:lang w:val="en-GB"/>
              </w:rPr>
            </w:pPr>
            <w:r w:rsidRPr="0028047F">
              <w:rPr>
                <w:rFonts w:ascii="Arial" w:hAnsi="Arial" w:cs="Arial"/>
                <w:lang w:val="en-US"/>
              </w:rPr>
              <w:t>Any deviation from the normal postoperative course without the need for pharmacological treatment or surgical, endoscopic, and radiological interventions</w:t>
            </w:r>
            <w:r>
              <w:rPr>
                <w:rFonts w:ascii="Arial" w:hAnsi="Arial" w:cs="Arial"/>
                <w:lang w:val="en-US"/>
              </w:rPr>
              <w:t xml:space="preserve">. </w:t>
            </w:r>
            <w:r w:rsidRPr="0028047F">
              <w:rPr>
                <w:rFonts w:ascii="Arial" w:hAnsi="Arial" w:cs="Arial"/>
                <w:lang w:val="en-GB"/>
              </w:rPr>
              <w:t xml:space="preserve">Allowed therapeutic regimens </w:t>
            </w:r>
            <w:proofErr w:type="gramStart"/>
            <w:r w:rsidRPr="0028047F">
              <w:rPr>
                <w:rFonts w:ascii="Arial" w:hAnsi="Arial" w:cs="Arial"/>
                <w:lang w:val="en-GB"/>
              </w:rPr>
              <w:t>are:</w:t>
            </w:r>
            <w:proofErr w:type="gramEnd"/>
            <w:r w:rsidRPr="0028047F">
              <w:rPr>
                <w:rFonts w:ascii="Arial" w:hAnsi="Arial" w:cs="Arial"/>
                <w:lang w:val="en-GB"/>
              </w:rPr>
              <w:t xml:space="preserve"> drugs as antiemetics, antipyretics, analgesics, diuretics, electrolytes, and physiotherapy. </w:t>
            </w:r>
          </w:p>
          <w:p w:rsidR="005F1C7E" w:rsidRPr="0028047F" w:rsidRDefault="005F1C7E" w:rsidP="00292DB7">
            <w:pPr>
              <w:spacing w:line="240" w:lineRule="auto"/>
              <w:rPr>
                <w:rFonts w:ascii="Arial" w:hAnsi="Arial" w:cs="Arial"/>
                <w:lang w:val="en-US"/>
              </w:rPr>
            </w:pPr>
            <w:r w:rsidRPr="0028047F">
              <w:rPr>
                <w:rFonts w:ascii="Arial" w:hAnsi="Arial" w:cs="Arial"/>
                <w:lang w:val="en-GB"/>
              </w:rPr>
              <w:t>This grade also includes wound infections opened at the bedside</w:t>
            </w:r>
          </w:p>
        </w:tc>
      </w:tr>
      <w:tr w:rsidR="005F1C7E" w:rsidRPr="0078550C" w:rsidTr="00292DB7">
        <w:tc>
          <w:tcPr>
            <w:tcW w:w="1555" w:type="dxa"/>
            <w:shd w:val="clear" w:color="auto" w:fill="E7E6E6" w:themeFill="background2"/>
            <w:hideMark/>
          </w:tcPr>
          <w:p w:rsidR="005F1C7E" w:rsidRPr="0028047F" w:rsidRDefault="005F1C7E" w:rsidP="00292DB7">
            <w:pPr>
              <w:spacing w:line="240" w:lineRule="auto"/>
              <w:rPr>
                <w:rFonts w:ascii="Arial" w:hAnsi="Arial" w:cs="Arial"/>
                <w:lang w:val="en-US"/>
              </w:rPr>
            </w:pPr>
            <w:r w:rsidRPr="0028047F">
              <w:rPr>
                <w:rFonts w:ascii="Arial" w:hAnsi="Arial" w:cs="Arial"/>
                <w:lang w:val="en-US"/>
              </w:rPr>
              <w:t>Grade II</w:t>
            </w:r>
          </w:p>
        </w:tc>
        <w:tc>
          <w:tcPr>
            <w:tcW w:w="8073" w:type="dxa"/>
            <w:hideMark/>
          </w:tcPr>
          <w:p w:rsidR="005F1C7E" w:rsidRDefault="005F1C7E" w:rsidP="00292DB7">
            <w:pPr>
              <w:spacing w:line="240" w:lineRule="auto"/>
              <w:rPr>
                <w:rFonts w:ascii="Arial" w:hAnsi="Arial" w:cs="Arial"/>
                <w:lang w:val="en-GB"/>
              </w:rPr>
            </w:pPr>
            <w:r w:rsidRPr="0028047F">
              <w:rPr>
                <w:rFonts w:ascii="Arial" w:hAnsi="Arial" w:cs="Arial"/>
                <w:lang w:val="en-GB"/>
              </w:rPr>
              <w:t>Requiring pharmacological treatment with drugs other than such allowed for grade I complications. Blood transfusions and total parenteral nutrition are also included</w:t>
            </w:r>
          </w:p>
          <w:p w:rsidR="005F1C7E" w:rsidRPr="0028047F" w:rsidRDefault="005F1C7E" w:rsidP="00292DB7">
            <w:pPr>
              <w:spacing w:line="240" w:lineRule="auto"/>
              <w:rPr>
                <w:rFonts w:ascii="Arial" w:hAnsi="Arial" w:cs="Arial"/>
                <w:lang w:val="en-GB"/>
              </w:rPr>
            </w:pPr>
          </w:p>
        </w:tc>
      </w:tr>
      <w:tr w:rsidR="005F1C7E" w:rsidRPr="0078550C" w:rsidTr="00292DB7">
        <w:tc>
          <w:tcPr>
            <w:tcW w:w="1555" w:type="dxa"/>
            <w:shd w:val="clear" w:color="auto" w:fill="E7E6E6" w:themeFill="background2"/>
            <w:hideMark/>
          </w:tcPr>
          <w:p w:rsidR="005F1C7E" w:rsidRDefault="005F1C7E" w:rsidP="00292DB7">
            <w:pPr>
              <w:spacing w:line="240" w:lineRule="auto"/>
              <w:rPr>
                <w:rFonts w:ascii="Arial" w:hAnsi="Arial" w:cs="Arial"/>
                <w:lang w:val="en-US"/>
              </w:rPr>
            </w:pPr>
            <w:r w:rsidRPr="0028047F">
              <w:rPr>
                <w:rFonts w:ascii="Arial" w:hAnsi="Arial" w:cs="Arial"/>
                <w:lang w:val="en-US"/>
              </w:rPr>
              <w:t>Grade III</w:t>
            </w:r>
          </w:p>
          <w:p w:rsidR="005F1C7E" w:rsidRDefault="005F1C7E" w:rsidP="00292DB7">
            <w:pPr>
              <w:spacing w:line="240" w:lineRule="auto"/>
              <w:rPr>
                <w:rFonts w:ascii="Arial" w:hAnsi="Arial" w:cs="Arial"/>
                <w:lang w:val="en-US"/>
              </w:rPr>
            </w:pPr>
          </w:p>
          <w:p w:rsidR="005F1C7E" w:rsidRDefault="005F1C7E" w:rsidP="00292DB7">
            <w:pPr>
              <w:spacing w:line="240" w:lineRule="auto"/>
              <w:rPr>
                <w:rFonts w:ascii="Arial" w:hAnsi="Arial" w:cs="Arial"/>
                <w:lang w:val="en-US"/>
              </w:rPr>
            </w:pPr>
            <w:r>
              <w:rPr>
                <w:rFonts w:ascii="Arial" w:hAnsi="Arial" w:cs="Arial"/>
                <w:lang w:val="en-US"/>
              </w:rPr>
              <w:t xml:space="preserve">   </w:t>
            </w:r>
            <w:r w:rsidRPr="0028047F">
              <w:rPr>
                <w:rFonts w:ascii="Arial" w:hAnsi="Arial" w:cs="Arial"/>
                <w:lang w:val="en-US"/>
              </w:rPr>
              <w:t>Grade IIIa</w:t>
            </w:r>
          </w:p>
          <w:p w:rsidR="005F1C7E" w:rsidRPr="0028047F" w:rsidRDefault="005F1C7E" w:rsidP="00292DB7">
            <w:pPr>
              <w:spacing w:line="240" w:lineRule="auto"/>
              <w:rPr>
                <w:rFonts w:ascii="Arial" w:hAnsi="Arial" w:cs="Arial"/>
                <w:lang w:val="en-US"/>
              </w:rPr>
            </w:pPr>
            <w:r>
              <w:rPr>
                <w:rFonts w:ascii="Arial" w:hAnsi="Arial" w:cs="Arial"/>
                <w:lang w:val="en-US"/>
              </w:rPr>
              <w:t xml:space="preserve">   </w:t>
            </w:r>
            <w:r w:rsidRPr="0028047F">
              <w:rPr>
                <w:rFonts w:ascii="Arial" w:hAnsi="Arial" w:cs="Arial"/>
                <w:lang w:val="en-US"/>
              </w:rPr>
              <w:t>Grade IIIb</w:t>
            </w:r>
          </w:p>
        </w:tc>
        <w:tc>
          <w:tcPr>
            <w:tcW w:w="8073" w:type="dxa"/>
            <w:hideMark/>
          </w:tcPr>
          <w:p w:rsidR="005F1C7E" w:rsidRDefault="005F1C7E" w:rsidP="00292DB7">
            <w:pPr>
              <w:spacing w:line="240" w:lineRule="auto"/>
              <w:rPr>
                <w:rFonts w:ascii="Arial" w:hAnsi="Arial" w:cs="Arial"/>
                <w:lang w:val="en-GB"/>
              </w:rPr>
            </w:pPr>
            <w:r w:rsidRPr="0028047F">
              <w:rPr>
                <w:rFonts w:ascii="Arial" w:hAnsi="Arial" w:cs="Arial"/>
                <w:lang w:val="en-GB"/>
              </w:rPr>
              <w:t xml:space="preserve">Requiring </w:t>
            </w:r>
            <w:r>
              <w:rPr>
                <w:rFonts w:ascii="Arial" w:hAnsi="Arial" w:cs="Arial"/>
                <w:lang w:val="en-GB"/>
              </w:rPr>
              <w:t>surgical, endoscopic or radiological intervention</w:t>
            </w:r>
          </w:p>
          <w:p w:rsidR="005F1C7E" w:rsidRDefault="005F1C7E" w:rsidP="00292DB7">
            <w:pPr>
              <w:spacing w:line="240" w:lineRule="auto"/>
              <w:rPr>
                <w:rFonts w:ascii="Arial" w:hAnsi="Arial" w:cs="Arial"/>
                <w:lang w:val="en-GB"/>
              </w:rPr>
            </w:pPr>
          </w:p>
          <w:p w:rsidR="005F1C7E" w:rsidRPr="0028047F" w:rsidRDefault="005F1C7E" w:rsidP="00292DB7">
            <w:pPr>
              <w:spacing w:line="240" w:lineRule="auto"/>
              <w:rPr>
                <w:rFonts w:ascii="Arial" w:hAnsi="Arial" w:cs="Arial"/>
                <w:lang w:val="en-GB"/>
              </w:rPr>
            </w:pPr>
            <w:r w:rsidRPr="0028047F">
              <w:rPr>
                <w:rFonts w:ascii="Arial" w:hAnsi="Arial" w:cs="Arial"/>
                <w:lang w:val="en-GB"/>
              </w:rPr>
              <w:t>Intervention not under general anaesthesia</w:t>
            </w:r>
          </w:p>
          <w:p w:rsidR="005F1C7E" w:rsidRPr="0028047F" w:rsidRDefault="005F1C7E" w:rsidP="00292DB7">
            <w:pPr>
              <w:spacing w:line="240" w:lineRule="auto"/>
              <w:rPr>
                <w:rFonts w:ascii="Arial" w:hAnsi="Arial" w:cs="Arial"/>
                <w:lang w:val="en-GB"/>
              </w:rPr>
            </w:pPr>
            <w:r w:rsidRPr="0028047F">
              <w:rPr>
                <w:rFonts w:ascii="Arial" w:hAnsi="Arial" w:cs="Arial"/>
                <w:lang w:val="en-GB"/>
              </w:rPr>
              <w:t>Intervention under general anaesthesia</w:t>
            </w:r>
          </w:p>
        </w:tc>
      </w:tr>
      <w:tr w:rsidR="005F1C7E" w:rsidRPr="0078550C" w:rsidTr="00292DB7">
        <w:tc>
          <w:tcPr>
            <w:tcW w:w="1555" w:type="dxa"/>
            <w:shd w:val="clear" w:color="auto" w:fill="E7E6E6" w:themeFill="background2"/>
            <w:hideMark/>
          </w:tcPr>
          <w:p w:rsidR="005F1C7E" w:rsidRDefault="005F1C7E" w:rsidP="00292DB7">
            <w:pPr>
              <w:spacing w:line="240" w:lineRule="auto"/>
              <w:rPr>
                <w:rFonts w:ascii="Arial" w:hAnsi="Arial" w:cs="Arial"/>
                <w:lang w:val="en-US"/>
              </w:rPr>
            </w:pPr>
            <w:r w:rsidRPr="0028047F">
              <w:rPr>
                <w:rFonts w:ascii="Arial" w:hAnsi="Arial" w:cs="Arial"/>
                <w:lang w:val="en-US"/>
              </w:rPr>
              <w:t>Grade IV</w:t>
            </w:r>
          </w:p>
          <w:p w:rsidR="005F1C7E" w:rsidRDefault="005F1C7E" w:rsidP="00292DB7">
            <w:pPr>
              <w:spacing w:line="240" w:lineRule="auto"/>
              <w:rPr>
                <w:rFonts w:ascii="Arial" w:hAnsi="Arial" w:cs="Arial"/>
                <w:lang w:val="en-US"/>
              </w:rPr>
            </w:pPr>
          </w:p>
          <w:p w:rsidR="005F1C7E" w:rsidRDefault="005F1C7E" w:rsidP="00292DB7">
            <w:pPr>
              <w:spacing w:line="240" w:lineRule="auto"/>
              <w:rPr>
                <w:rFonts w:ascii="Arial" w:hAnsi="Arial" w:cs="Arial"/>
                <w:lang w:val="en-GB"/>
              </w:rPr>
            </w:pPr>
            <w:r>
              <w:rPr>
                <w:rFonts w:ascii="Arial" w:hAnsi="Arial" w:cs="Arial"/>
                <w:lang w:val="en-GB"/>
              </w:rPr>
              <w:t xml:space="preserve">   </w:t>
            </w:r>
            <w:r w:rsidRPr="0028047F">
              <w:rPr>
                <w:rFonts w:ascii="Arial" w:hAnsi="Arial" w:cs="Arial"/>
                <w:lang w:val="en-GB"/>
              </w:rPr>
              <w:t xml:space="preserve">Grade </w:t>
            </w:r>
            <w:proofErr w:type="spellStart"/>
            <w:r w:rsidRPr="0028047F">
              <w:rPr>
                <w:rFonts w:ascii="Arial" w:hAnsi="Arial" w:cs="Arial"/>
                <w:lang w:val="en-GB"/>
              </w:rPr>
              <w:t>IVa</w:t>
            </w:r>
            <w:proofErr w:type="spellEnd"/>
          </w:p>
          <w:p w:rsidR="005F1C7E" w:rsidRPr="0028047F" w:rsidRDefault="005F1C7E" w:rsidP="00292DB7">
            <w:pPr>
              <w:spacing w:line="240" w:lineRule="auto"/>
              <w:rPr>
                <w:rFonts w:ascii="Arial" w:hAnsi="Arial" w:cs="Arial"/>
                <w:lang w:val="en-US"/>
              </w:rPr>
            </w:pPr>
            <w:r>
              <w:rPr>
                <w:rFonts w:ascii="Arial" w:hAnsi="Arial" w:cs="Arial"/>
                <w:lang w:val="en-GB"/>
              </w:rPr>
              <w:t xml:space="preserve">   </w:t>
            </w:r>
            <w:r w:rsidRPr="0028047F">
              <w:rPr>
                <w:rFonts w:ascii="Arial" w:hAnsi="Arial" w:cs="Arial"/>
                <w:lang w:val="en-GB"/>
              </w:rPr>
              <w:t xml:space="preserve">Grade </w:t>
            </w:r>
            <w:proofErr w:type="spellStart"/>
            <w:r w:rsidRPr="0028047F">
              <w:rPr>
                <w:rFonts w:ascii="Arial" w:hAnsi="Arial" w:cs="Arial"/>
                <w:lang w:val="en-GB"/>
              </w:rPr>
              <w:t>IVb</w:t>
            </w:r>
            <w:proofErr w:type="spellEnd"/>
          </w:p>
        </w:tc>
        <w:tc>
          <w:tcPr>
            <w:tcW w:w="8073" w:type="dxa"/>
            <w:hideMark/>
          </w:tcPr>
          <w:p w:rsidR="005F1C7E" w:rsidRPr="0028047F" w:rsidRDefault="005F1C7E" w:rsidP="00292DB7">
            <w:pPr>
              <w:spacing w:line="240" w:lineRule="auto"/>
              <w:rPr>
                <w:rFonts w:ascii="Arial" w:hAnsi="Arial" w:cs="Arial"/>
                <w:lang w:val="en-GB"/>
              </w:rPr>
            </w:pPr>
            <w:r w:rsidRPr="0028047F">
              <w:rPr>
                <w:rFonts w:ascii="Arial" w:hAnsi="Arial" w:cs="Arial"/>
                <w:lang w:val="en-GB"/>
              </w:rPr>
              <w:t>Life-threatening complication (including CNS complications) requiring IC/ICU management</w:t>
            </w:r>
          </w:p>
          <w:p w:rsidR="005F1C7E" w:rsidRPr="0028047F" w:rsidRDefault="005F1C7E" w:rsidP="00292DB7">
            <w:pPr>
              <w:spacing w:line="240" w:lineRule="auto"/>
              <w:rPr>
                <w:rFonts w:ascii="Arial" w:hAnsi="Arial" w:cs="Arial"/>
                <w:lang w:val="en-GB"/>
              </w:rPr>
            </w:pPr>
            <w:r>
              <w:rPr>
                <w:rFonts w:ascii="Arial" w:hAnsi="Arial" w:cs="Arial"/>
                <w:lang w:val="en-GB"/>
              </w:rPr>
              <w:t>S</w:t>
            </w:r>
            <w:r w:rsidRPr="0028047F">
              <w:rPr>
                <w:rFonts w:ascii="Arial" w:hAnsi="Arial" w:cs="Arial"/>
                <w:lang w:val="en-GB"/>
              </w:rPr>
              <w:t>ingle organ dysfunction</w:t>
            </w:r>
          </w:p>
          <w:p w:rsidR="005F1C7E" w:rsidRPr="0028047F" w:rsidRDefault="005F1C7E" w:rsidP="00292DB7">
            <w:pPr>
              <w:spacing w:line="240" w:lineRule="auto"/>
              <w:rPr>
                <w:rFonts w:ascii="Arial" w:hAnsi="Arial" w:cs="Arial"/>
                <w:lang w:val="en-GB"/>
              </w:rPr>
            </w:pPr>
            <w:r>
              <w:rPr>
                <w:rFonts w:ascii="Arial" w:hAnsi="Arial" w:cs="Arial"/>
                <w:lang w:val="en-GB"/>
              </w:rPr>
              <w:t>M</w:t>
            </w:r>
            <w:r w:rsidRPr="0028047F">
              <w:rPr>
                <w:rFonts w:ascii="Arial" w:hAnsi="Arial" w:cs="Arial"/>
                <w:lang w:val="en-GB"/>
              </w:rPr>
              <w:t>ulti organ dysfunction</w:t>
            </w:r>
          </w:p>
        </w:tc>
      </w:tr>
      <w:tr w:rsidR="005F1C7E" w:rsidRPr="0078550C" w:rsidTr="00292DB7">
        <w:tc>
          <w:tcPr>
            <w:tcW w:w="1555" w:type="dxa"/>
            <w:shd w:val="clear" w:color="auto" w:fill="E7E6E6" w:themeFill="background2"/>
            <w:hideMark/>
          </w:tcPr>
          <w:p w:rsidR="005F1C7E" w:rsidRPr="0028047F" w:rsidRDefault="005F1C7E" w:rsidP="00292DB7">
            <w:pPr>
              <w:spacing w:line="240" w:lineRule="auto"/>
              <w:rPr>
                <w:rFonts w:ascii="Arial" w:hAnsi="Arial" w:cs="Arial"/>
                <w:lang w:val="en-US"/>
              </w:rPr>
            </w:pPr>
            <w:r w:rsidRPr="0028047F">
              <w:rPr>
                <w:rFonts w:ascii="Arial" w:hAnsi="Arial" w:cs="Arial"/>
                <w:lang w:val="en-US"/>
              </w:rPr>
              <w:t>Grade V</w:t>
            </w:r>
          </w:p>
        </w:tc>
        <w:tc>
          <w:tcPr>
            <w:tcW w:w="8073" w:type="dxa"/>
            <w:hideMark/>
          </w:tcPr>
          <w:p w:rsidR="005F1C7E" w:rsidRPr="0028047F" w:rsidRDefault="005F1C7E" w:rsidP="00292DB7">
            <w:pPr>
              <w:spacing w:line="240" w:lineRule="auto"/>
              <w:rPr>
                <w:rFonts w:ascii="Arial" w:hAnsi="Arial" w:cs="Arial"/>
                <w:lang w:val="en-GB"/>
              </w:rPr>
            </w:pPr>
            <w:r w:rsidRPr="0028047F">
              <w:rPr>
                <w:rFonts w:ascii="Arial" w:hAnsi="Arial" w:cs="Arial"/>
                <w:lang w:val="en-GB"/>
              </w:rPr>
              <w:t>Death of a patient</w:t>
            </w:r>
          </w:p>
        </w:tc>
      </w:tr>
      <w:bookmarkEnd w:id="1"/>
    </w:tbl>
    <w:p w:rsidR="005F1C7E" w:rsidRDefault="005F1C7E" w:rsidP="005F1C7E">
      <w:pPr>
        <w:spacing w:line="256" w:lineRule="auto"/>
        <w:rPr>
          <w:rFonts w:ascii="Arial" w:hAnsi="Arial" w:cs="Arial"/>
          <w:sz w:val="18"/>
          <w:szCs w:val="18"/>
          <w:lang w:val="en-US"/>
        </w:rPr>
      </w:pPr>
    </w:p>
    <w:p w:rsidR="002166F5" w:rsidRPr="005F1C7E" w:rsidRDefault="002166F5">
      <w:pPr>
        <w:rPr>
          <w:lang w:val="en-US"/>
        </w:rPr>
      </w:pPr>
      <w:bookmarkStart w:id="2" w:name="_GoBack"/>
      <w:bookmarkEnd w:id="2"/>
    </w:p>
    <w:sectPr w:rsidR="002166F5" w:rsidRPr="005F1C7E" w:rsidSect="003C3FF6">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ngs">
    <w:altName w:val="MS Mincho"/>
    <w:panose1 w:val="00000000000000000000"/>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1C7E"/>
    <w:rsid w:val="002166F5"/>
    <w:rsid w:val="003C3FF6"/>
    <w:rsid w:val="005F1C7E"/>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ACC4D08-FA8C-4AE4-B6AF-4A5B953B0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1C7E"/>
    <w:pPr>
      <w:spacing w:after="0" w:line="360" w:lineRule="auto"/>
    </w:pPr>
    <w:rPr>
      <w:rFonts w:ascii="Times New Roman" w:eastAsia="MS Minngs" w:hAnsi="Times New Roman" w:cs="Times New Roman"/>
      <w:sz w:val="24"/>
      <w:szCs w:val="24"/>
      <w:lang w:val="da-DK" w:eastAsia="da-DK"/>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table" w:styleId="Tabel-Gitter">
    <w:name w:val="Table Grid"/>
    <w:basedOn w:val="Tabel-Normal"/>
    <w:uiPriority w:val="39"/>
    <w:rsid w:val="005F1C7E"/>
    <w:pPr>
      <w:spacing w:after="0" w:line="240" w:lineRule="auto"/>
    </w:pPr>
    <w:rPr>
      <w:lang w:val="da-DK"/>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603</Words>
  <Characters>3438</Characters>
  <Application>Microsoft Office Word</Application>
  <DocSecurity>0</DocSecurity>
  <Lines>28</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Josephine Julie Rosenvilde</dc:creator>
  <cp:keywords/>
  <dc:description/>
  <cp:lastModifiedBy>Josephine Julie Rosenvilde</cp:lastModifiedBy>
  <cp:revision>1</cp:revision>
  <dcterms:created xsi:type="dcterms:W3CDTF">2020-11-20T13:33:00Z</dcterms:created>
  <dcterms:modified xsi:type="dcterms:W3CDTF">2020-11-20T13:34:00Z</dcterms:modified>
</cp:coreProperties>
</file>