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06C5" w:rsidRDefault="006606C5">
      <w:pPr>
        <w:rPr>
          <w:rFonts w:ascii="Arial" w:hAnsi="Arial" w:cs="Arial"/>
          <w:b/>
          <w:bCs/>
          <w:sz w:val="26"/>
          <w:szCs w:val="26"/>
        </w:rPr>
      </w:pPr>
      <w:bookmarkStart w:id="0" w:name="_GoBack"/>
      <w:bookmarkEnd w:id="0"/>
      <w:r>
        <w:rPr>
          <w:rFonts w:ascii="Arial" w:hAnsi="Arial" w:cs="Arial"/>
          <w:b/>
          <w:bCs/>
          <w:sz w:val="26"/>
          <w:szCs w:val="26"/>
        </w:rPr>
        <w:t>Appendix</w:t>
      </w:r>
    </w:p>
    <w:p w:rsidR="006606C5" w:rsidRPr="00546002" w:rsidRDefault="006606C5" w:rsidP="006606C5">
      <w:pPr>
        <w:rPr>
          <w:rFonts w:ascii="Arial" w:hAnsi="Arial" w:cs="Arial"/>
          <w:b/>
          <w:bCs/>
          <w:i/>
          <w:iCs/>
          <w:sz w:val="26"/>
          <w:szCs w:val="26"/>
        </w:rPr>
      </w:pPr>
      <w:bookmarkStart w:id="1" w:name="_Hlk56775293"/>
      <w:r w:rsidRPr="00546002">
        <w:rPr>
          <w:rFonts w:ascii="Arial" w:hAnsi="Arial" w:cs="Arial"/>
          <w:b/>
          <w:bCs/>
          <w:sz w:val="26"/>
          <w:szCs w:val="26"/>
        </w:rPr>
        <w:t xml:space="preserve">Table A2: Risk of bias by </w:t>
      </w:r>
      <w:r w:rsidRPr="00546002">
        <w:rPr>
          <w:rFonts w:ascii="Arial" w:hAnsi="Arial" w:cs="Arial"/>
          <w:b/>
          <w:bCs/>
          <w:sz w:val="26"/>
          <w:szCs w:val="26"/>
          <w:lang w:val="en-GB"/>
        </w:rPr>
        <w:t>Newcastle Ottawa scale</w:t>
      </w:r>
      <w:bookmarkEnd w:id="1"/>
    </w:p>
    <w:tbl>
      <w:tblPr>
        <w:tblStyle w:val="Tabel-Gitter"/>
        <w:tblW w:w="13893" w:type="dxa"/>
        <w:tblLook w:val="04A0" w:firstRow="1" w:lastRow="0" w:firstColumn="1" w:lastColumn="0" w:noHBand="0" w:noVBand="1"/>
      </w:tblPr>
      <w:tblGrid>
        <w:gridCol w:w="1261"/>
        <w:gridCol w:w="1967"/>
        <w:gridCol w:w="1247"/>
        <w:gridCol w:w="1529"/>
        <w:gridCol w:w="1302"/>
        <w:gridCol w:w="1855"/>
        <w:gridCol w:w="1358"/>
        <w:gridCol w:w="1256"/>
        <w:gridCol w:w="1308"/>
        <w:gridCol w:w="810"/>
      </w:tblGrid>
      <w:tr w:rsidR="006606C5" w:rsidRPr="0078550C" w:rsidTr="00FE28D2">
        <w:trPr>
          <w:trHeight w:val="265"/>
        </w:trPr>
        <w:tc>
          <w:tcPr>
            <w:tcW w:w="1261" w:type="dxa"/>
          </w:tcPr>
          <w:p w:rsidR="006606C5" w:rsidRPr="001B6BEC" w:rsidRDefault="006606C5" w:rsidP="00292DB7">
            <w:pPr>
              <w:rPr>
                <w:b/>
                <w:bCs/>
                <w:sz w:val="28"/>
                <w:szCs w:val="28"/>
                <w:lang w:val="en-US"/>
              </w:rPr>
            </w:pPr>
            <w:r w:rsidRPr="001B6BEC">
              <w:rPr>
                <w:b/>
                <w:bCs/>
                <w:sz w:val="28"/>
                <w:szCs w:val="28"/>
                <w:lang w:val="en-US"/>
              </w:rPr>
              <w:t>Study</w:t>
            </w:r>
          </w:p>
        </w:tc>
        <w:tc>
          <w:tcPr>
            <w:tcW w:w="6045" w:type="dxa"/>
            <w:gridSpan w:val="4"/>
          </w:tcPr>
          <w:p w:rsidR="006606C5" w:rsidRPr="001B6BEC" w:rsidRDefault="006606C5" w:rsidP="00292DB7">
            <w:pPr>
              <w:rPr>
                <w:b/>
                <w:bCs/>
                <w:sz w:val="28"/>
                <w:szCs w:val="28"/>
                <w:lang w:val="en-US"/>
              </w:rPr>
            </w:pPr>
            <w:r w:rsidRPr="001B6BEC">
              <w:rPr>
                <w:b/>
                <w:bCs/>
                <w:sz w:val="28"/>
                <w:szCs w:val="28"/>
                <w:lang w:val="en-US"/>
              </w:rPr>
              <w:t>Selection</w:t>
            </w:r>
          </w:p>
        </w:tc>
        <w:tc>
          <w:tcPr>
            <w:tcW w:w="1855" w:type="dxa"/>
          </w:tcPr>
          <w:p w:rsidR="006606C5" w:rsidRPr="001B6BEC" w:rsidRDefault="006606C5" w:rsidP="00292DB7">
            <w:pPr>
              <w:rPr>
                <w:b/>
                <w:bCs/>
                <w:sz w:val="28"/>
                <w:szCs w:val="28"/>
                <w:lang w:val="en-US"/>
              </w:rPr>
            </w:pPr>
            <w:r w:rsidRPr="001B6BEC">
              <w:rPr>
                <w:b/>
                <w:bCs/>
                <w:sz w:val="28"/>
                <w:szCs w:val="28"/>
                <w:lang w:val="en-US"/>
              </w:rPr>
              <w:t>Comparability</w:t>
            </w:r>
          </w:p>
        </w:tc>
        <w:tc>
          <w:tcPr>
            <w:tcW w:w="3922" w:type="dxa"/>
            <w:gridSpan w:val="3"/>
          </w:tcPr>
          <w:p w:rsidR="006606C5" w:rsidRPr="001B6BEC" w:rsidRDefault="006606C5" w:rsidP="00292DB7">
            <w:pPr>
              <w:rPr>
                <w:b/>
                <w:bCs/>
                <w:sz w:val="28"/>
                <w:szCs w:val="28"/>
                <w:lang w:val="en-US"/>
              </w:rPr>
            </w:pPr>
            <w:r w:rsidRPr="001B6BEC">
              <w:rPr>
                <w:b/>
                <w:bCs/>
                <w:sz w:val="28"/>
                <w:szCs w:val="28"/>
                <w:lang w:val="en-US"/>
              </w:rPr>
              <w:t>Outcome</w:t>
            </w:r>
          </w:p>
        </w:tc>
        <w:tc>
          <w:tcPr>
            <w:tcW w:w="810" w:type="dxa"/>
          </w:tcPr>
          <w:p w:rsidR="006606C5" w:rsidRPr="001B6BEC" w:rsidRDefault="006606C5" w:rsidP="00292DB7">
            <w:pPr>
              <w:rPr>
                <w:b/>
                <w:bCs/>
                <w:sz w:val="28"/>
                <w:szCs w:val="28"/>
                <w:lang w:val="en-US"/>
              </w:rPr>
            </w:pPr>
            <w:r w:rsidRPr="001B6BEC">
              <w:rPr>
                <w:b/>
                <w:bCs/>
                <w:sz w:val="28"/>
                <w:szCs w:val="28"/>
                <w:lang w:val="en-US"/>
              </w:rPr>
              <w:t>Total</w:t>
            </w:r>
          </w:p>
        </w:tc>
      </w:tr>
      <w:tr w:rsidR="006606C5" w:rsidRPr="0078550C" w:rsidTr="00FE28D2">
        <w:trPr>
          <w:trHeight w:val="1878"/>
        </w:trPr>
        <w:tc>
          <w:tcPr>
            <w:tcW w:w="1261" w:type="dxa"/>
          </w:tcPr>
          <w:p w:rsidR="006606C5" w:rsidRPr="001B6BEC" w:rsidRDefault="006606C5" w:rsidP="00292DB7">
            <w:pPr>
              <w:rPr>
                <w:lang w:val="en-US"/>
              </w:rPr>
            </w:pPr>
          </w:p>
        </w:tc>
        <w:tc>
          <w:tcPr>
            <w:tcW w:w="1967" w:type="dxa"/>
          </w:tcPr>
          <w:p w:rsidR="006606C5" w:rsidRPr="00546002" w:rsidRDefault="006606C5" w:rsidP="00292DB7">
            <w:pPr>
              <w:rPr>
                <w:lang w:val="en-US"/>
              </w:rPr>
            </w:pPr>
            <w:r w:rsidRPr="00546002">
              <w:rPr>
                <w:lang w:val="en-US"/>
              </w:rPr>
              <w:t>Representativeness of the exposed cohort</w:t>
            </w:r>
          </w:p>
        </w:tc>
        <w:tc>
          <w:tcPr>
            <w:tcW w:w="1247" w:type="dxa"/>
          </w:tcPr>
          <w:p w:rsidR="006606C5" w:rsidRPr="001B6BEC" w:rsidRDefault="006606C5" w:rsidP="00292DB7">
            <w:pPr>
              <w:rPr>
                <w:lang w:val="en-US"/>
              </w:rPr>
            </w:pPr>
            <w:r w:rsidRPr="001B6BEC">
              <w:rPr>
                <w:lang w:val="en-US"/>
              </w:rPr>
              <w:t>Selection of external control</w:t>
            </w:r>
          </w:p>
        </w:tc>
        <w:tc>
          <w:tcPr>
            <w:tcW w:w="1529" w:type="dxa"/>
          </w:tcPr>
          <w:p w:rsidR="006606C5" w:rsidRPr="001B6BEC" w:rsidRDefault="006606C5" w:rsidP="00292DB7">
            <w:pPr>
              <w:rPr>
                <w:lang w:val="en-US"/>
              </w:rPr>
            </w:pPr>
            <w:r w:rsidRPr="001B6BEC">
              <w:rPr>
                <w:lang w:val="en-US"/>
              </w:rPr>
              <w:t>Ascertainment of exposure</w:t>
            </w:r>
          </w:p>
        </w:tc>
        <w:tc>
          <w:tcPr>
            <w:tcW w:w="1302" w:type="dxa"/>
          </w:tcPr>
          <w:p w:rsidR="006606C5" w:rsidRPr="00546002" w:rsidRDefault="006606C5" w:rsidP="00292DB7">
            <w:pPr>
              <w:rPr>
                <w:lang w:val="en-US"/>
              </w:rPr>
            </w:pPr>
            <w:r w:rsidRPr="00546002">
              <w:rPr>
                <w:lang w:val="en-US"/>
              </w:rPr>
              <w:t xml:space="preserve">Outcome of interest </w:t>
            </w:r>
            <w:proofErr w:type="gramStart"/>
            <w:r w:rsidRPr="00546002">
              <w:rPr>
                <w:lang w:val="en-US"/>
              </w:rPr>
              <w:t>not present</w:t>
            </w:r>
            <w:proofErr w:type="gramEnd"/>
            <w:r w:rsidRPr="00546002">
              <w:rPr>
                <w:lang w:val="en-US"/>
              </w:rPr>
              <w:t xml:space="preserve"> at start</w:t>
            </w:r>
          </w:p>
        </w:tc>
        <w:tc>
          <w:tcPr>
            <w:tcW w:w="1855" w:type="dxa"/>
          </w:tcPr>
          <w:p w:rsidR="006606C5" w:rsidRPr="00546002" w:rsidRDefault="006606C5" w:rsidP="00292DB7">
            <w:pPr>
              <w:rPr>
                <w:lang w:val="en-US"/>
              </w:rPr>
            </w:pPr>
            <w:r w:rsidRPr="00546002">
              <w:rPr>
                <w:lang w:val="en-US"/>
              </w:rPr>
              <w:t xml:space="preserve">Comparability of cohort </w:t>
            </w:r>
            <w:proofErr w:type="gramStart"/>
            <w:r w:rsidRPr="00546002">
              <w:rPr>
                <w:lang w:val="en-US"/>
              </w:rPr>
              <w:t>on the basis of</w:t>
            </w:r>
            <w:proofErr w:type="gramEnd"/>
            <w:r w:rsidRPr="00546002">
              <w:rPr>
                <w:lang w:val="en-US"/>
              </w:rPr>
              <w:t xml:space="preserve"> the design or analysis</w:t>
            </w:r>
          </w:p>
        </w:tc>
        <w:tc>
          <w:tcPr>
            <w:tcW w:w="1358" w:type="dxa"/>
          </w:tcPr>
          <w:p w:rsidR="006606C5" w:rsidRPr="001B6BEC" w:rsidRDefault="006606C5" w:rsidP="00292DB7">
            <w:pPr>
              <w:rPr>
                <w:lang w:val="en-US"/>
              </w:rPr>
            </w:pPr>
            <w:r w:rsidRPr="001B6BEC">
              <w:rPr>
                <w:lang w:val="en-US"/>
              </w:rPr>
              <w:t>Assessment of outcome</w:t>
            </w:r>
          </w:p>
        </w:tc>
        <w:tc>
          <w:tcPr>
            <w:tcW w:w="1256" w:type="dxa"/>
          </w:tcPr>
          <w:p w:rsidR="006606C5" w:rsidRPr="00546002" w:rsidRDefault="006606C5" w:rsidP="00292DB7">
            <w:pPr>
              <w:rPr>
                <w:lang w:val="en-US"/>
              </w:rPr>
            </w:pPr>
            <w:r w:rsidRPr="00546002">
              <w:rPr>
                <w:lang w:val="en-US"/>
              </w:rPr>
              <w:t>Was follow-up long enough for outcome occur (5 years)</w:t>
            </w:r>
          </w:p>
        </w:tc>
        <w:tc>
          <w:tcPr>
            <w:tcW w:w="1308" w:type="dxa"/>
          </w:tcPr>
          <w:p w:rsidR="006606C5" w:rsidRPr="00546002" w:rsidRDefault="006606C5" w:rsidP="00292DB7">
            <w:pPr>
              <w:rPr>
                <w:lang w:val="en-US"/>
              </w:rPr>
            </w:pPr>
            <w:r w:rsidRPr="00546002">
              <w:rPr>
                <w:lang w:val="en-US"/>
              </w:rPr>
              <w:t>Adequacy of follow-up of cohorts</w:t>
            </w:r>
          </w:p>
        </w:tc>
        <w:tc>
          <w:tcPr>
            <w:tcW w:w="810" w:type="dxa"/>
          </w:tcPr>
          <w:p w:rsidR="006606C5" w:rsidRPr="00546002" w:rsidRDefault="006606C5" w:rsidP="00292DB7">
            <w:pPr>
              <w:rPr>
                <w:lang w:val="en-US"/>
              </w:rPr>
            </w:pPr>
          </w:p>
        </w:tc>
      </w:tr>
      <w:tr w:rsidR="00FE28D2" w:rsidTr="00FE28D2">
        <w:trPr>
          <w:trHeight w:val="265"/>
        </w:trPr>
        <w:tc>
          <w:tcPr>
            <w:tcW w:w="1261" w:type="dxa"/>
          </w:tcPr>
          <w:p w:rsidR="00FE28D2" w:rsidRDefault="00FE28D2" w:rsidP="00FE28D2">
            <w:pPr>
              <w:tabs>
                <w:tab w:val="left" w:pos="910"/>
              </w:tabs>
              <w:rPr>
                <w:rFonts w:eastAsia="Times New Roman"/>
                <w:color w:val="000000"/>
                <w:sz w:val="20"/>
                <w:szCs w:val="20"/>
              </w:rPr>
            </w:pPr>
            <w:r>
              <w:rPr>
                <w:rFonts w:eastAsia="Times New Roman"/>
                <w:color w:val="000000"/>
                <w:sz w:val="20"/>
                <w:szCs w:val="20"/>
              </w:rPr>
              <w:t>Blok et al. 2020</w:t>
            </w:r>
            <w:r>
              <w:rPr>
                <w:rFonts w:eastAsia="Times New Roman"/>
                <w:color w:val="000000"/>
              </w:rPr>
              <w:fldChar w:fldCharType="begin" w:fldLock="1"/>
            </w:r>
            <w:r>
              <w:rPr>
                <w:rFonts w:eastAsia="Times New Roman"/>
                <w:color w:val="000000"/>
              </w:rPr>
              <w:instrText>ADDIN CSL_CITATION { "citationItems" : [ { "id" : "ITEM-1", "itemData" : { "DOI" : "10.1007/s00345-020-03437-z", "ISBN" : "0123456789", "ISSN" : "1433-8726", "author" : [ { "dropping-particle" : "", "family" : "Blok", "given" : "Joost M", "non-dropping-particle" : "", "parse-names" : false, "suffix" : "" }, { "dropping-particle" : "Van Der", "family" : "Poel", "given" : "Henk G", "non-dropping-particle" : "", "parse-names" : false, "suffix" : "" }, { "dropping-particle" : "", "family" : "Kerst", "given" : "J Martijn", "non-dropping-particle" : "", "parse-names" : false, "suffix" : "" }, { "dropping-particle" : "", "family" : "Bex", "given" : "Axel", "non-dropping-particle" : "", "parse-names" : false, "suffix" : "" }, { "dropping-particle" : "", "family" : "Brouwer", "given" : "Oscar R", "non-dropping-particle" : "", "parse-names" : false, "suffix" : "" }, { "dropping-particle" : "", "family" : "Bosch", "given" : "J L H Ruud", "non-dropping-particle" : "", "parse-names" : false, "suffix" : "" }, { "dropping-particle" : "", "family" : "Horenblas", "given" : "Simon", "non-dropping-particle" : "", "parse-names" : false, "suffix" : "" }, { "dropping-particle" : "", "family" : "Meijer", "given" : "Richard P", "non-dropping-particle" : "", "parse-names" : false, "suffix" : "" } ], "container-title" : "World Journal of Urology", "id" : "ITEM-1", "issue" : "0123456789", "issued" : { "date-parts" : [ [ "2020" ] ] }, "publisher" : "Springer Berlin Heidelberg", "title" : "Clinical outcome of robot \u2011 assisted residual mass resection in metastatic nonseminomatous germ cell tumor", "type" : "article-journal" }, "uris" : [ "http://www.mendeley.com/documents/?uuid=8f729861-654e-4d7b-9a1e-6b92fae4bd0f" ] } ], "mendeley" : { "formattedCitation" : "&lt;sup&gt;46&lt;/sup&gt;", "plainTextFormattedCitation" : "46", "previouslyFormattedCitation" : "&lt;sup&gt;46&lt;/sup&gt;" }, "properties" : {  }, "schema" : "https://github.com/citation-style-language/schema/raw/master/csl-citation.json" }</w:instrText>
            </w:r>
            <w:r>
              <w:rPr>
                <w:rFonts w:eastAsia="Times New Roman"/>
                <w:color w:val="000000"/>
              </w:rPr>
              <w:fldChar w:fldCharType="separate"/>
            </w:r>
            <w:r w:rsidRPr="00AA3E99">
              <w:rPr>
                <w:rFonts w:eastAsia="Times New Roman"/>
                <w:noProof/>
                <w:color w:val="000000"/>
                <w:vertAlign w:val="superscript"/>
              </w:rPr>
              <w:t>46</w:t>
            </w:r>
            <w:r>
              <w:rPr>
                <w:rFonts w:eastAsia="Times New Roman"/>
                <w:color w:val="000000"/>
              </w:rPr>
              <w:fldChar w:fldCharType="end"/>
            </w:r>
            <w:r>
              <w:rPr>
                <w:rFonts w:eastAsia="Times New Roman"/>
                <w:color w:val="000000"/>
                <w:sz w:val="20"/>
                <w:szCs w:val="20"/>
              </w:rPr>
              <w:tab/>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6606C5" w:rsidTr="00FE28D2">
        <w:trPr>
          <w:trHeight w:val="265"/>
        </w:trPr>
        <w:tc>
          <w:tcPr>
            <w:tcW w:w="1261" w:type="dxa"/>
          </w:tcPr>
          <w:p w:rsidR="006606C5" w:rsidRDefault="006606C5" w:rsidP="00292DB7">
            <w:pPr>
              <w:rPr>
                <w:rFonts w:eastAsia="Times New Roman"/>
                <w:b/>
                <w:bCs/>
                <w:color w:val="000000"/>
                <w:sz w:val="20"/>
                <w:szCs w:val="20"/>
              </w:rPr>
            </w:pPr>
            <w:r w:rsidRPr="001B6BEC">
              <w:rPr>
                <w:rFonts w:eastAsia="Times New Roman"/>
                <w:color w:val="000000"/>
                <w:sz w:val="20"/>
                <w:szCs w:val="20"/>
                <w:lang w:val="en-US"/>
              </w:rPr>
              <w:t>Gerdtsson et al. 2019</w:t>
            </w:r>
            <w:r>
              <w:fldChar w:fldCharType="begin" w:fldLock="1"/>
            </w:r>
            <w:r>
              <w:rPr>
                <w:rFonts w:eastAsia="Times New Roman"/>
                <w:color w:val="000000"/>
                <w:sz w:val="20"/>
                <w:szCs w:val="20"/>
                <w:lang w:val="en-US"/>
              </w:rPr>
              <w:instrText>ADDIN CSL_CITATION { "citationItems" : [ { "id" : "ITEM-1", "itemData" : { "DOI" : "10.1016/j.euo.2019.08.002", "ISSN" : "25889311", "PMID" : "31506250", "abstract" : "BACKGROUND: Reports on perioperative complications after postchemotherapy retroperitoneal lymph node dissection (PC-RPLND) for nonseminoma germ cell tumour (NSGCT) are from experienced single centres, with a lack of population-based studies. OBJECTIVE: To assess the complications of bilateral and unilateral PC-RPLND. DESIGN, SETTING, AND PARTICIPANTS: A prospective, population-based, observational multicentre study included all patients with NSGCT who underwent PC-RPLND in Norway and Sweden during 2007-2014. Of a total of 318 patients, 87 underwent bilateral PC-RPLND and 231 underwent unilateral PC-RPLND. The median follow-up was 6 yr. OUTCOME MEASUREMENTS AND STATISTICAL ANALYSIS: Bilateral and unilateral PC-RPLND were compared for the outcomes of intra- and postoperative complications (graded by Clavien-Dindo) and retrograde ejaculation (with or without nerve-sparing surgery). Complications were reported as absolute counts and percentages. The \u03c72 test was used for comparisons. RESULTS AND LIMITATIONS: The incidence of intraoperative complications was higher for bilateral PC-RPLND than for unilateral PC-RPLND (14% vs 4.3%, p = 0.003), with ureteral injury as the most frequent reported complication (2% of the patients). Postoperative complications were more common after bilateral than after unilateral PC-RPLND (45% vs 25%, p = 0.001) with Clavien \u22653b reported in 8.3% and 2.2%, respectively (p = 0.009). Lymphatic leakage was the most common complication occurring in 11% of the patients. Retrograde ejaculation occurred more frequently after bilateral than after unilateral surgery (59% vs 32%, p &lt; 0.001). Limitations of the study include reporting of retrograde ejaculation, which was based on a chart review. CONCLUSIONS: Intra- and postoperative complications including retrograde ejaculation are more frequent after bilateral PC-RPLND than after unilateral PC-RPLND. PATIENT SUMMARY: Lymph node dissection in patients with testicular cancer puts them at risk of complications. In this study, we present the complications after lymph node dissection.", "author" : [ { "dropping-particle" : "", "family" : "Gerdtsson", "given" : "Axel", "non-dropping-particle" : "", "parse-names" : false, "suffix" : "" }, { "dropping-particle" : "", "family" : "H\u00e5kansson", "given" : "Ulf", "non-dropping-particle" : "", "parse-names" : false, "suffix" : "" }, { "dropping-particle" : "", "family" : "T\u00f6rnblom", "given" : "Magnus", "non-dropping-particle" : "", "parse-names" : false, "suffix" : "" }, { "dropping-particle" : "", "family" : "Jancke", "given" : "George", "non-dropping-particle" : "", "parse-names" : false, "suffix" : "" }, { "dropping-particle" : "", "family" : "Negaard", "given" : "Helene F.S.", "non-dropping-particle" : "", "parse-names" : false, "suffix" : "" }, { "dropping-particle" : "", "family" : "Glimelius", "given" : "Ingrid", "non-dropping-particle" : "", "parse-names" : false, "suffix" : "" }, { "dropping-particle" : "", "family" : "Halvorsen", "given" : "Dag", "non-dropping-particle" : "", "parse-names" : false, "suffix" : "" }, { "dropping-particle" : "", "family" : "Karlsd\u00f3ttir", "given" : "\u00c1sa", "non-dropping-particle" : "", "parse-names" : false, "suffix" : "" }, { "dropping-particle" : "", "family" : "Haugnes", "given" : "Hege Sagstuen", "non-dropping-particle" : "", "parse-names" : false, "suffix" : "" }, { "dropping-particle" : "", "family" : "Andreassen", "given" : "Kristine Engen", "non-dropping-particle" : "", "parse-names" : false, "suffix" : "" }, { "dropping-particle" : "", "family" : "Larsen", "given" : "Signe Melsen", "non-dropping-particle" : "", "parse-names" : false, "suffix" : "" }, { "dropping-particle" : "", "family" : "Holmberg", "given" : "G\u00f6ran", "non-dropping-particle" : "", "parse-names" : false, "suffix" : "" }, { "dropping-particle" : "", "family" : "Wahlqvist", "given" : "Rolf", "non-dropping-particle" : "", "parse-names" : false, "suffix" : "" }, { "dropping-particle" : "", "family" : "Tandstad", "given" : "Torgrim", "non-dropping-particle" : "", "parse-names" : false, "suffix" : "" }, { "dropping-particle" : "", "family" : "Cohn-Cedermark", "given" : "Gabriella", "non-dropping-particle" : "", "parse-names" : false, "suffix" : "" }, { "dropping-particle" : "", "family" : "St\u00e5hl", "given" : "Olof", "non-dropping-particle" : "", "parse-names" : false, "suffix" : "" }, { "dropping-particle" : "", "family" : "Kjellman", "given" : "Anders", "non-dropping-particle" : "", "parse-names" : false, "suffix" : "" } ], "container-title" : "European urology oncology", "id" : "ITEM-1", "issue" : "3", "issued" : { "date-parts" : [ [ "2020" ] ] }, "page" : "382-389", "title" : "Surgical Complications in Postchemotherapy Retroperitoneal Lymph Node Dissection for Nonseminoma Germ Cell Tumour: A Population-based Study from the Swedish Norwegian Testicular Cancer Group", "type" : "article-journal", "volume" : "3" }, "uris" : [ "http://www.mendeley.com/documents/?uuid=ce8ef65b-7243-4bd4-9432-515e8d22faab" ] } ], "mendeley" : { "formattedCitation" : "&lt;sup&gt;19&lt;/sup&gt;", "plainTextFormattedCitation" : "19", "previouslyFormattedCitation" : "&lt;sup&gt;19&lt;/sup&gt;"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19</w:t>
            </w:r>
            <w:r>
              <w:fldChar w:fldCharType="end"/>
            </w:r>
          </w:p>
        </w:tc>
        <w:tc>
          <w:tcPr>
            <w:tcW w:w="1967" w:type="dxa"/>
          </w:tcPr>
          <w:p w:rsidR="006606C5" w:rsidRPr="00950CF3" w:rsidRDefault="006606C5" w:rsidP="00292DB7">
            <w:pPr>
              <w:tabs>
                <w:tab w:val="left" w:pos="-1080"/>
                <w:tab w:val="left" w:pos="-720"/>
                <w:tab w:val="left" w:pos="270"/>
              </w:tabs>
              <w:jc w:val="center"/>
              <w:rPr>
                <w:rFonts w:asciiTheme="majorHAnsi" w:hAnsiTheme="majorHAnsi" w:cstheme="majorHAnsi"/>
                <w:lang w:val="en-GB"/>
              </w:rPr>
            </w:pPr>
            <w:r>
              <w:rPr>
                <w:rFonts w:ascii="Wingdings" w:hAnsi="Wingdings"/>
                <w:b/>
                <w:bCs/>
                <w:lang w:val="en-GB"/>
              </w:rPr>
              <w:t></w:t>
            </w:r>
          </w:p>
        </w:tc>
        <w:tc>
          <w:tcPr>
            <w:tcW w:w="1247" w:type="dxa"/>
          </w:tcPr>
          <w:p w:rsidR="006606C5" w:rsidRDefault="006606C5" w:rsidP="00292DB7">
            <w:pPr>
              <w:jc w:val="center"/>
            </w:pPr>
            <w:r>
              <w:t>0</w:t>
            </w:r>
          </w:p>
        </w:tc>
        <w:tc>
          <w:tcPr>
            <w:tcW w:w="1529"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1302"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1855" w:type="dxa"/>
          </w:tcPr>
          <w:p w:rsidR="006606C5" w:rsidRDefault="006606C5" w:rsidP="00292DB7">
            <w:pPr>
              <w:jc w:val="center"/>
            </w:pPr>
            <w:r>
              <w:t>0</w:t>
            </w:r>
          </w:p>
        </w:tc>
        <w:tc>
          <w:tcPr>
            <w:tcW w:w="1358"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1256" w:type="dxa"/>
          </w:tcPr>
          <w:p w:rsidR="006606C5" w:rsidRDefault="006606C5" w:rsidP="00292DB7">
            <w:pPr>
              <w:tabs>
                <w:tab w:val="left" w:pos="-1080"/>
                <w:tab w:val="left" w:pos="-720"/>
                <w:tab w:val="left" w:pos="270"/>
              </w:tabs>
              <w:jc w:val="center"/>
              <w:rPr>
                <w:lang w:val="en-GB"/>
              </w:rPr>
            </w:pPr>
            <w:r>
              <w:rPr>
                <w:rFonts w:ascii="Wingdings" w:hAnsi="Wingdings"/>
                <w:b/>
                <w:bCs/>
                <w:lang w:val="en-GB"/>
              </w:rPr>
              <w:t></w:t>
            </w:r>
          </w:p>
          <w:p w:rsidR="006606C5" w:rsidRDefault="006606C5" w:rsidP="00292DB7">
            <w:pPr>
              <w:jc w:val="center"/>
            </w:pPr>
          </w:p>
        </w:tc>
        <w:tc>
          <w:tcPr>
            <w:tcW w:w="1308"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810" w:type="dxa"/>
          </w:tcPr>
          <w:p w:rsidR="006606C5" w:rsidRDefault="006606C5" w:rsidP="00292DB7">
            <w:pPr>
              <w:jc w:val="center"/>
            </w:pPr>
            <w:r>
              <w:t>6/9</w:t>
            </w:r>
          </w:p>
        </w:tc>
      </w:tr>
      <w:tr w:rsidR="006606C5" w:rsidTr="00FE28D2">
        <w:trPr>
          <w:trHeight w:val="276"/>
        </w:trPr>
        <w:tc>
          <w:tcPr>
            <w:tcW w:w="1261" w:type="dxa"/>
          </w:tcPr>
          <w:p w:rsidR="006606C5" w:rsidRDefault="006606C5" w:rsidP="00292DB7">
            <w:proofErr w:type="spellStart"/>
            <w:r>
              <w:rPr>
                <w:rFonts w:eastAsia="Times New Roman"/>
                <w:color w:val="000000"/>
                <w:sz w:val="20"/>
                <w:szCs w:val="20"/>
              </w:rPr>
              <w:t>Hiester</w:t>
            </w:r>
            <w:proofErr w:type="spellEnd"/>
            <w:r>
              <w:rPr>
                <w:rFonts w:eastAsia="Times New Roman"/>
                <w:color w:val="000000"/>
                <w:sz w:val="20"/>
                <w:szCs w:val="20"/>
              </w:rPr>
              <w:t xml:space="preserve"> et al. 2019</w:t>
            </w:r>
            <w:r>
              <w:fldChar w:fldCharType="begin" w:fldLock="1"/>
            </w:r>
            <w:r>
              <w:rPr>
                <w:rFonts w:eastAsia="Times New Roman"/>
                <w:color w:val="000000"/>
                <w:sz w:val="20"/>
                <w:szCs w:val="20"/>
              </w:rPr>
              <w:instrText>ADDIN CSL_CITATION { "citationItems" : [ { "id" : "ITEM-1", "itemData" : { "DOI" : "10.3389/fsurg.2018.00080", "ISSN" : "2296875X", "abstract" : "Background: Post-chemotherapy retroperitoneal lymph node dissection (PC-RPLND) plays a crucial role in treatment of metastatic non-seminomatous germ cell cancer. Objective: To evaluate the functional outcome regarding the preservation of ejaculatory function comparing a bilateral vs. unilateral template resection in PC-RPLND patients. In addition, oncological safety and perioperative complications of the unilateral template resection was compared to the full bilateral one. Design/Setting/Participants: Between 2003 and 2018, 504 RPLNDs have been performed in 434 patients. The database of consecutive patients was queried to identify 171 patients with PC-RPLND after 1st line chemotherapy for a non-seminoma with or without bilateral template resection. Re-Do\u2019s, late relapse, salvage patients, and thoraco-abdominal approaches were excluded. Indication for a template resection was a unilateral residual mass mainly &lt;5 cm as published (1). Outcome, Measurement, and Statistical Analysis: Descriptive statistics were used to report preoperative features, postoperative outcomes and patterns of recurrence, on the overall population and after stratification for the type of resection (bilateral vs. unilateral). Kaplan-Meier analyses were used to describe recurrence-and cancer-specific mortality-free survival rates at different time points. Results and Limitations: Overall, 90 and 81 patients underwent unilateral and bilateral radical resection, respectively. Median size of residual mass was 7 cm for bilateral and 4 cm for unilateral template resection. Clinical stage II and III were present in 31 and 69% of patients, respectively. Median follow-up was 14.5 months (IQR 3.3\u201337.6). The 1-and 2-year recurrence-free survival rates were 91 and 91%, and 77 and 72% for patients treated with unilateral template and bilateral resection, respectively (p = 0.0078). Median time to recurrence was 9.5 and 9 months in template and bilateral resection group, respectively. Adjunctive procedures were performed in 56 patients (33%) and were significantly more frequent in the bilateral resection group (43 vs. 23%, p = 0.006). The overall high-grade complication rate (Clavien-Dindo \u2265 III) was 6, 3, and 9% in unilateral template and bilateral resection group, respectively (p = 0.6). The rate of preservation of antegrade ejaculation was significantly higher in the unilateral group. Conclusions: Antegrade ejaculation in patients undergoing unilateral template resection with a residual mass &lt;5\u2026", "author" : [ { "dropping-particle" : "", "family" : "Hiester", "given" : "Andreas", "non-dropping-particle" : "", "parse-names" : false, "suffix" : "" }, { "dropping-particle" : "", "family" : "Nini", "given" : "Alessandro", "non-dropping-particle" : "", "parse-names" : false, "suffix" : "" }, { "dropping-particle" : "", "family" : "Fingerhut", "given" : "Anna", "non-dropping-particle" : "", "parse-names" : false, "suffix" : "" }, { "dropping-particle" : "", "family" : "Siemer", "given" : "Robert Gro\u00dfe", "non-dropping-particle" : "", "parse-names" : false, "suffix" : "" }, { "dropping-particle" : "", "family" : "Winter", "given" : "Christian", "non-dropping-particle" : "", "parse-names" : false, "suffix" : "" }, { "dropping-particle" : "", "family" : "Albers", "given" : "Peter", "non-dropping-particle" : "", "parse-names" : false, "suffix" : "" }, { "dropping-particle" : "", "family" : "Lusch", "given" : "Achim", "non-dropping-particle" : "", "parse-names" : false, "suffix" : "" } ], "container-title" : "Frontiers in Surgery", "id" : "ITEM-1", "issue" : "January", "issued" : { "date-parts" : [ [ "2019" ] ] }, "page" : "1-8", "title" : "Preservation of ejaculatory function after postchemotherapy retroperitoneal lymph node dissection (PC-RPLND) in patients with testicular cancer: Template vs. bilateral resection", "type" : "article-journal", "volume" : "5" }, "uris" : [ "http://www.mendeley.com/documents/?uuid=aae3a8ab-2312-4467-98a4-0d893bef44c9" ] } ], "mendeley" : { "formattedCitation" : "&lt;sup&gt;20&lt;/sup&gt;", "plainTextFormattedCitation" : "20", "previouslyFormattedCitation" : "&lt;sup&gt;20&lt;/sup&gt;"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20</w:t>
            </w:r>
            <w:r>
              <w:fldChar w:fldCharType="end"/>
            </w:r>
          </w:p>
        </w:tc>
        <w:tc>
          <w:tcPr>
            <w:tcW w:w="1967" w:type="dxa"/>
          </w:tcPr>
          <w:p w:rsidR="006606C5" w:rsidRDefault="006606C5" w:rsidP="00292DB7">
            <w:pPr>
              <w:tabs>
                <w:tab w:val="left" w:pos="-1080"/>
                <w:tab w:val="left" w:pos="-720"/>
                <w:tab w:val="left" w:pos="270"/>
              </w:tabs>
              <w:jc w:val="center"/>
              <w:rPr>
                <w:lang w:val="en-GB"/>
              </w:rPr>
            </w:pPr>
            <w:r>
              <w:rPr>
                <w:rFonts w:ascii="Wingdings" w:hAnsi="Wingdings"/>
                <w:b/>
                <w:bCs/>
                <w:lang w:val="en-GB"/>
              </w:rPr>
              <w:t></w:t>
            </w:r>
          </w:p>
          <w:p w:rsidR="006606C5" w:rsidRDefault="006606C5" w:rsidP="00292DB7">
            <w:pPr>
              <w:jc w:val="center"/>
            </w:pPr>
          </w:p>
        </w:tc>
        <w:tc>
          <w:tcPr>
            <w:tcW w:w="1247" w:type="dxa"/>
          </w:tcPr>
          <w:p w:rsidR="006606C5" w:rsidRDefault="006606C5" w:rsidP="00292DB7">
            <w:pPr>
              <w:jc w:val="center"/>
            </w:pPr>
            <w:r>
              <w:t>0</w:t>
            </w:r>
          </w:p>
        </w:tc>
        <w:tc>
          <w:tcPr>
            <w:tcW w:w="1529"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1302"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1855" w:type="dxa"/>
          </w:tcPr>
          <w:p w:rsidR="006606C5" w:rsidRDefault="006606C5" w:rsidP="00292DB7">
            <w:pPr>
              <w:tabs>
                <w:tab w:val="left" w:pos="-1080"/>
                <w:tab w:val="left" w:pos="-720"/>
                <w:tab w:val="left" w:pos="270"/>
              </w:tabs>
              <w:jc w:val="center"/>
              <w:rPr>
                <w:lang w:val="en-GB"/>
              </w:rPr>
            </w:pPr>
            <w:r>
              <w:t xml:space="preserve">0 </w:t>
            </w:r>
            <w:r>
              <w:rPr>
                <w:rFonts w:ascii="Wingdings" w:hAnsi="Wingdings"/>
                <w:b/>
                <w:bCs/>
                <w:lang w:val="en-GB"/>
              </w:rPr>
              <w:t></w:t>
            </w:r>
          </w:p>
          <w:p w:rsidR="006606C5" w:rsidRDefault="006606C5" w:rsidP="00292DB7">
            <w:pPr>
              <w:jc w:val="center"/>
            </w:pPr>
          </w:p>
        </w:tc>
        <w:tc>
          <w:tcPr>
            <w:tcW w:w="1358"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1256" w:type="dxa"/>
          </w:tcPr>
          <w:p w:rsidR="006606C5" w:rsidRDefault="006606C5" w:rsidP="00292DB7">
            <w:pPr>
              <w:jc w:val="center"/>
            </w:pPr>
            <w:r>
              <w:t>0</w:t>
            </w:r>
          </w:p>
        </w:tc>
        <w:tc>
          <w:tcPr>
            <w:tcW w:w="1308" w:type="dxa"/>
          </w:tcPr>
          <w:p w:rsidR="006606C5" w:rsidRDefault="006606C5" w:rsidP="00292DB7">
            <w:pPr>
              <w:tabs>
                <w:tab w:val="left" w:pos="-1080"/>
                <w:tab w:val="left" w:pos="-720"/>
                <w:tab w:val="left" w:pos="270"/>
              </w:tabs>
              <w:ind w:firstLine="270"/>
              <w:jc w:val="center"/>
              <w:rPr>
                <w:lang w:val="en-GB"/>
              </w:rPr>
            </w:pPr>
            <w:r>
              <w:rPr>
                <w:rFonts w:ascii="Wingdings" w:hAnsi="Wingdings"/>
                <w:b/>
                <w:bCs/>
                <w:lang w:val="en-GB"/>
              </w:rPr>
              <w:t></w:t>
            </w:r>
          </w:p>
          <w:p w:rsidR="006606C5" w:rsidRDefault="006606C5" w:rsidP="00292DB7">
            <w:pPr>
              <w:jc w:val="center"/>
            </w:pPr>
          </w:p>
        </w:tc>
        <w:tc>
          <w:tcPr>
            <w:tcW w:w="810" w:type="dxa"/>
          </w:tcPr>
          <w:p w:rsidR="006606C5" w:rsidRDefault="006606C5" w:rsidP="00292DB7">
            <w:pPr>
              <w:jc w:val="center"/>
            </w:pPr>
            <w:r>
              <w:t>6/9</w:t>
            </w:r>
          </w:p>
        </w:tc>
      </w:tr>
      <w:tr w:rsidR="00FE28D2" w:rsidTr="00FE28D2">
        <w:trPr>
          <w:trHeight w:val="276"/>
        </w:trPr>
        <w:tc>
          <w:tcPr>
            <w:tcW w:w="1261" w:type="dxa"/>
          </w:tcPr>
          <w:p w:rsidR="00FE28D2" w:rsidRDefault="00FE28D2" w:rsidP="00FE28D2">
            <w:pPr>
              <w:rPr>
                <w:rFonts w:eastAsia="Times New Roman"/>
                <w:color w:val="000000"/>
                <w:sz w:val="20"/>
                <w:szCs w:val="20"/>
              </w:rPr>
            </w:pPr>
            <w:r>
              <w:rPr>
                <w:rFonts w:eastAsia="Times New Roman"/>
                <w:color w:val="000000"/>
                <w:sz w:val="20"/>
                <w:szCs w:val="20"/>
              </w:rPr>
              <w:t>Öztürk et al. 2019</w:t>
            </w:r>
            <w:r>
              <w:fldChar w:fldCharType="begin" w:fldLock="1"/>
            </w:r>
            <w:r>
              <w:rPr>
                <w:rFonts w:eastAsia="Times New Roman"/>
                <w:color w:val="000000"/>
                <w:sz w:val="20"/>
                <w:szCs w:val="20"/>
              </w:rPr>
              <w:instrText>ADDIN CSL_CITATION { "citationItems" : [ { "id" : "ITEM-1", "itemData" : { "DOI" : "10.1038/s41598-019-52109-5", "ISSN" : "20452322", "PMID" : "31676840", "abstract" : "Ten-year oncological experience of the University Medical Center Groningen with conventional laparotomy (C-RRRTM) and laparoscopy (L-RRRTM) is described concerning resection of residual retroperitoneal tumor masses (RRTM) in a large series of patients with advanced nonseminomatous testicular germ cell tumors (NSTGCT). 150 consecutive patients with disseminated NSTGCT required adjunctive surgery after combination chemotherapy. L-RRRTM was scheduled in 89 and C-RRRTM in 61 patients. Median residual tumor diameter was 20 mm in the L-RRRTM versus 42 mm in the C-RRRTM group (p &lt; 0.001). Conversion rate was 15% in the L-RRRTM group. Perioperative complications occurred in 5 patients (6%) in the L-RRRTM and 7 (12%, NS) in the C-RRRTM group. Median duration of L-RRRTM was 156 minutes vs. 221 minutes for C-RRRTM (p &lt; 0.001). 17/89 patients in the L-RRRTM group had postoperative complications versus 18/61 patients in the C-RRRTM group (NS). Median postoperative stay in the L-RRRTM group was 2 vs. 6 days in the C-RRRTM group (p &lt; 0.001). During a median follow-up of 79 months, 27 patients had recurrences: 8 (9%) in the L-RRRTM group and 19 (31%) in the C-RRRTM group (p &lt; 0.001). Laparoscopic resection of RRTM for advanced NSTGCT is feasible and an oncologically safe option in appropriately selected patients.", "author" : [ { "dropping-particle" : "", "family" : "\u00d6zt\u00fcrk", "given" : "\u00c7i\u011fdem", "non-dropping-particle" : "", "parse-names" : false, "suffix" : "" }, { "dropping-particle" : "", "family" : "Been", "given" : "Lukas B.", "non-dropping-particle" : "", "parse-names" : false, "suffix" : "" }, { "dropping-particle" : "", "family" : "Ginkel", "given" : "Robert J.", "non-dropping-particle" : "van", "parse-names" : false, "suffix" : "" }, { "dropping-particle" : "", "family" : "Gietema", "given" : "Jourik A.", "non-dropping-particle" : "", "parse-names" : false, "suffix" : "" }, { "dropping-particle" : "", "family" : "Hoekstra", "given" : "Harald J.", "non-dropping-particle" : "", "parse-names" : false, "suffix" : "" } ], "container-title" : "Scientific Reports", "id" : "ITEM-1", "issue" : "1", "issued" : { "date-parts" : [ [ "2019" ] ] }, "page" : "1-10", "title" : "Laparoscopic Resection of Residual Retroperitoneal Tumor Mass in Advanced Nonseminomatous Testicular Germ Cell Tumors; a Feasible and Safe Oncological Procedure", "type" : "article-journal", "volume" : "9" }, "uris" : [ "http://www.mendeley.com/documents/?uuid=1051f6d7-1622-4fc7-8d42-3a43ec6b07d6" ] } ], "mendeley" : { "formattedCitation" : "&lt;sup&gt;33&lt;/sup&gt;", "plainTextFormattedCitation" : "33", "previouslyFormattedCitation" : "&lt;sup&gt;33&lt;/sup&gt;"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33</w:t>
            </w:r>
            <w: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6/9</w:t>
            </w:r>
          </w:p>
        </w:tc>
      </w:tr>
      <w:tr w:rsidR="00FE28D2" w:rsidTr="00FE28D2">
        <w:trPr>
          <w:trHeight w:val="276"/>
        </w:trPr>
        <w:tc>
          <w:tcPr>
            <w:tcW w:w="1261" w:type="dxa"/>
          </w:tcPr>
          <w:p w:rsidR="00FE28D2" w:rsidRDefault="00FE28D2" w:rsidP="00FE28D2">
            <w:pPr>
              <w:rPr>
                <w:rFonts w:eastAsia="Times New Roman"/>
                <w:color w:val="000000"/>
                <w:sz w:val="20"/>
                <w:szCs w:val="20"/>
              </w:rPr>
            </w:pPr>
            <w:proofErr w:type="spellStart"/>
            <w:r>
              <w:rPr>
                <w:rFonts w:eastAsia="Times New Roman"/>
                <w:color w:val="000000"/>
                <w:sz w:val="20"/>
                <w:szCs w:val="20"/>
              </w:rPr>
              <w:t>Islamoglu</w:t>
            </w:r>
            <w:proofErr w:type="spellEnd"/>
            <w:r>
              <w:rPr>
                <w:rFonts w:eastAsia="Times New Roman"/>
                <w:color w:val="000000"/>
                <w:sz w:val="20"/>
                <w:szCs w:val="20"/>
              </w:rPr>
              <w:t xml:space="preserve"> et al. 2018</w:t>
            </w:r>
            <w:r>
              <w:rPr>
                <w:rFonts w:eastAsia="Times New Roman"/>
                <w:color w:val="000000"/>
                <w:sz w:val="20"/>
                <w:szCs w:val="20"/>
                <w:lang w:val="en-GB"/>
              </w:rPr>
              <w:fldChar w:fldCharType="begin" w:fldLock="1"/>
            </w:r>
            <w:r>
              <w:rPr>
                <w:rFonts w:eastAsia="Times New Roman"/>
                <w:color w:val="000000"/>
                <w:sz w:val="20"/>
                <w:szCs w:val="20"/>
                <w:lang w:val="en-GB"/>
              </w:rPr>
              <w:instrText>ADDIN CSL_CITATION { "citationItems" : [ { "id" : "ITEM-1", "itemData" : { "DOI" : "10.5152/tud.2018.99390", "ISSN" : "21493235", "author" : [ { "dropping-particle" : "", "family" : "Islamoglu", "given" : "Ekrem", "non-dropping-particle" : "", "parse-names" : false, "suffix" : "" }, { "dropping-particle" : "", "family" : "Ozsoy", "given" : "Cagatay", "non-dropping-particle" : "", "parse-names" : false, "suffix" : "" }, { "dropping-particle" : "", "family" : "Anil", "given" : "Hakan", "non-dropping-particle" : "", "parse-names" : false, "suffix" : "" }, { "dropping-particle" : "", "family" : "Aktas", "given" : "Yasin", "non-dropping-particle" : "", "parse-names" : false, "suffix" : "" }, { "dropping-particle" : "", "family" : "Ates", "given" : "Mutlu", "non-dropping-particle" : "", "parse-names" : false, "suffix" : "" }, { "dropping-particle" : "", "family" : "Savas", "given" : "Murat", "non-dropping-particle" : "", "parse-names" : false, "suffix" : "" } ], "container-title" : "T\u00fcrk \u00dcroloji Dergisi/Turkish Journal of Urology", "id" : "ITEM-1", "issue" : "2", "issued" : { "date-parts" : [ [ "2019", "2", "7" ] ] }, "page" : "113-117", "title" : "Post-chemotherapy robot-assisted retroperitoneal lymph node dissection in non-seminomatous germ cell tumor of testis: Feasibility and outcomes of initial cases", "type" : "article-journal", "volume" : "45" }, "uris" : [ "http://www.mendeley.com/documents/?uuid=9d25e62b-d332-33e2-a0bd-85bd47152b3e" ] } ], "mendeley" : { "formattedCitation" : "&lt;sup&gt;42&lt;/sup&gt;", "plainTextFormattedCitation" : "42", "previouslyFormattedCitation" : "&lt;sup&gt;42&lt;/sup&gt;" }, "properties" : {  }, "schema" : "https://github.com/citation-style-language/schema/raw/master/csl-citation.json" }</w:instrText>
            </w:r>
            <w:r>
              <w:rPr>
                <w:rFonts w:eastAsia="Times New Roman"/>
                <w:color w:val="000000"/>
                <w:sz w:val="20"/>
                <w:szCs w:val="20"/>
                <w:lang w:val="en-GB"/>
              </w:rPr>
              <w:fldChar w:fldCharType="separate"/>
            </w:r>
            <w:r w:rsidRPr="00AA3E99">
              <w:rPr>
                <w:rFonts w:eastAsia="Times New Roman"/>
                <w:noProof/>
                <w:color w:val="000000"/>
                <w:sz w:val="20"/>
                <w:szCs w:val="20"/>
                <w:vertAlign w:val="superscript"/>
                <w:lang w:val="en-GB"/>
              </w:rPr>
              <w:t>42</w:t>
            </w:r>
            <w:r>
              <w:rPr>
                <w:rFonts w:eastAsia="Times New Roman"/>
                <w:color w:val="000000"/>
                <w:sz w:val="20"/>
                <w:szCs w:val="20"/>
                <w:lang w:val="en-GB"/>
              </w:rPr>
              <w:fldChar w:fldCharType="end"/>
            </w:r>
          </w:p>
        </w:tc>
        <w:tc>
          <w:tcPr>
            <w:tcW w:w="1967" w:type="dxa"/>
          </w:tcPr>
          <w:p w:rsidR="00FE28D2" w:rsidRDefault="00FE28D2" w:rsidP="00FE28D2">
            <w:pPr>
              <w:jc w:val="center"/>
            </w:pPr>
            <w:r>
              <w:t>0</w:t>
            </w: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4/9</w:t>
            </w:r>
          </w:p>
        </w:tc>
      </w:tr>
      <w:tr w:rsidR="00FE28D2" w:rsidTr="00FE28D2">
        <w:trPr>
          <w:trHeight w:val="276"/>
        </w:trPr>
        <w:tc>
          <w:tcPr>
            <w:tcW w:w="1261" w:type="dxa"/>
          </w:tcPr>
          <w:p w:rsidR="00FE28D2" w:rsidRDefault="00FE28D2" w:rsidP="00FE28D2">
            <w:pPr>
              <w:rPr>
                <w:rFonts w:eastAsia="Times New Roman"/>
                <w:color w:val="000000"/>
                <w:sz w:val="20"/>
                <w:szCs w:val="20"/>
              </w:rPr>
            </w:pPr>
            <w:r>
              <w:rPr>
                <w:rFonts w:eastAsia="Times New Roman"/>
                <w:color w:val="000000"/>
                <w:sz w:val="20"/>
                <w:szCs w:val="20"/>
              </w:rPr>
              <w:t>Schmidt et al. 2018</w:t>
            </w:r>
            <w:r>
              <w:fldChar w:fldCharType="begin" w:fldLock="1"/>
            </w:r>
            <w:r>
              <w:rPr>
                <w:rFonts w:eastAsia="Times New Roman"/>
                <w:color w:val="000000"/>
                <w:sz w:val="20"/>
                <w:szCs w:val="20"/>
                <w:lang w:val="en-GB"/>
              </w:rPr>
              <w:instrText>ADDIN CSL_CITATION { "citationItems" : [ { "id" : "ITEM-1", "itemData" : { "DOI" : "10.1080/0284186X.2018.1449249", "ISSN" : "1651226X", "abstract" : "\u00a9 2018 Acta Oncologica Foundation Background: Resection of residual masses after chemotherapy plays a crucial role in management of patients with germ cell tumours (GCTs). The extent of surgery is controversial and we present the experiences from Aarhus University Hospital over a 20-year period. The aim was to evaluate survival, complications, working ability and quality of life (QOL) following a limited surgical procedure performed to resect residual masses in non-seminomatous testicular cancer patients after chemotherapy. Material and methods: A consecutive patient cohort of 109 patients having surgery between 1993 and 2013 was investigated. Hospital records were reviewed and complications were graded according to the Clavien-Dindo classification. QOL data were assessed in a cross-sectional analysis using the European Organisation for Research and Treatment of Cancer (EORTC), QLQ-C30 version 3.0. Patients were matched 1:1 with controls to evaluate the influence of surgical resection on the QOL. Results: With a median follow-up of 10.3 years, 11 relapses in retroperitoneum were recorded in 10 patients (9%), and four patients (5%) died of disease progression. The majority of relapses in patients considered having no evidence of disease (NED) after primary retroperitoneal surgery occurred 10\u2009+\u2009years after treatment and was outside the field of the elective lymph node dissection. Twenty-seven (44%) grade I, 15 (24%) grade II, 7 (11%) grade IIIa and 13 (21%) grade IIIb complications were recorded. No grade IV and V complications were observed. Twenty-three patients (20%) reported loss of antegrade ejaculation. We found no significant differences between patients and controls regarding QOL. Conclusion: The survival outcome and complication rate are favourable and are comparable to studies involving full and modified template lymph node dissection. We find that limited resection constitutes an applicable and safe procedure. Limited surgical resection did not influence the patients\u2019 long-term QOL. Longer follow-up might be considered.", "author" : [ { "dropping-particle" : "", "family" : "Schmidt", "given" : "Anna Hartmann", "non-dropping-particle" : "", "parse-names" : false, "suffix" : "" }, { "dropping-particle" : "", "family" : "H\u00f8yer", "given" : "Morten", "non-dropping-particle" : "", "parse-names" : false, "suffix" : "" }, { "dropping-particle" : "", "family" : "Jensen", "given" : "Bent Frode Skov", "non-dropping-particle" : "", "parse-names" : false, "suffix" : "" }, { "dropping-particle" : "", "family" : "Agerbaek", "given" : "Mads", "non-dropping-particle" : "", "parse-names" : false, "suffix" : "" } ], "container-title" : "Acta Oncologica", "id" : "ITEM-1", "issue" : "8", "issued" : { "date-parts" : [ [ "2018" ] ] }, "page" : "1084-1093", "publisher" : "Informa UK Limited, trading as Taylor &amp; Francis Group", "title" : "Limited post-chemotherapy retroperitoneal resection of residual tumour in non-seminomatous testicular cancer: complications, outcome and quality of life", "type" : "article-journal", "volume" : "57" }, "uris" : [ "http://www.mendeley.com/documents/?uuid=39179ee6-de73-4c0f-bff1-85f01c178e30" ] } ], "mendeley" : { "formattedCitation" : "&lt;sup&gt;31&lt;/sup&gt;", "plainTextFormattedCitation" : "31", "previouslyFormattedCitation" : "&lt;sup&gt;31&lt;/sup&gt;"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lang w:val="en-GB"/>
              </w:rPr>
              <w:t>31</w:t>
            </w:r>
            <w: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7/9</w:t>
            </w:r>
          </w:p>
        </w:tc>
      </w:tr>
      <w:tr w:rsidR="00FE28D2" w:rsidTr="00FE28D2">
        <w:trPr>
          <w:trHeight w:val="276"/>
        </w:trPr>
        <w:tc>
          <w:tcPr>
            <w:tcW w:w="1261" w:type="dxa"/>
          </w:tcPr>
          <w:p w:rsidR="00FE28D2" w:rsidRDefault="00FE28D2" w:rsidP="00FE28D2">
            <w:pPr>
              <w:rPr>
                <w:rFonts w:eastAsia="Times New Roman"/>
                <w:color w:val="000000"/>
                <w:sz w:val="20"/>
                <w:szCs w:val="20"/>
              </w:rPr>
            </w:pPr>
            <w:proofErr w:type="spellStart"/>
            <w:r>
              <w:rPr>
                <w:rFonts w:eastAsia="Times New Roman"/>
                <w:color w:val="000000"/>
                <w:sz w:val="20"/>
                <w:szCs w:val="20"/>
              </w:rPr>
              <w:t>Tamhankar</w:t>
            </w:r>
            <w:proofErr w:type="spellEnd"/>
            <w:r>
              <w:rPr>
                <w:rFonts w:eastAsia="Times New Roman"/>
                <w:color w:val="000000"/>
                <w:sz w:val="20"/>
                <w:szCs w:val="20"/>
              </w:rPr>
              <w:t xml:space="preserve"> et al. 2018</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"10.1007/s11701-018-00903-0", "ISSN" : "18632483", "author" : [ { "dropping-particle" : "", "family" : "Tamhankar", "given" : "Ashwin Sunil", "non-dropping-particle" : "", "parse-names" : false, "suffix" : "" }, { "dropping-particle" : "", "family" : "Patil", "given" : "Saurabh Ramesh", "non-dropping-particle" : "", "parse-names" : false, "suffix" : "" }, { "dropping-particle" : "", "family" : "Ojha", "given" : "Surya Prakash", "non-dropping-particle" : "", "parse-names" : false, "suffix" : "" }, { "dropping-particle" : "", "family" : "Ahluwalia", "given" : "Puneet", "non-dropping-particle" : "", "parse-names" : false, "suffix" : "" }, { "dropping-particle" : "", "family" : "Gautam", "given" : "Gagan", "non-dropping-particle" : "", "parse-names" : false, "suffix" : "" } ], "container-title" : "Journal of Robotic Surgery", "id" : "ITEM-1", "issued" : { "date-parts" : [ [ "2019" ] ] }, "publisher" : "Springer London", "title" : "Therapeutic supine robotic retroperitoneal lymph node dissection for post-chemotherapy residual masses in testicular cancer: technique and outcome analysis of initial experience", "type" : "article-newspaper" }, "uris" : [ "http://www.mendeley.com/documents/?uuid=a2715ef6-08fd-37a5-be9a-f0432c9b5522" ] } ], "mendeley" : { "formattedCitation" : "&lt;sup&gt;43&lt;/sup&gt;", "plainTextFormattedCitation" : "43", "previouslyFormattedCitation" : "&lt;sup&gt;43&lt;/sup&gt;"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43</w:t>
            </w:r>
            <w:r>
              <w:rPr>
                <w:rFonts w:eastAsia="Times New Roman"/>
                <w:color w:val="000000"/>
                <w:sz w:val="20"/>
                <w:szCs w:val="20"/>
              </w:rPr>
              <w:fldChar w:fldCharType="end"/>
            </w:r>
          </w:p>
        </w:tc>
        <w:tc>
          <w:tcPr>
            <w:tcW w:w="1967" w:type="dxa"/>
          </w:tcPr>
          <w:p w:rsidR="00FE28D2" w:rsidRDefault="00FE28D2" w:rsidP="00FE28D2">
            <w:pPr>
              <w:jc w:val="center"/>
            </w:pPr>
            <w:r>
              <w:t>0</w:t>
            </w: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4/9</w:t>
            </w:r>
          </w:p>
        </w:tc>
      </w:tr>
      <w:tr w:rsidR="00FE28D2" w:rsidTr="00FE28D2">
        <w:trPr>
          <w:trHeight w:val="265"/>
        </w:trPr>
        <w:tc>
          <w:tcPr>
            <w:tcW w:w="1261" w:type="dxa"/>
          </w:tcPr>
          <w:p w:rsidR="00FE28D2" w:rsidRDefault="00FE28D2" w:rsidP="00FE28D2">
            <w:r>
              <w:rPr>
                <w:rFonts w:eastAsia="Times New Roman"/>
                <w:color w:val="000000"/>
                <w:sz w:val="20"/>
                <w:szCs w:val="20"/>
              </w:rPr>
              <w:t>Ariffin et al. 2017</w:t>
            </w:r>
            <w:r>
              <w:fldChar w:fldCharType="begin" w:fldLock="1"/>
            </w:r>
            <w:r>
              <w:rPr>
                <w:rFonts w:eastAsia="Times New Roman"/>
                <w:color w:val="000000"/>
                <w:sz w:val="20"/>
                <w:szCs w:val="20"/>
              </w:rPr>
              <w:instrText>ADDIN CSL_CITATION { "citationItems" : [ { "id" : "ITEM-1", "itemData" : { "ISSN" : "0332-3102 (Print)", "PMID" : "29465837", "abstract" : "complications of diabetes may be beneficial.", "author" : [ { "dropping-particle" : "", "family" : "Ariffin", "given" : "N A", "non-dropping-particle" : "", "parse-names" : false, "suffix" : "" }, { "dropping-particle" : "", "family" : "Nason", "given" : "G J", "non-dropping-particle" : "", "parse-names" : false, "suffix" : "" }, { "dropping-particle" : "", "family" : "Omer", "given" : "S I", "non-dropping-particle" : "", "parse-names" : false, "suffix" : "" }, { "dropping-particle" : "", "family" : "Considine", "given" : "S W", "non-dropping-particle" : "", "parse-names" : false, "suffix" : "" }, { "dropping-particle" : "", "family" : "Sweeney", "given" : "P", "non-dropping-particle" : "", "parse-names" : false, "suffix" : "" }, { "dropping-particle" : "", "family" : "Power", "given" : "D G", "non-dropping-particle" : "", "parse-names" : false, "suffix" : "" } ], "container-title" : "Irish medical journal", "id" : "ITEM-1", "issue" : "10", "issued" : { "date-parts" : [ [ "2017", "12" ] ] }, "language" : "eng", "page" : "647", "publisher-place" : "Ireland", "title" : "Post-Chemotherapy Retroperitoneal Lymph Node Dissection in Patients with Non-Seminomatous Germ Cell Tumour (NSGCT).", "type" : "article-journal", "volume" : "110" }, "uris" : [ "http://www.mendeley.com/documents/?uuid=12cdcb32-416e-4f81-ac21-16a008698854" ] } ], "mendeley" : { "formattedCitation" : "&lt;sup&gt;21&lt;/sup&gt;", "plainTextFormattedCitation" : "21", "previouslyFormattedCitation" : "&lt;sup&gt;21&lt;/sup&gt;"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21</w:t>
            </w:r>
            <w: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FE28D2" w:rsidTr="00FE28D2">
        <w:trPr>
          <w:trHeight w:val="265"/>
        </w:trPr>
        <w:tc>
          <w:tcPr>
            <w:tcW w:w="1261" w:type="dxa"/>
          </w:tcPr>
          <w:p w:rsidR="00FE28D2" w:rsidRDefault="00FE28D2" w:rsidP="00FE28D2">
            <w:pPr>
              <w:rPr>
                <w:rFonts w:eastAsia="Times New Roman"/>
                <w:color w:val="000000"/>
                <w:sz w:val="20"/>
                <w:szCs w:val="20"/>
              </w:rPr>
            </w:pPr>
            <w:proofErr w:type="spellStart"/>
            <w:r>
              <w:rPr>
                <w:rFonts w:eastAsia="Times New Roman"/>
                <w:color w:val="000000"/>
                <w:sz w:val="20"/>
                <w:szCs w:val="20"/>
              </w:rPr>
              <w:t>Cho</w:t>
            </w:r>
            <w:proofErr w:type="spellEnd"/>
            <w:r>
              <w:rPr>
                <w:rFonts w:eastAsia="Times New Roman"/>
                <w:color w:val="000000"/>
                <w:sz w:val="20"/>
                <w:szCs w:val="20"/>
              </w:rPr>
              <w:t xml:space="preserve"> et al. 2017</w:t>
            </w:r>
            <w:r>
              <w:fldChar w:fldCharType="begin" w:fldLock="1"/>
            </w:r>
            <w:r>
              <w:rPr>
                <w:rFonts w:eastAsia="Times New Roman"/>
                <w:color w:val="000000"/>
                <w:sz w:val="20"/>
                <w:szCs w:val="20"/>
                <w:lang w:val="en-GB"/>
              </w:rPr>
              <w:instrText>ADDIN CSL_CITATION { "citationItems" : [ { "id" : "ITEM-1", "itemData" : { "DOI" : "10.1111/bju.13844", "ISSN" : "1464410X", "PMID" : "28296054", "abstract" : "OBJECTIVE To update previously reported outcomes of modified-template post-chemotherapy retroperitoneal lymph node dissection (PC-RPLND) in appropriately selected patients with metastatic non-seminomatous germ cell tumour (NSGCT), as our previous report was criticised for short follow-up and so we now provide a long-term update on this cohort. PATIENTS AND METHODS In all, 100 patients with normal serum markers after cisplatin-based chemotherapy and residual retroperitoneal tumour underwent modified PC-RPLND between 1991 and 2004. Using a prospectively managed institutional testicular cancer database, long-term follow-up was obtained. RESULTS As previously reported, 43 patients underwent a right-modified template, 18 patients underwent a full-left-modified template, and 39 patients underwent a left-modified template. The updated long-term median follow-up for the entire cohort is 125 months. Seven patients developed recurrent disease with a median (range) time to recurrence of 11 (6-102) months, and one patient died from recurrent disease in the chest 4 years after surgery. All recurrences were outside the boundaries of a full-bilateral template RPLND, with the most common location of recurrence being the chest. The 5- and 10-year recurrence-free survival rates were 93% and 92%, respectively. The overall survival at 10 years was 99%. CONCLUSIONS In appropriately selected patients with low-volume disease before and after chemotherapy, a modified template has durable long-term efficacy without risk of in-field recurrences at a median follow-up of 125 months.", "author" : [ { "dropping-particle" : "", "family" : "Cho", "given" : "Jane S.", "non-dropping-particle" : "", "parse-names" : false, "suffix" : "" }, { "dropping-particle" : "", "family" : "Kaimakliotis", "given" : "Hristos Z.", "non-dropping-particle" : "", "parse-names" : false, "suffix" : "" }, { "dropping-particle" : "", "family" : "Cary", "given" : "Clint", "non-dropping-particle" : "", "parse-names" : false, "suffix" : "" }, { "dropping-particle" : "", "family" : "Masterson", "given" : "Timothy A.", "non-dropping-particle" : "", "parse-names" : false, "suffix" : "" }, { "dropping-particle" : "", "family" : "Beck", "given" : "Stephen", "non-dropping-particle" : "", "parse-names" : false, "suffix" : "" }, { "dropping-particle" : "", "family" : "Foster", "given" : "Richard", "non-dropping-particle" : "", "parse-names" : false, "suffix" : "" } ], "container-title" : "BJU International", "id" : "ITEM-1", "issue" : "1", "issued" : { "date-parts" : [ [ "2017", "7", "1" ] ] }, "page" : "104-108", "publisher" : "Blackwell Publishing Ltd", "title" : "Modified retroperitoneal lymph node dissection for post-chemotherapy residual tumour: a long-term update", "type" : "article-journal", "volume" : "120" }, "uris" : [ "http://www.mendeley.com/documents/?uuid=81b5fbdc-44fc-3894-96c1-cf2a1949096a" ] } ], "mendeley" : { "formattedCitation" : "&lt;sup&gt;27&lt;/sup&gt;", "plainTextFormattedCitation" : "27", "previouslyFormattedCitation" : "&lt;sup&gt;27&lt;/sup&gt;"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lang w:val="en-GB"/>
              </w:rPr>
              <w:t>27</w:t>
            </w:r>
            <w: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6/9</w:t>
            </w:r>
          </w:p>
        </w:tc>
      </w:tr>
      <w:tr w:rsidR="00FE28D2" w:rsidTr="00FE28D2">
        <w:trPr>
          <w:trHeight w:val="265"/>
        </w:trPr>
        <w:tc>
          <w:tcPr>
            <w:tcW w:w="1261" w:type="dxa"/>
          </w:tcPr>
          <w:p w:rsidR="00FE28D2" w:rsidRDefault="00FE28D2" w:rsidP="00FE28D2">
            <w:pPr>
              <w:rPr>
                <w:rFonts w:eastAsia="Times New Roman"/>
                <w:color w:val="000000"/>
                <w:sz w:val="20"/>
                <w:szCs w:val="20"/>
              </w:rPr>
            </w:pPr>
            <w:r>
              <w:rPr>
                <w:rFonts w:eastAsia="Times New Roman"/>
                <w:color w:val="000000"/>
                <w:sz w:val="20"/>
                <w:szCs w:val="20"/>
              </w:rPr>
              <w:t>Kamel et al. 2016</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"10.1089/end.2015.0673", "ISSN" : "1557900X", "PMID" : "26669219", "abstract" : "Purpose: There is little literature on robotic retroperitoneal lymph node dissection (RRPLND) in the difficult post-chemotherapy (PC) setting. We report on the outcome of RRPLND in patients with PC-residual masses. Materials and Methods: Between 2011 and 2015, we performed 12 PC-RRPLND. Mean patient age was 37.8 years. Mean body mass index was 30.78. Nine (75%) patients had nonseminomatus germ cell tumor (NSGCT) and three (25%) patients had seminoma tumors. Cancer stage was III in six (50%), II-C in three (25%), II-B in two (16.7%), and II-A in one (8.03%). International Germ Cell Cancer Collaborative Group (IGCCCG) prognostic classification in the NSGCT was good in six, intermediate in two, and poor in one, and was good in the three seminoma patients. Results: The procedure was completed effectively in 11 (91.7%) patients. Mean operative time was 312 minutes. The mean estimated blood loss was 475 mL. Mean hospital stay was 3.2 days. Mean number of lymph node excised was 12. Six of the excised masses were \u22655 cm (N3), largest was 7.5 cm. Pathology showed teratoma in five (45.5%), benign/necrosis in five (45.5%), and viable germ cells in one (9%). Major complication (Clavien \u22653) occurred in one patient and minor (Clavien \u22642) in two. Antegrade ejaculation was preserved in eight patients and in one could not be assessed. At a median follow-up of 31 months, no infield or outfield relapses occurred. Conclusions: Robotic PC-retroperitoneal lymph node dissection (RPLND) is technically feasible and with acceptable morbidity. It is associated with low blood loss and short hospital stay. More research is needed to assess the long-term outcome and to compare standard open RPLND.", "author" : [ { "dropping-particle" : "", "family" : "Kamel", "given" : "Mohamed H.", "non-dropping-particle" : "", "parse-names" : false, "suffix" : "" }, { "dropping-particle" : "", "family" : "Littlejohn", "given" : "Nathan", "non-dropping-particle" : "", "parse-names" : false, "suffix" : "" }, { "dropping-particle" : "", "family" : "Cox", "given" : "Michelle", "non-dropping-particle" : "", "parse-names" : false, "suffix" : "" }, { "dropping-particle" : "", "family" : "Eltahawy", "given" : "Ehab A.", "non-dropping-particle" : "", "parse-names" : false, "suffix" : "" }, { "dropping-particle" : "", "family" : "Davis", "given" : "Rodney", "non-dropping-particle" : "", "parse-names" : false, "suffix" : "" } ], "container-title" : "Journal of Endourology", "id" : "ITEM-1", "issue" : "5", "issued" : { "date-parts" : [ [ "2016" ] ] }, "page" : "510-519", "title" : "Post-Chemotherapy Robotic Retroperitoneal Lymph Node Dissection: Institutional Experience", "type" : "article-journal", "volume" : "30" }, "uris" : [ "http://www.mendeley.com/documents/?uuid=5765df0b-0397-400d-a867-fa335a259053" ] } ], "mendeley" : { "formattedCitation" : "&lt;sup&gt;44&lt;/sup&gt;", "plainTextFormattedCitation" : "44", "previouslyFormattedCitation" : "&lt;sup&gt;44&lt;/sup&gt;"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44</w:t>
            </w:r>
            <w:r>
              <w:rPr>
                <w:rFonts w:eastAsia="Times New Roman"/>
                <w:color w:val="000000"/>
                <w:sz w:val="20"/>
                <w:szCs w:val="20"/>
              </w:rP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FE28D2" w:rsidTr="00FE28D2">
        <w:trPr>
          <w:trHeight w:val="265"/>
        </w:trPr>
        <w:tc>
          <w:tcPr>
            <w:tcW w:w="1261" w:type="dxa"/>
          </w:tcPr>
          <w:p w:rsidR="00FE28D2" w:rsidRDefault="00FE28D2" w:rsidP="00FE28D2">
            <w:pPr>
              <w:rPr>
                <w:rFonts w:eastAsia="Times New Roman"/>
                <w:color w:val="000000"/>
                <w:sz w:val="20"/>
                <w:szCs w:val="20"/>
              </w:rPr>
            </w:pPr>
            <w:r>
              <w:rPr>
                <w:rFonts w:eastAsia="Times New Roman"/>
                <w:color w:val="000000"/>
                <w:sz w:val="20"/>
                <w:szCs w:val="20"/>
              </w:rPr>
              <w:t>Nicolai et al. 2016</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"10.1089/end.2016.0458", "ISSN" : "1557900X", "PMID" : "27533924", "abstract" : "Background: Residual retroperitoneal masses in NSGCT need postchemotherapy retroperitoneal lymph-node dissection (PC-RPLND). Open (O) PC-RPLND is a standardized procedure, but morbidity is not negligible and mostly attributable to laparotomy. Laparoscopic (L) PC-RPLND may improve tolerability profile. We evaluated viability, toxicity, and short to medium-term oncologic outcome of L-PC-RPLND following well-defined selection criteria. Patients and Methods: Since February 2011, consecutive patients with a unilateral residual mass (\u22651 cm or growing), normalized markers, and limited encasement of inferior vena cava and/or aorta were candidate to unilateral L-PC-RPLND. Surgical performances, histology, hospital stay, complications within 30 days, and survival were recorded. Patients were regularly followed up. Adjuvant chemotherapy was not provided. Results: Sixty-seven patients (stage IIA = 14; IIB = 41; IIC = 7; III = 5), representing 29% of all those candidate to PC-RPLND in this time frame, underwent L-PC-RPLND up to August 2015. Median size of the mass was 27 mm (interquartile range [IQR] 15-31). Median operative time was 234 minutes (IQR 184-250). Three procedures were converted to open surgery. Mean hospital stay was 3 days (IQR 2-4). Out of three (4.5%), one grade III (lymphocele requiring drainage) complication occurred. Sixty-six (98.5%) patients maintained antegrade ejaculation. Histology revealed teratoma in 76%, fibronecrotic tissue in 21%, and viable cancer in 3% patients. All patients are alive and event free after a median follow-up of 21 months (IQR 10-30). Conclusions: In a referral center, L-PC-RPLND is a transferable option for a proportion of patients with a residual mass. Tolerability is acceptable, and current oncologic outcome is consistent with a safe oncologic profile.", "author" : [ { "dropping-particle" : "", "family" : "Nicolai", "given" : "Nicola", "non-dropping-particle" : "", "parse-names" : false, "suffix" : "" }, { "dropping-particle" : "", "family" : "Cattaneo", "given" : "Francesco", "non-dropping-particle" : "", "parse-names" : false, "suffix" : "" }, { "dropping-particle" : "", "family" : "Biasoni", "given" : "Davide", "non-dropping-particle" : "", "parse-names" : false, "suffix" : "" }, { "dropping-particle" : "", "family" : "Catanzaro", "given" : "Mario", "non-dropping-particle" : "", "parse-names" : false, "suffix" : "" }, { "dropping-particle" : "", "family" : "Torelli", "given" : "Tullio", "non-dropping-particle" : "", "parse-names" : false, "suffix" : "" }, { "dropping-particle" : "", "family" : "Zazzara", "given" : "Michele", "non-dropping-particle" : "", "parse-names" : false, "suffix" : "" }, { "dropping-particle" : "", "family" : "Necchi", "given" : "Andrea", "non-dropping-particle" : "", "parse-names" : false, "suffix" : "" }, { "dropping-particle" : "", "family" : "Giannatempo", "given" : "Patrizia", "non-dropping-particle" : "", "parse-names" : false, "suffix" : "" }, { "dropping-particle" : "", "family" : "Raggi", "given" : "Daniele", "non-dropping-particle" : "", "parse-names" : false, "suffix" : "" }, { "dropping-particle" : "", "family" : "Piva", "given" : "Luigi", "non-dropping-particle" : "", "parse-names" : false, "suffix" : "" }, { "dropping-particle" : "", "family" : "Colecchia", "given" : "Maurizio", "non-dropping-particle" : "", "parse-names" : false, "suffix" : "" }, { "dropping-particle" : "", "family" : "Salvioni", "given" : "Roberto", "non-dropping-particle" : "", "parse-names" : false, "suffix" : "" }, { "dropping-particle" : "", "family" : "Stagni", "given" : "Silvia", "non-dropping-particle" : "", "parse-names" : false, "suffix" : "" } ], "container-title" : "Journal of Endourology", "id" : "ITEM-1", "issue" : "10", "issued" : { "date-parts" : [ [ "2016" ] ] }, "page" : "1112-1119", "title" : "Laparoscopic Postchemotherapy Retroperitoneal Lymph-Node Dissection Can Be a Standard Option in Defined Nonseminomatous Germ Cell Tumor Patients", "type" : "article-journal", "volume" : "30" }, "uris" : [ "http://www.mendeley.com/documents/?uuid=ae1898e1-4383-40bd-8ad4-585e29f3ffa3" ] } ], "mendeley" : { "formattedCitation" : "&lt;sup&gt;36&lt;/sup&gt;", "plainTextFormattedCitation" : "36", "previouslyFormattedCitation" : "&lt;sup&gt;36&lt;/sup&gt;"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36</w:t>
            </w:r>
            <w:r>
              <w:rPr>
                <w:rFonts w:eastAsia="Times New Roman"/>
                <w:color w:val="000000"/>
                <w:sz w:val="20"/>
                <w:szCs w:val="20"/>
              </w:rP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FE28D2" w:rsidTr="00FE28D2">
        <w:trPr>
          <w:trHeight w:val="265"/>
        </w:trPr>
        <w:tc>
          <w:tcPr>
            <w:tcW w:w="1261" w:type="dxa"/>
          </w:tcPr>
          <w:p w:rsidR="00FE28D2" w:rsidRDefault="00FE28D2" w:rsidP="00FE28D2">
            <w:pPr>
              <w:rPr>
                <w:rFonts w:eastAsia="Times New Roman"/>
                <w:color w:val="000000"/>
                <w:sz w:val="20"/>
                <w:szCs w:val="20"/>
              </w:rPr>
            </w:pPr>
            <w:proofErr w:type="spellStart"/>
            <w:r>
              <w:rPr>
                <w:rFonts w:eastAsia="Times New Roman"/>
                <w:color w:val="000000"/>
                <w:sz w:val="20"/>
                <w:szCs w:val="20"/>
              </w:rPr>
              <w:t>Stepanian</w:t>
            </w:r>
            <w:proofErr w:type="spellEnd"/>
            <w:r>
              <w:rPr>
                <w:rFonts w:eastAsia="Times New Roman"/>
                <w:color w:val="000000"/>
                <w:sz w:val="20"/>
                <w:szCs w:val="20"/>
              </w:rPr>
              <w:t xml:space="preserve"> et al. 2016</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"10.1016/j.eururo.2016.03.031", "ISSN" : "18737560", "abstract" : "Background Retroperitoneal lymph node dissection (RPLND) is an accepted staging and treatment option for nonseminomatous germ cell tumor. Robotic surgery offers technical advantages and is being increasingly used in urologic procedures. Objective To determine the feasibility and safety of robotic surgery for RPLND. Design, setting, and participants A retrospective review of robotic (R)-RPLND performed by a single surgeon from April 2008 to October 2014 using two approaches was performed. In total, 20 procedures in 19 patients were evaluated. Eleven men had clinical stage (CS) I disease, six had CS II, one of whom had prior chemotherapy, and two had CS III disease and had also undergone previous chemotherapy. Surgical procedure A lateral robotic approach was initially used; however, a supine robotic approach was developed to allow for bilateral dissection in one setting without repositioning. Template dissection with nerve sparing was performed for CS I patients and full bilateral dissection for patients with CS II or higher disease and for those who had active disease according to intraoperative frozen section results. Outcome measurements Mean operative time, estimated blood loss, hospital stay, and lymph node count were retrospectively reviewed, as was the presence of recurrence or the need for adjuvant therapy over median follow-up of 49 mo (interquartile range [IQR] 37.4\u201370.5). Intraoperative and postoperative complications were also reviewed. Results and limitations R-RPLND was performed successfully in 20 procedures in 19 patients; 11 were performed from a lateral approach and nine from a supine approach. The median operating time (available for 19 of 20 cases) was 293 min (IQR 257.5\u2013317). Median estimated blood loss and length of stay were 50 ml (IQR 50\u2013100) and 1 d (IQR 1\u20132), respectively. Some 70% (14/20) of patients were discharged after one night. The median lymph node yield was 19.5 (IQR 13.8\u201327. 3). Eleven patients had pathologic stage I disease, and eight had residual disease on pathology. There was one ureteral transection that was repaired robotically at the time of surgery with no long-term sequelae. There were no open conversions or transfusions. Two patients had ejaculatory dysfunction following bilateral RPLND. There has been no evidence of retroperitoneal disease recurrence during the follow-up period. Limitations include the retrospective nature of the study and the single surgeon experience. Conclusions R-RPLND can be successfully\u2026", "author" : [ { "dropping-particle" : "", "family" : "Stepanian", "given" : "Sevan", "non-dropping-particle" : "", "parse-names" : false, "suffix" : "" }, { "dropping-particle" : "", "family" : "Patel", "given" : "Mayank", "non-dropping-particle" : "", "parse-names" : false, "suffix" : "" }, { "dropping-particle" : "", "family" : "Porter", "given" : "James", "non-dropping-particle" : "", "parse-names" : false, "suffix" : "" } ], "container-title" : "European Urology", "id" : "ITEM-1", "issue" : "4", "issued" : { "date-parts" : [ [ "2016", "10", "1" ] ] }, "page" : "661-667", "publisher" : "Elsevier B.V.", "title" : "Robot-assisted Laparoscopic Retroperitoneal Lymph Node Dissection for Testicular Cancer: Evolution of the Technique", "type" : "article-journal", "volume" : "70" }, "uris" : [ "http://www.mendeley.com/documents/?uuid=9a712e45-f25b-3094-983a-8fa73160e924" ] } ], "mendeley" : { "formattedCitation" : "&lt;sup&gt;45&lt;/sup&gt;", "plainTextFormattedCitation" : "45", "previouslyFormattedCitation" : "&lt;sup&gt;45&lt;/sup&gt;"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45</w:t>
            </w:r>
            <w:r>
              <w:rPr>
                <w:rFonts w:eastAsia="Times New Roman"/>
                <w:color w:val="000000"/>
                <w:sz w:val="20"/>
                <w:szCs w:val="20"/>
              </w:rP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FE28D2" w:rsidTr="00FE28D2">
        <w:trPr>
          <w:trHeight w:val="265"/>
        </w:trPr>
        <w:tc>
          <w:tcPr>
            <w:tcW w:w="1261" w:type="dxa"/>
          </w:tcPr>
          <w:p w:rsidR="00FE28D2" w:rsidRDefault="00FE28D2" w:rsidP="00FE28D2">
            <w:proofErr w:type="spellStart"/>
            <w:r>
              <w:rPr>
                <w:rFonts w:eastAsia="Times New Roman"/>
                <w:color w:val="000000"/>
                <w:sz w:val="20"/>
                <w:szCs w:val="20"/>
              </w:rPr>
              <w:lastRenderedPageBreak/>
              <w:t>Nowroozi</w:t>
            </w:r>
            <w:proofErr w:type="spellEnd"/>
            <w:r>
              <w:rPr>
                <w:rFonts w:eastAsia="Times New Roman"/>
                <w:color w:val="000000"/>
                <w:sz w:val="20"/>
                <w:szCs w:val="20"/>
              </w:rPr>
              <w:t xml:space="preserve"> et al. 2015</w:t>
            </w:r>
            <w:r>
              <w:fldChar w:fldCharType="begin" w:fldLock="1"/>
            </w:r>
            <w:r>
              <w:rPr>
                <w:rFonts w:eastAsia="Times New Roman"/>
                <w:color w:val="000000"/>
                <w:sz w:val="20"/>
                <w:szCs w:val="20"/>
              </w:rPr>
              <w:instrText>ADDIN CSL_CITATION { "citationItems" : [ { "id" : "ITEM-1", "itemData" : { "DOI" : "10.5812/numonthly.27343", "author" : [ { "dropping-particle" : "", "family" : "Nowroozi", "given" : "Mohamadreza", "non-dropping-particle" : "", "parse-names" : false, "suffix" : "" }, { "dropping-particle" : "", "family" : "Ayati", "given" : "Mohsen", "non-dropping-particle" : "", "parse-names" : false, "suffix" : "" }, { "dropping-particle" : "", "family" : "Arbab", "given" : "Amir", "non-dropping-particle" : "", "parse-names" : false, "suffix" : "" }, { "dropping-particle" : "", "family" : "Jamshidian", "given" : "Hassan", "non-dropping-particle" : "", "parse-names" : false, "suffix" : "" }, { "dropping-particle" : "", "family" : "Niroomand", "given" : "Hassan", "non-dropping-particle" : "", "parse-names" : false, "suffix" : "" }, { "dropping-particle" : "", "family" : "Mahmoodi", "given" : "Mohsen Taheri", "non-dropping-particle" : "", "parse-names" : false, "suffix" : "" }, { "dropping-particle" : "", "family" : "Amini", "given" : "Erfan", "non-dropping-particle" : "", "parse-names" : false, "suffix" : "" }, { "dropping-particle" : "", "family" : "Salehi", "given" : "Sohrab", "non-dropping-particle" : "", "parse-names" : false, "suffix" : "" }, { "dropping-particle" : "", "family" : "Hakima", "given" : "Hamid", "non-dropping-particle" : "", "parse-names" : false, "suffix" : "" }, { "dropping-particle" : "", "family" : "Fazeli", "given" : "Farid", "non-dropping-particle" : "", "parse-names" : false, "suffix" : "" }, { "dropping-particle" : "", "family" : "Haghdani", "given" : "Saeid", "non-dropping-particle" : "", "parse-names" : false, "suffix" : "" }, { "dropping-particle" : "", "family" : "Ghadian", "given" : "Alireza", "non-dropping-particle" : "", "parse-names" : false, "suffix" : "" } ], "id" : "ITEM-1", "issue" : "5", "issued" : { "date-parts" : [ [ "2015" ] ] }, "title" : "Postchemotherapy Retroperitoneal Lymph Node Dissection in Patients With Nonseminomatous Testicular Cancer : A Single Center Experiences", "type" : "article-journal", "volume" : "7" }, "uris" : [ "http://www.mendeley.com/documents/?uuid=c6014b32-ed05-47d3-afcf-675de79f94d9" ] } ], "mendeley" : { "formattedCitation" : "&lt;sup&gt;22&lt;/sup&gt;", "plainTextFormattedCitation" : "22", "previouslyFormattedCitation" : "&lt;sup&gt;22&lt;/sup&gt;"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22</w:t>
            </w:r>
            <w: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Pr="00AF46E3" w:rsidRDefault="00FE28D2" w:rsidP="00FE28D2">
            <w:pPr>
              <w:tabs>
                <w:tab w:val="left" w:pos="-1080"/>
                <w:tab w:val="left" w:pos="-720"/>
                <w:tab w:val="left" w:pos="270"/>
              </w:tabs>
              <w:jc w:val="center"/>
              <w:rPr>
                <w:lang w:val="en-GB"/>
              </w:rPr>
            </w:pPr>
            <w:r>
              <w:rPr>
                <w:lang w:val="en-GB"/>
              </w:rP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FE28D2" w:rsidTr="00FE28D2">
        <w:trPr>
          <w:trHeight w:val="265"/>
        </w:trPr>
        <w:tc>
          <w:tcPr>
            <w:tcW w:w="1261" w:type="dxa"/>
          </w:tcPr>
          <w:p w:rsidR="00FE28D2" w:rsidRDefault="00FE28D2" w:rsidP="00FE28D2">
            <w:pPr>
              <w:rPr>
                <w:rFonts w:eastAsia="Times New Roman"/>
                <w:color w:val="000000"/>
                <w:sz w:val="20"/>
                <w:szCs w:val="20"/>
              </w:rPr>
            </w:pPr>
            <w:proofErr w:type="spellStart"/>
            <w:r>
              <w:rPr>
                <w:rFonts w:eastAsia="Times New Roman"/>
                <w:color w:val="000000"/>
                <w:sz w:val="20"/>
                <w:szCs w:val="20"/>
              </w:rPr>
              <w:t>Arai</w:t>
            </w:r>
            <w:proofErr w:type="spellEnd"/>
            <w:r>
              <w:rPr>
                <w:rFonts w:eastAsia="Times New Roman"/>
                <w:color w:val="000000"/>
                <w:sz w:val="20"/>
                <w:szCs w:val="20"/>
              </w:rPr>
              <w:t xml:space="preserve"> et al. 2012</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"10.1007/s11255-012-0195-z", "ISSN" : "03011623", "PMID" : "22648291", "abstract" : "Purpose: To assess the surgical and oncological outcomes of laparoscopic retroperitoneal lymph node dissection (RPLND) after chemotherapy. Methods: Twenty patients with metastatic nonseminomatous testicular germ-cell tumor underwent extraperitoneal laparoscopic RPLND after chemotherapy. The procedure was not indicated for patients with a pre-chemotherapy mass larger than 5 cm. Morbidity and oncological outcome were reviewed retrospectively. Surgical complications were graded according to the Clavien classification system. Results: Laparoscopic RPLND was completed in all patients, and there was no conversion to open surgery. The median operating time was 223 min (range, 137-399 min). The median blood loss was 20 ml (range, 10-520 ml). There were no intraoperative complications. Postoperatively, 4 patients (20 %) had prolonged lymphorrhea (grade I) and 9 (45 %) had chyle leakage (grade I). Histological examination of the residual mass revealed necrosis in 16 (80 %) and the presence of teratoma with/without viable tumor in 4 (20 %). With a median follow-up of 45 months (range, 24-112), no patient has had disease recurrence. Normal antegrade ejaculation was preserved in all of the 14 patients studied. Conclusion: s Extraperitoneal laparoscopic RPLND can be performed with acceptable morbidity and excellent cancer control in select patients. Surgeons should be aware of relatively high incidence of chyle leakage following this procedure. \u00a9 Springer Science+Business Media, B.V. 2011.", "author" : [ { "dropping-particle" : "", "family" : "Arai", "given" : "Yoichi", "non-dropping-particle" : "", "parse-names" : false, "suffix" : "" }, { "dropping-particle" : "", "family" : "Kaiho", "given" : "Yasuhiro", "non-dropping-particle" : "", "parse-names" : false, "suffix" : "" }, { "dropping-particle" : "", "family" : "Yamada", "given" : "Shigeyuki", "non-dropping-particle" : "", "parse-names" : false, "suffix" : "" }, { "dropping-particle" : "", "family" : "Saito", "given" : "Hideo", "non-dropping-particle" : "", "parse-names" : false, "suffix" : "" }, { "dropping-particle" : "", "family" : "Mitsuzuka", "given" : "Koji", "non-dropping-particle" : "", "parse-names" : false, "suffix" : "" }, { "dropping-particle" : "", "family" : "Yamashita", "given" : "Shinichi", "non-dropping-particle" : "", "parse-names" : false, "suffix" : "" }, { "dropping-particle" : "", "family" : "Namiki", "given" : "Shunichi", "non-dropping-particle" : "", "parse-names" : false, "suffix" : "" }, { "dropping-particle" : "", "family" : "Nakagawa", "given" : "Haruo", "non-dropping-particle" : "", "parse-names" : false, "suffix" : "" }, { "dropping-particle" : "", "family" : "Ishidoya", "given" : "Shigeto", "non-dropping-particle" : "", "parse-names" : false, "suffix" : "" }, { "dropping-particle" : "", "family" : "Ito", "given" : "Akihiro", "non-dropping-particle" : "", "parse-names" : false, "suffix" : "" } ], "container-title" : "International Urology and Nephrology", "id" : "ITEM-1", "issue" : "5", "issued" : { "date-parts" : [ [ "2012" ] ] }, "page" : "1389-1395", "title" : "Extraperitoneal laparoscopic retroperitoneal lymph node dissection after chemotherapy for nonseminomatous testicular germ-cell tumor: Surgical and oncological outcomes", "type" : "article-journal", "volume" : "44" }, "uris" : [ "http://www.mendeley.com/documents/?uuid=bd5e3cb3-32cd-4888-b888-a72fc0e82cb7" ] } ], "mendeley" : { "formattedCitation" : "&lt;sup&gt;37&lt;/sup&gt;", "plainTextFormattedCitation" : "37", "previouslyFormattedCitation" : "&lt;sup&gt;37&lt;/sup&gt;"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37</w:t>
            </w:r>
            <w:r>
              <w:rPr>
                <w:rFonts w:eastAsia="Times New Roman"/>
                <w:color w:val="000000"/>
                <w:sz w:val="20"/>
                <w:szCs w:val="20"/>
              </w:rPr>
              <w:fldChar w:fldCharType="end"/>
            </w:r>
          </w:p>
        </w:tc>
        <w:tc>
          <w:tcPr>
            <w:tcW w:w="1967" w:type="dxa"/>
          </w:tcPr>
          <w:p w:rsidR="00FE28D2" w:rsidRDefault="00FE28D2" w:rsidP="00FE28D2">
            <w:pPr>
              <w:tabs>
                <w:tab w:val="left" w:pos="-1080"/>
                <w:tab w:val="left" w:pos="-720"/>
                <w:tab w:val="left" w:pos="270"/>
              </w:tabs>
              <w:jc w:val="center"/>
              <w:rPr>
                <w:lang w:val="en-GB"/>
              </w:rPr>
            </w:pPr>
            <w:r>
              <w:rPr>
                <w:rFonts w:ascii="Wingdings" w:hAnsi="Wingdings"/>
                <w:b/>
                <w:bCs/>
                <w:lang w:val="en-GB"/>
              </w:rPr>
              <w:t></w:t>
            </w:r>
          </w:p>
          <w:p w:rsidR="00FE28D2" w:rsidRDefault="00FE28D2" w:rsidP="00FE28D2">
            <w:pPr>
              <w:jc w:val="center"/>
            </w:pPr>
          </w:p>
        </w:tc>
        <w:tc>
          <w:tcPr>
            <w:tcW w:w="1247" w:type="dxa"/>
          </w:tcPr>
          <w:p w:rsidR="00FE28D2" w:rsidRDefault="00FE28D2" w:rsidP="00FE28D2">
            <w:pPr>
              <w:jc w:val="center"/>
            </w:pPr>
            <w:r>
              <w:t>0</w:t>
            </w:r>
          </w:p>
        </w:tc>
        <w:tc>
          <w:tcPr>
            <w:tcW w:w="1529"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302"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855" w:type="dxa"/>
          </w:tcPr>
          <w:p w:rsidR="00FE28D2" w:rsidRDefault="00FE28D2" w:rsidP="00FE28D2">
            <w:pPr>
              <w:jc w:val="center"/>
            </w:pPr>
            <w:r>
              <w:t>0</w:t>
            </w:r>
          </w:p>
        </w:tc>
        <w:tc>
          <w:tcPr>
            <w:tcW w:w="135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1256" w:type="dxa"/>
          </w:tcPr>
          <w:p w:rsidR="00FE28D2" w:rsidRDefault="00FE28D2" w:rsidP="00FE28D2">
            <w:pPr>
              <w:jc w:val="center"/>
            </w:pPr>
            <w:r>
              <w:t>0</w:t>
            </w:r>
          </w:p>
        </w:tc>
        <w:tc>
          <w:tcPr>
            <w:tcW w:w="1308" w:type="dxa"/>
          </w:tcPr>
          <w:p w:rsidR="00FE28D2" w:rsidRDefault="00FE28D2" w:rsidP="00FE28D2">
            <w:pPr>
              <w:tabs>
                <w:tab w:val="left" w:pos="-1080"/>
                <w:tab w:val="left" w:pos="-720"/>
                <w:tab w:val="left" w:pos="270"/>
              </w:tabs>
              <w:ind w:firstLine="270"/>
              <w:jc w:val="center"/>
              <w:rPr>
                <w:lang w:val="en-GB"/>
              </w:rPr>
            </w:pPr>
            <w:r>
              <w:rPr>
                <w:rFonts w:ascii="Wingdings" w:hAnsi="Wingdings"/>
                <w:b/>
                <w:bCs/>
                <w:lang w:val="en-GB"/>
              </w:rPr>
              <w:t></w:t>
            </w:r>
          </w:p>
          <w:p w:rsidR="00FE28D2" w:rsidRDefault="00FE28D2" w:rsidP="00FE28D2">
            <w:pPr>
              <w:jc w:val="center"/>
            </w:pPr>
          </w:p>
        </w:tc>
        <w:tc>
          <w:tcPr>
            <w:tcW w:w="810" w:type="dxa"/>
          </w:tcPr>
          <w:p w:rsidR="00FE28D2" w:rsidRDefault="00FE28D2" w:rsidP="00FE28D2">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Ekenel</w:t>
            </w:r>
            <w:proofErr w:type="spellEnd"/>
            <w:r>
              <w:rPr>
                <w:rFonts w:eastAsia="Times New Roman"/>
                <w:color w:val="000000"/>
                <w:sz w:val="20"/>
                <w:szCs w:val="20"/>
              </w:rPr>
              <w:t xml:space="preserve"> et al. 2012</w:t>
            </w:r>
            <w:r>
              <w:fldChar w:fldCharType="begin" w:fldLock="1"/>
            </w:r>
            <w:r>
              <w:rPr>
                <w:rFonts w:eastAsia="Times New Roman"/>
                <w:color w:val="000000"/>
                <w:sz w:val="20"/>
                <w:szCs w:val="20"/>
                <w:lang w:val="en-GB"/>
              </w:rPr>
              <w:instrText>ADDIN CSL_CITATION { "citationItems" : [ { "id" : "ITEM-1", "itemData" : { "DOI" : "10.1016/j.clgc.2012.04.002", "ISSN" : "15587673", "PMID" : "22682983", "abstract" : "Background: Retroperitoneal lymph node dissection is an important treatment modality in nonseminomatous germ cell tumors of the testis. However, the role of more limited surgical approaches such as resection of enlarged lymph nodes only is still controversial. Patients and Methods: Between January 1991 and December 2010, charts of 94 patients who underwent resection of enlarged retroperitoneal lymph nodes alone were reviewed. Pathologic findings, local recurrence, and adverse effects were noted after this surgical approach. Results: The median age was 25.5 years. Twenty-one (22.6%) patients had lung metastasis, and 5 (5.4%) patients had nonregional lymph node metastasis at the initial visit. Eighty-seven (91.6%) patients received chemotherapy after inguinal orchiectomy, and the other patients had mass resection only for enlarged lymph nodes without prior chemotherapy. In patients who had chemotherapy before surgery, the median retroperitoneal lymph node size before and after chemotherapy cycles was 55 mm and 32.5 mm, respectively. The pathologic assessment of retroperitoneal masses revealed mature teratoma in 51.6% (n = 47) of patients, viable carcinoma in 20.9% (n = 19) of patients, and necrosis or fibrosis in 27.5% (n = 25) of patients. The median follow-up time was 60.2 months (range, 2.7-334.8 months). During follow-up, 5 (5.4%) patients had radiologic relapse at the retroperitoneal area, and 3 patients developed systemic metastases. Six (6.4%) patients died of their disease, 2 (2.1%) patients were alive with disease, 86 (91.5%) patients were healthy at the last follow-up. Ejaculation status was recorded in 56 patients. Antegrade ejaculation had preserved in 53 (94.6%) of these patients. Conclusions: Resection of enlarged lymph node metastases alone is a reasonable treatment option for patients with nonseminomatous germ cell tumors. \u00a9 2012 Elsevier Inc. All rights reserved.", "author" : [ { "dropping-particle" : "", "family" : "Ekenel", "given" : "Meltem", "non-dropping-particle" : "", "parse-names" : false, "suffix" : "" }, { "dropping-particle" : "", "family" : "Keskin", "given" : "Serkan", "non-dropping-particle" : "", "parse-names" : false, "suffix" : "" }, { "dropping-particle" : "", "family" : "\u015eanli", "given" : "\u00d6ner", "non-dropping-particle" : "", "parse-names" : false, "suffix" : "" }, { "dropping-particle" : "", "family" : "Bavbek", "given" : "Sevil", "non-dropping-particle" : "", "parse-names" : false, "suffix" : "" }, { "dropping-particle" : "", "family" : "Tun\u00e7", "given" : "Murat", "non-dropping-particle" : "", "parse-names" : false, "suffix" : "" }, { "dropping-particle" : "", "family" : "Ander", "given" : "Haluk", "non-dropping-particle" : "", "parse-names" : false, "suffix" : "" }, { "dropping-particle" : "", "family" : "\u00d6zcan", "given" : "Faruk", "non-dropping-particle" : "", "parse-names" : false, "suffix" : "" }, { "dropping-particle" : "", "family" : "Kili\u00e7aslan", "given" : "I\u015fin", "non-dropping-particle" : "", "parse-names" : false, "suffix" : "" }, { "dropping-particle" : "", "family" : "Ba\u015faran", "given" : "Mert", "non-dropping-particle" : "", "parse-names" : false, "suffix" : "" } ], "container-title" : "Clinical Genitourinary Cancer", "id" : "ITEM-1", "issue" : "3", "issued" : { "date-parts" : [ [ "2012" ] ] }, "page" : "185-189", "title" : "What is the role of enlarged lymph node resection alone in patients with nonseminomatous germ cell tumor who had stage II or III disease?", "type" : "article-journal", "volume" : "10" }, "uris" : [ "http://www.mendeley.com/documents/?uuid=0e3ff435-822b-430f-acdc-4d4b857e8062" ] } ], "mendeley" : { "formattedCitation" : "&lt;sup&gt;32&lt;/sup&gt;", "plainTextFormattedCitation" : "32", "previouslyFormattedCitation" : "&lt;sup&gt;32&lt;/sup&gt;"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lang w:val="en-GB"/>
              </w:rPr>
              <w:t>32</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6/9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Kimura</w:t>
            </w:r>
            <w:proofErr w:type="spellEnd"/>
            <w:r>
              <w:rPr>
                <w:rFonts w:eastAsia="Times New Roman"/>
                <w:color w:val="000000"/>
                <w:sz w:val="20"/>
                <w:szCs w:val="20"/>
              </w:rPr>
              <w:t xml:space="preserve"> et al. 2012</w:t>
            </w:r>
            <w:r>
              <w:rPr>
                <w:rFonts w:eastAsia="Times New Roman"/>
                <w:color w:val="000000"/>
                <w:sz w:val="20"/>
                <w:szCs w:val="20"/>
                <w:lang w:val="en-GB"/>
              </w:rPr>
              <w:fldChar w:fldCharType="begin" w:fldLock="1"/>
            </w:r>
            <w:r>
              <w:rPr>
                <w:rFonts w:eastAsia="Times New Roman"/>
                <w:color w:val="000000"/>
                <w:sz w:val="20"/>
                <w:szCs w:val="20"/>
                <w:lang w:val="en-GB"/>
              </w:rPr>
              <w:instrText>ADDIN CSL_CITATION { "citationItems" : [ { "id" : "ITEM-1", "itemData" : { "DOI" : "10.1111/iju.12072", "ISSN" : "09198172", "abstract" : "We report our experience of extraperitoneal nerve-sparing laparoscopic retroperitoneal lymph node dissection after chemotherapy. Six patients were diagnosed with non-seminomatous germ cell tumor after orchiectomy and clinical stage IIB disease. Nerve-sparing laparoscopic retroperitoneal lymph node dissection was carried out for residual retroperitoneal tumors after cisplatin-based chemotherapy. The median tumor diameter was 2.95cm before chemotherapy and 1.95cm after chemotherapy. A modified left (n=1), right (n=1) and bilateral (n=4) template for the dissection area was used. Surgery was successfully completed in all patients and no conversion to open surgery was necessary. Median operative time was 394min (range 212-526min). Median blood loss was 75mL (range 10-238mL). The overall complication rate was 33.3% (2/6). Two patients had prolonged lymphatic leakage (gradeI), which was managed conservatively. Antegrade ejaculation was preserved in all six patients. The histopathological findings showed that two patients had mature teratoma and four patients had necrotic tissue. After a median follow up of 30months (range 24-36), no recurrence of disease was observed. We can conclude that extraperitoneal nerve-sparing laparoscopic retroperitoneal lymph node dissection for residual tumors after chemotherapy is a feasible operation. The oncological outcomes need to be confirmed in a certain number of patients with longer follow up. \u00a9 2013 The Japanese Urological Association.", "author" : [ { "dropping-particle" : "", "family" : "Kimura", "given" : "Yasunori", "non-dropping-particle" : "", "parse-names" : false, "suffix" : "" }, { "dropping-particle" : "", "family" : "Nakamura", "given" : "Terukazu", "non-dropping-particle" : "", "parse-names" : false, "suffix" : "" }, { "dropping-particle" : "", "family" : "Kawauchi", "given" : "Akihiro", "non-dropping-particle" : "", "parse-names" : false, "suffix" : "" }, { "dropping-particle" : "", "family" : "Kawabata", "given" : "Gaku", "non-dropping-particle" : "", "parse-names" : false, "suffix" : "" }, { "dropping-particle" : "", "family" : "Hongo", "given" : "Fumiya", "non-dropping-particle" : "", "parse-names" : false, "suffix" : "" }, { "dropping-particle" : "", "family" : "Miki", "given" : "Tsuneharu", "non-dropping-particle" : "", "parse-names" : false, "suffix" : "" } ], "container-title" : "International Journal of Urology", "id" : "ITEM-1", "issue" : "8", "issued" : { "date-parts" : [ [ "2013" ] ] }, "page" : "837-841", "title" : "Post-chemotherapy nerve-sparing laparoscopic retroperitoneal lymph node dissection in stage IIB testicular cancer", "type" : "article-journal", "volume" : "20" }, "uris" : [ "http://www.mendeley.com/documents/?uuid=0d8a2aee-f8d3-4089-9835-57e1cf403a7e" ] } ], "mendeley" : { "formattedCitation" : "&lt;sup&gt;34&lt;/sup&gt;", "plainTextFormattedCitation" : "34", "previouslyFormattedCitation" : "&lt;sup&gt;34&lt;/sup&gt;" }, "properties" : {  }, "schema" : "https://github.com/citation-style-language/schema/raw/master/csl-citation.json" }</w:instrText>
            </w:r>
            <w:r>
              <w:rPr>
                <w:rFonts w:eastAsia="Times New Roman"/>
                <w:color w:val="000000"/>
                <w:sz w:val="20"/>
                <w:szCs w:val="20"/>
                <w:lang w:val="en-GB"/>
              </w:rPr>
              <w:fldChar w:fldCharType="separate"/>
            </w:r>
            <w:r w:rsidRPr="00AA3E99">
              <w:rPr>
                <w:rFonts w:eastAsia="Times New Roman"/>
                <w:noProof/>
                <w:color w:val="000000"/>
                <w:sz w:val="20"/>
                <w:szCs w:val="20"/>
                <w:vertAlign w:val="superscript"/>
                <w:lang w:val="en-GB"/>
              </w:rPr>
              <w:t>34</w:t>
            </w:r>
            <w:r>
              <w:rPr>
                <w:rFonts w:eastAsia="Times New Roman"/>
                <w:color w:val="000000"/>
                <w:sz w:val="20"/>
                <w:szCs w:val="20"/>
                <w:lang w:val="en-GB"/>
              </w:rPr>
              <w:fldChar w:fldCharType="end"/>
            </w:r>
          </w:p>
        </w:tc>
        <w:tc>
          <w:tcPr>
            <w:tcW w:w="1967" w:type="dxa"/>
          </w:tcPr>
          <w:p w:rsidR="001B5986" w:rsidRDefault="001B5986" w:rsidP="001B5986">
            <w:pPr>
              <w:tabs>
                <w:tab w:val="left" w:pos="-1080"/>
                <w:tab w:val="left" w:pos="-720"/>
                <w:tab w:val="left" w:pos="270"/>
              </w:tabs>
              <w:jc w:val="center"/>
              <w:rPr>
                <w:lang w:val="en-GB"/>
              </w:rPr>
            </w:pPr>
            <w:r>
              <w:rPr>
                <w:lang w:val="en-GB"/>
              </w:rPr>
              <w:t>0</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4/9</w:t>
            </w:r>
          </w:p>
        </w:tc>
      </w:tr>
      <w:tr w:rsidR="001B5986" w:rsidTr="00FE28D2">
        <w:trPr>
          <w:trHeight w:val="265"/>
        </w:trPr>
        <w:tc>
          <w:tcPr>
            <w:tcW w:w="1261" w:type="dxa"/>
          </w:tcPr>
          <w:p w:rsidR="001B5986" w:rsidRDefault="001B5986" w:rsidP="001B5986">
            <w:pPr>
              <w:rPr>
                <w:rFonts w:eastAsia="Times New Roman"/>
                <w:color w:val="000000"/>
                <w:sz w:val="20"/>
                <w:szCs w:val="20"/>
              </w:rPr>
            </w:pPr>
            <w:r>
              <w:rPr>
                <w:rFonts w:eastAsia="Times New Roman"/>
                <w:color w:val="000000"/>
                <w:sz w:val="20"/>
                <w:szCs w:val="20"/>
              </w:rPr>
              <w:t>Steiner et al. 2012</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"10.1016/j.eururo.2012.09.036", "ISSN" : "03022838", "PMID" : "23021090", "abstract" : "Background: Retroperitoneal lymph node dissection (RPLND) is indicated after chemotherapy in case of radiologic incomplete remission or teratomatous elements in orchiectomy specimens. Open RPLND is associated with considerable morbidity, but technical difficulty of postchemotherapy laparoscopic RPLND (L-RPLND) can be significant; therefore, literature concerning pc L-RPLND is sparse. Objective: To evaluate feasibility and long-term oncologic outcome of postchemotherapy L-RPLND for clinical stage II disease at a single institution. Design, setting, and participants: Records of patients with nonseminomatous germ cell tumor who underwent postchemotherapy L-RPLND between 1993 and 2010 were retrospectively reviewed. Unilateral template resection was used until a bilateral nerve-sparing approach was introduced in 2004. Follow-up investigations were performed at 3-mo intervals for the first 3 yr, every 6 mo for the next 2 yr, and annually thereafter. Outcome measurements and statistical analysis: This was a descriptive analysis. Results and limitations: The study cohort comprised 100 patients with stage II retroperitoneal disease (stage IIC: n = 16; IIB: n = 68; IIA with persisting tumor marker: n = 16). Mean diameter of retroperitoneal masses before and after chemotherapy was 3.5 cm and 1.4 cm, respectively. Unilateral and bilateral templates were resected in 71 and 29 patients, respectively. Surgery was successfully completed in all but one patient, whose procedure was converted to open surgery due to bleeding. Mean operation time for unilateral and bilateral resection was 241 and 343 min, respectively. Mean blood loss was 84 ml. Postoperative complications were a large lymphocele in one patient and chylous ascites in another. Mean postoperative hospital stay was 3.9 d. L-RPLND specimens showed teratoma in 38 patients and active tumor in 2 patients. During a mean follow-up of 74 mo, one patient recurred. No recurrence was observed inside the applied surgical field. No patient died of tumor progression. After bilateral nerve-sparing postchemotherapy L-RPLND, 95.2% of patients reported antegrade ejaculation. Conclusions: Postchemotherapy L-RPLND performed by experienced hands is feasible and associated with low morbidity and high oncologic efficacy. \u00a9 2012 European Association of Urology.", "author" : [ { "dropping-particle" : "", "family" : "Steiner", "given" : "Hannes", "non-dropping-particle" : "", "parse-names" : false, "suffix" : "" }, { "dropping-particle" : "", "family" : "Leonhartsberger", "given" : "Nicolai", "non-dropping-particle" : "", "parse-names" : false, "suffix" : "" }, { "dropping-particle" : "", "family" : "Stoehr", "given" : "Brigitte", "non-dropping-particle" : "", "parse-names" : false, "suffix" : "" }, { "dropping-particle" : "", "family" : "Peschel", "given" : "Reinhard", "non-dropping-particle" : "", "parse-names" : false, "suffix" : "" }, { "dropping-particle" : "", "family" : "Pichler", "given" : "Renate", "non-dropping-particle" : "", "parse-names" : false, "suffix" : "" } ], "container-title" : "European Urology", "id" : "ITEM-1", "issue" : "6", "issued" : { "date-parts" : [ [ "2012", "6" ] ] }, "page" : "1013-1017", "title" : "Postchemotherapy laparoscopic retroperitoneal lymph node dissection for low-volume, stage II, nonseminomatous germ cell tumor: First 100 patients", "type" : "article-journal", "volume" : "63" }, "uris" : [ "http://www.mendeley.com/documents/?uuid=50a8f887-0540-3e2b-bf16-53e73c343359" ] } ], "mendeley" : { "formattedCitation" : "&lt;sup&gt;35&lt;/sup&gt;", "plainTextFormattedCitation" : "35", "previouslyFormattedCitation" : "&lt;sup&gt;35&lt;/sup&gt;"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35</w:t>
            </w:r>
            <w:r>
              <w:rPr>
                <w:rFonts w:eastAsia="Times New Roman"/>
                <w:color w:val="000000"/>
                <w:sz w:val="20"/>
                <w:szCs w:val="20"/>
              </w:rP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6/9</w:t>
            </w:r>
          </w:p>
        </w:tc>
      </w:tr>
      <w:tr w:rsidR="001B5986" w:rsidTr="00FE28D2">
        <w:trPr>
          <w:trHeight w:val="265"/>
        </w:trPr>
        <w:tc>
          <w:tcPr>
            <w:tcW w:w="1261" w:type="dxa"/>
          </w:tcPr>
          <w:p w:rsidR="001B5986" w:rsidRDefault="001B5986" w:rsidP="001B5986">
            <w:r>
              <w:rPr>
                <w:rFonts w:eastAsia="Times New Roman"/>
                <w:color w:val="000000"/>
                <w:sz w:val="20"/>
                <w:szCs w:val="20"/>
              </w:rPr>
              <w:t>Luz et al. 2010</w:t>
            </w:r>
            <w:r>
              <w:fldChar w:fldCharType="begin" w:fldLock="1"/>
            </w:r>
            <w:r>
              <w:rPr>
                <w:rFonts w:eastAsia="Times New Roman"/>
                <w:color w:val="000000"/>
                <w:sz w:val="20"/>
                <w:szCs w:val="20"/>
              </w:rPr>
              <w:instrText>ADDIN CSL_CITATION { "citationItems" : [ { "id" : "ITEM-1", "itemData" : { "DOI" : "10.1186/1477-7819-8-97", "ISSN" : "14777819", "PMID" : "21062470", "abstract" : "Background: Retroperitoneal lymph node dissection has been advocated for the management of post-chemotherapy (PC-RPLND) residual masses of non-seminomatous germ cell tumors of the testis (NSGCT). There remains some debate as to the clinical benefit and associated morbidity. Our objective was to report our experience with PC-RPLND in NSGCT.Methods: We have reviewed the clinical, pathologic and surgical parameters associated with PC-RPLND in a single institution. Between 1994 and 2008, three surgeons operated 73 patients with residual masses after cisplatin-based chemotherapy for a metastatic testicular cancer. Patients needed to have normal postchemotherapy serum tumor markers, no prior surgical attempts to resect retroperitoneal masses and resectable retroperitoneal tumor mass at surgery to be included in this analysis. Results: Mean age was 30.4 years old. Fifty-three percent had mixed germ cell tumors. The mean size of retroperitoneal metastasis was 6.3 and 4.0 cm, before and post-chemotherapy, respectively. In 56% of patients, the surgeon was able to perform a nerve sparing procedure. The overall complication rate was 27.4% and no patient died due to surgical complications. The pathologic review showed presence of fibrosis/necrosis, teratoma and viable tumor (non-teratoma) in 27 (37.0%), 30 (41.1%) and 16 (21.9%) patients, respectively. The subgroups presenting fibrosis and large tumors were more likely to have a surgical complication and had less nerve sparing procedures.Conclusion: PC-RPLND is a relatively safe procedure. The presence of fibrosis and large residual masses are associated with surgical complications and non-nerve-sparing procedure. \u00a9 2010 Luz et al; licensee BioMed Central Ltd.", "author" : [ { "dropping-particle" : "", "family" : "Luz", "given" : "Murilo A.", "non-dropping-particle" : "", "parse-names" : false, "suffix" : "" }, { "dropping-particle" : "", "family" : "Kotb", "given" : "Ahmed F.", "non-dropping-particle" : "", "parse-names" : false, "suffix" : "" }, { "dropping-particle" : "", "family" : "Aldousari", "given" : "Saad", "non-dropping-particle" : "", "parse-names" : false, "suffix" : "" }, { "dropping-particle" : "", "family" : "Brimo", "given" : "Fadi", "non-dropping-particle" : "", "parse-names" : false, "suffix" : "" }, { "dropping-particle" : "", "family" : "Tanguay", "given" : "Simon", "non-dropping-particle" : "", "parse-names" : false, "suffix" : "" }, { "dropping-particle" : "", "family" : "Kassouf", "given" : "Wassim", "non-dropping-particle" : "", "parse-names" : false, "suffix" : "" }, { "dropping-particle" : "", "family" : "Aprikian", "given" : "Armen G.", "non-dropping-particle" : "", "parse-names" : false, "suffix" : "" } ], "container-title" : "World Journal of Surgical Oncology", "id" : "ITEM-1", "issued" : { "date-parts" : [ [ "2010" ] ] }, "page" : "2-7", "title" : "Retroperitoneal lymph node dissection for residual masses after chemotherapyin nonseminomatous germ cell testicular tumor", "type" : "article-journal", "volume" : "8" }, "uris" : [ "http://www.mendeley.com/documents/?uuid=cc33b134-d4de-4890-8aaf-8fecb7dc1c56" ] } ], "mendeley" : { "formattedCitation" : "&lt;sup&gt;23&lt;/sup&gt;", "plainTextFormattedCitation" : "23", "previouslyFormattedCitation" : "&lt;sup&gt;23&lt;/sup&gt;"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23</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Calestroupat</w:t>
            </w:r>
            <w:proofErr w:type="spellEnd"/>
            <w:r>
              <w:rPr>
                <w:rFonts w:eastAsia="Times New Roman"/>
                <w:color w:val="000000"/>
                <w:sz w:val="20"/>
                <w:szCs w:val="20"/>
              </w:rPr>
              <w:t xml:space="preserve"> et al. 2009</w:t>
            </w:r>
            <w:r>
              <w:fldChar w:fldCharType="begin" w:fldLock="1"/>
            </w:r>
            <w:r>
              <w:rPr>
                <w:rFonts w:eastAsia="Times New Roman"/>
                <w:color w:val="000000"/>
              </w:rPr>
              <w:instrText>ADDIN CSL_CITATION { "citationItems" : [ { "id" : "ITEM-1", "itemData" : { "author" : [ { "dropping-particle" : "", "family" : "Calestroupat", "given" : "Jean-patrice", "non-dropping-particle" : "", "parse-names" : false, "suffix" : "" }, { "dropping-particle" : "", "family" : "Sanchez-salas", "given" : "Rafael", "non-dropping-particle" : "", "parse-names" : false, "suffix" : "" }, { "dropping-particle" : "", "family" : "Cathelineau", "given" : "Xavier", "non-dropping-particle" : "", "parse-names" : false, "suffix" : "" }, { "dropping-particle" : "", "family" : "Rozet", "given" : "Francois", "non-dropping-particle" : "", "parse-names" : false, "suffix" : "" }, { "dropping-particle" : "", "family" : "Galiano", "given" : "Marc", "non-dropping-particle" : "", "parse-names" : false, "suffix" : "" }, { "dropping-particle" : "", "family" : "Smyth", "given" : "Gordon", "non-dropping-particle" : "", "parse-names" : false, "suffix" : "" }, { "dropping-particle" : "", "family" : "Kasraeian", "given" : "Ali", "non-dropping-particle" : "", "parse-names" : false, "suffix" : "" }, { "dropping-particle" : "", "family" : "Barret", "given" : "Eric", "non-dropping-particle" : "", "parse-names" : false, "suffix" : "" }, { "dropping-particle" : "", "family" : "Ph", "given" : "D", "non-dropping-particle" : "", "parse-names" : false, "suffix" : "" }, { "dropping-particle" : "", "family" : "Vallancien", "given" : "Guy", "non-dropping-particle" : "", "parse-names" : false, "suffix" : "" } ], "id" : "ITEM-1", "issue" : "4", "issued" : { "date-parts" : [ [ "2009" ] ] }, "page" : "645-650", "title" : "Postchemotherapy Laparoscopic Retroperitoneal Lymph Node Dissection in Nonseminomatous Germ-Cell Tumor", "type" : "article-journal", "volume" : "23" }, "uris" : [ "http://www.mendeley.com/documents/?uuid=0c49f5da-aa24-4a6b-8282-ae093d973173" ] } ], "mendeley" : { "formattedCitation" : "&lt;sup&gt;28&lt;/sup&gt;", "plainTextFormattedCitation" : "28", "previouslyFormattedCitation" : "&lt;sup&gt;28&lt;/sup&gt;" }, "properties" : {  }, "schema" : "https://github.com/citation-style-language/schema/raw/master/csl-citation.json" }</w:instrText>
            </w:r>
            <w:r>
              <w:fldChar w:fldCharType="separate"/>
            </w:r>
            <w:r w:rsidRPr="00AA3E99">
              <w:rPr>
                <w:rFonts w:eastAsia="Times New Roman"/>
                <w:noProof/>
                <w:color w:val="000000"/>
                <w:vertAlign w:val="superscript"/>
              </w:rPr>
              <w:t>28</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r>
              <w:rPr>
                <w:rFonts w:eastAsia="Times New Roman"/>
                <w:color w:val="000000"/>
                <w:sz w:val="20"/>
                <w:szCs w:val="20"/>
              </w:rPr>
              <w:t>Heidenreich et al. 2008</w:t>
            </w:r>
            <w:r>
              <w:fldChar w:fldCharType="begin" w:fldLock="1"/>
            </w:r>
            <w:r>
              <w:rPr>
                <w:rFonts w:eastAsia="Times New Roman"/>
                <w:color w:val="000000"/>
                <w:sz w:val="20"/>
                <w:szCs w:val="20"/>
                <w:lang w:val="es-ES"/>
              </w:rPr>
              <w:instrText>ADDIN CSL_CITATION { "citationItems" : [ { "id" : "ITEM-1", "itemData" : { "DOI" : "10.1016/j.eururo.2008.09.027", "ISSN" : "03022838", "author" : [ { "dropping-particle" : "", "family" : "Heidenreich", "given" : "Axel", "non-dropping-particle" : "", "parse-names" : false, "suffix" : "" }, { "dropping-particle" : "", "family" : "Pfister", "given" : "David", "non-dropping-particle" : "", "parse-names" : false, "suffix" : "" }, { "dropping-particle" : "", "family" : "Th\u00fcer", "given" : "David", "non-dropping-particle" : "", "parse-names" : false, "suffix" : "" }, { "dropping-particle" : "", "family" : "Witthuhn", "given" : "Ralf", "non-dropping-particle" : "", "parse-names" : false, "suffix" : "" }, { "dropping-particle" : "", "family" : "Albers", "given" : "Peter", "non-dropping-particle" : "", "parse-names" : false, "suffix" : "" } ], "container-title" : "European Urology", "id" : "ITEM-1", "issue" : "1", "issued" : { "date-parts" : [ [ "2008", "9", "25" ] ] }, "page" : "217-226", "publisher" : "Elsevier BV", "title" : "Postchemotherapy Retroperitoneal Lymph Node Dissection in Advanced Testicular Cancer: Radical or Modified Template Resection", "type" : "article-journal", "volume" : "55" }, "uris" : [ "http://www.mendeley.com/documents/?uuid=9f797145-fb0f-38a3-82a4-cd6ee5196720" ] } ], "mendeley" : { "formattedCitation" : "&lt;sup&gt;24&lt;/sup&gt;", "plainTextFormattedCitation" : "24", "previouslyFormattedCitation" : "&lt;sup&gt;24&lt;/sup&gt;"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lang w:val="en-GB"/>
              </w:rPr>
              <w:t>24</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Maldonado</w:t>
            </w:r>
            <w:proofErr w:type="spellEnd"/>
            <w:r>
              <w:rPr>
                <w:rFonts w:eastAsia="Times New Roman"/>
                <w:color w:val="000000"/>
                <w:sz w:val="20"/>
                <w:szCs w:val="20"/>
              </w:rPr>
              <w:t>-V et al. 2007</w:t>
            </w:r>
            <w:r>
              <w:rPr>
                <w:rFonts w:eastAsia="Times New Roman"/>
                <w:b/>
                <w:bCs/>
                <w:color w:val="000000"/>
                <w:sz w:val="20"/>
                <w:szCs w:val="20"/>
              </w:rPr>
              <w:fldChar w:fldCharType="begin" w:fldLock="1"/>
            </w:r>
            <w:r>
              <w:rPr>
                <w:rFonts w:eastAsia="Times New Roman"/>
                <w:b/>
                <w:bCs/>
                <w:color w:val="000000"/>
                <w:sz w:val="20"/>
                <w:szCs w:val="20"/>
              </w:rPr>
              <w:instrText>ADDIN CSL_CITATION { "citationItems" : [ { "id" : "ITEM-1", "itemData" : { "DOI" : "10.1089/end.2006.0441", "author" : [ { "dropping-particle" : "", "family" : "Maldonado-valadez", "given" : "Rafael", "non-dropping-particle" : "", "parse-names" : false, "suffix" : "" }, { "dropping-particle" : "", "family" : "Schilling", "given" : "David", "non-dropping-particle" : "", "parse-names" : false, "suffix" : "" }, { "dropping-particle" : "", "family" : "Corvin", "given" : "Stefan", "non-dropping-particle" : "", "parse-names" : false, "suffix" : "" } ], "id" : "ITEM-1", "issue" : "12", "issued" : { "date-parts" : [ [ "2007" ] ] }, "page" : "10-13", "title" : "Post-chemotherapy Laparoscopic Retroperitoneal Lymph-Node Dissection in Testis Cancer Patients", "type" : "article-journal", "volume" : "21" }, "uris" : [ "http://www.mendeley.com/documents/?uuid=1d0b6e9d-61b2-46df-8559-9d07f9d455ed" ] } ], "mendeley" : { "formattedCitation" : "&lt;sup&gt;38&lt;/sup&gt;", "plainTextFormattedCitation" : "38", "previouslyFormattedCitation" : "&lt;sup&gt;38&lt;/sup&gt;" }, "properties" : {  }, "schema" : "https://github.com/citation-style-language/schema/raw/master/csl-citation.json" }</w:instrText>
            </w:r>
            <w:r>
              <w:rPr>
                <w:rFonts w:eastAsia="Times New Roman"/>
                <w:b/>
                <w:bCs/>
                <w:color w:val="000000"/>
                <w:sz w:val="20"/>
                <w:szCs w:val="20"/>
              </w:rPr>
              <w:fldChar w:fldCharType="separate"/>
            </w:r>
            <w:r w:rsidRPr="00AA3E99">
              <w:rPr>
                <w:rFonts w:eastAsia="Times New Roman"/>
                <w:bCs/>
                <w:noProof/>
                <w:color w:val="000000"/>
                <w:sz w:val="20"/>
                <w:szCs w:val="20"/>
                <w:vertAlign w:val="superscript"/>
              </w:rPr>
              <w:t>38</w:t>
            </w:r>
            <w:r>
              <w:rPr>
                <w:rFonts w:eastAsia="Times New Roman"/>
                <w:b/>
                <w:bCs/>
                <w:color w:val="000000"/>
                <w:sz w:val="20"/>
                <w:szCs w:val="20"/>
              </w:rP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Spiess</w:t>
            </w:r>
            <w:proofErr w:type="spellEnd"/>
            <w:r>
              <w:rPr>
                <w:rFonts w:eastAsia="Times New Roman"/>
                <w:color w:val="000000"/>
                <w:sz w:val="20"/>
                <w:szCs w:val="20"/>
              </w:rPr>
              <w:t xml:space="preserve"> et al. 2007</w:t>
            </w:r>
            <w:r>
              <w:fldChar w:fldCharType="begin" w:fldLock="1"/>
            </w:r>
            <w:r>
              <w:rPr>
                <w:rFonts w:eastAsia="Times New Roman"/>
                <w:color w:val="000000"/>
                <w:sz w:val="20"/>
                <w:szCs w:val="20"/>
              </w:rPr>
              <w:instrText>ADDIN CSL_CITATION { "citationItems" : [ { "id" : "ITEM-1", "itemData" : { "DOI" : "10.1016/j.juro.2006.08.092", "ISSN" : "00225347", "PMID" : "17162023", "abstract" : "Purpose: We evaluated the recurrence pattern in patients with nonseminomatous germ cell tumors treated with post-chemotherapy retroperitoneal lymph node dissection and determined the optimal surveillance strategy in these patients. Materials and Methods: Between 1980 and 2003, 236 patients with clinical stage IIA-III nonseminomatous germ cell tumors underwent post-chemotherapy retroperitoneal lymph node dissection. Patients with increased preoperative tumor markers (\u03b1-fetoprotein greater than 15 ng/ml and/or \u03b2-human chorionic gonadotropin greater than 2.2 U/ml) were excluded from study resulting in 198 patients for analysis. We retrospectively reviewed medical records for pertinent clinical and treatment related outcomes. In our patient population recurrence developed in 45 (23%) patients and 22 (11%) died of disease at a median followup of 41 months (range 6 to 250) after retroperitoneal lymph node dissection. Results: The clinical stage of testis cancer was IIA in 17, IIB in 49, IIC in 83 and III in 49 patients. Of the 45 patients with postoperative recurrence, 16 had concomitant multiple sites of recurrence with a total of 64 sites reported. Of the cases of recurrence 21 (46.7%) were in those of clinical stage III, 18 (40%) stage IIC and 6 (11.8%) stage IIB disease. The most frequent site of recurrence was the chest (32, 49%), followed by the abdomen (14, 22%), supraclavicular lymph nodes (8, 13%), brain (5, 8%) and other sites (5, 8%). Conclusions: Based on the recurrence pattern we propose stage specific surveillance guidelines for the followup of patients after post-chemotherapy retroperitoneal lymph node dissection. These guidelines help identify patients at high risk for disease progression and, thus, requiring more stringent postoperative followup. \u00a9 2007 American Urological Association.", "author" : [ { "dropping-particle" : "", "family" : "Spiess", "given" : "Philippe E.", "non-dropping-particle" : "", "parse-names" : false, "suffix" : "" }, { "dropping-particle" : "", "family" : "Brown", "given" : "Gordon A.", "non-dropping-particle" : "", "parse-names" : false, "suffix" : "" }, { "dropping-particle" : "", "family" : "Liu", "given" : "Ping", "non-dropping-particle" : "", "parse-names" : false, "suffix" : "" }, { "dropping-particle" : "", "family" : "Tu", "given" : "Shi Ming", "non-dropping-particle" : "", "parse-names" : false, "suffix" : "" }, { "dropping-particle" : "", "family" : "Tannir", "given" : "Nizar M.", "non-dropping-particle" : "", "parse-names" : false, "suffix" : "" }, { "dropping-particle" : "", "family" : "Evans", "given" : "James G.", "non-dropping-particle" : "", "parse-names" : false, "suffix" : "" }, { "dropping-particle" : "", "family" : "Kamat", "given" : "Ashish M.", "non-dropping-particle" : "", "parse-names" : false, "suffix" : "" }, { "dropping-particle" : "", "family" : "Kassouf", "given" : "Wassim", "non-dropping-particle" : "", "parse-names" : false, "suffix" : "" }, { "dropping-particle" : "", "family" : "Pisters", "given" : "Louis L.", "non-dropping-particle" : "", "parse-names" : false, "suffix" : "" } ], "container-title" : "Journal of Urology", "id" : "ITEM-1", "issue" : "1", "issued" : { "date-parts" : [ [ "2007" ] ] }, "page" : "131-138", "title" : "Recurrence Pattern and Proposed Surveillance Protocol Following Post-Chemotherapy Retroperitoneal Lymph Node Dissection", "type" : "article-journal", "volume" : "177" }, "uris" : [ "http://www.mendeley.com/documents/?uuid=6abbac15-8b9b-43ac-8148-772817cc62bc" ] } ], "mendeley" : { "formattedCitation" : "&lt;sup&gt;29&lt;/sup&gt;", "plainTextFormattedCitation" : "29", "previouslyFormattedCitation" : "&lt;sup&gt;29&lt;/sup&gt;"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29</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Ehrlich</w:t>
            </w:r>
            <w:proofErr w:type="spellEnd"/>
            <w:r>
              <w:rPr>
                <w:rFonts w:eastAsia="Times New Roman"/>
                <w:color w:val="000000"/>
                <w:sz w:val="20"/>
                <w:szCs w:val="20"/>
              </w:rPr>
              <w:t xml:space="preserve"> et al. 2006</w:t>
            </w:r>
            <w:r>
              <w:fldChar w:fldCharType="begin" w:fldLock="1"/>
            </w:r>
            <w:r>
              <w:rPr>
                <w:rFonts w:eastAsia="Times New Roman"/>
                <w:color w:val="000000"/>
                <w:sz w:val="20"/>
                <w:szCs w:val="20"/>
              </w:rPr>
              <w:instrText>ADDIN CSL_CITATION { "citationItems" : [ { "id" : "ITEM-1", "itemData" : { "DOI" : "10.1111/j.1464-410X.2006.06167.x", "ISSN" : "14644096", "abstract" : "OBJECTIVE: To assess the clinical and pathological findings of patients treated by bilateral retroperitoneal lymph node dissection (RPLND) after chemotherapy, to identify a subset for whom modified template nodal resection might be contemplated, as bilateral RPLND is the treatment of choice in patients with residual retroperitoneal disease after chemotherapy for nonseminomatous germ-cell tumour (GCT). PATIENTS AND METHODS: The medical records were reviewed of 50 consecutive patients who had RPLND after chemotherapy between 1996 and 2005. Bilateral template RPLND was performed uniformly. Extracted lymph nodes were surgically stratified into three distinct anatomical zones by two sagittal planes running in front of the aorta and the inferior vena cava. The pathological findings were correlated with the side of the primary lesion and the extent of metastatic disease before chemotherapy. RESULTS: Pathological assessment of the resected lymph nodes revealed teratoma in 28 patients (56%), viable carcinoma in three (6%), and necrosis or fibrosis in 19 (38%). All clinical stage Is, IIA and IIB left-sided primary tumours followed a predictable pattern of spread constricted to a modified left-sided template. Patients with clinical stage IIC and III, or right-sided primary tumour, had a less predictable metastatic pattern, having crossover metastases to the contralateral template. CONCLUSION: Bilateral RPLND should be considered as the reference standard in patients with metastatic GCT and residual retroperitoneal mass after completing chemotherapy. However, the present data suggest that a modified template dissection might be considered even after chemotherapy in patients with left-sided primary tumours and limited nodal involvement at presentation. \u00a9 2006 BJU International.", "author" : [ { "dropping-particle" : "", "family" : "Ehrlich", "given" : "Yaron", "non-dropping-particle" : "", "parse-names" : false, "suffix" : "" }, { "dropping-particle" : "", "family" : "Yossepowitch", "given" : "Ofer", "non-dropping-particle" : "", "parse-names" : false, "suffix" : "" }, { "dropping-particle" : "", "family" : "Kedar", "given" : "Daniel", "non-dropping-particle" : "", "parse-names" : false, "suffix" : "" }, { "dropping-particle" : "", "family" : "Baniel", "given" : "Jack", "non-dropping-particle" : "", "parse-names" : false, "suffix" : "" } ], "container-title" : "BJU International", "id" : "ITEM-1", "issue" : "6", "issued" : { "date-parts" : [ [ "2006" ] ] }, "page" : "1221-1224", "title" : "Distribution of nodal metastases after chemotherapy in nonseminomatous testis cancer: A possible indication for limited dissection", "type" : "article-journal", "volume" : "97" }, "uris" : [ "http://www.mendeley.com/documents/?uuid=10ec78c1-c182-4fd4-9ac1-8e9cf6c9dd3d" ] } ], "mendeley" : { "formattedCitation" : "&lt;sup&gt;25&lt;/sup&gt;", "plainTextFormattedCitation" : "25", "previouslyFormattedCitation" : "&lt;sup&gt;25&lt;/sup&gt;"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25</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r>
              <w:rPr>
                <w:rFonts w:eastAsia="Times New Roman"/>
                <w:color w:val="000000"/>
                <w:sz w:val="20"/>
                <w:szCs w:val="20"/>
              </w:rPr>
              <w:t>Tanaka et al. 2006</w:t>
            </w:r>
            <w:r>
              <w:fldChar w:fldCharType="begin" w:fldLock="1"/>
            </w:r>
            <w:r>
              <w:rPr>
                <w:rFonts w:eastAsia="Times New Roman"/>
                <w:color w:val="000000"/>
                <w:sz w:val="20"/>
                <w:szCs w:val="20"/>
              </w:rPr>
              <w:instrText>ADDIN CSL_CITATION { "citationItems" : [ { "id" : "ITEM-1", "itemData" : { "DOI" : "10.1093/jjco/hyl026", "author" : [ { "dropping-particle" : "", "family" : "Tanaka", "given" : "Toshiaki", "non-dropping-particle" : "", "parse-names" : false, "suffix" : "" }, { "dropping-particle" : "", "family" : "Kitamura", "given" : "Hiroshi", "non-dropping-particle" : "", "parse-names" : false, "suffix" : "" }, { "dropping-particle" : "", "family" : "Kunishima", "given" : "Yasuharu", "non-dropping-particle" : "", "parse-names" : false, "suffix" : "" }, { "dropping-particle" : "", "family" : "Takahashi", "given" : "Satoshi", "non-dropping-particle" : "", "parse-names" : false, "suffix" : "" }, { "dropping-particle" : "", "family" : "Takahashi", "given" : "Atsushi", "non-dropping-particle" : "", "parse-names" : false, "suffix" : "" }, { "dropping-particle" : "", "family" : "Masumori", "given" : "Naoya", "non-dropping-particle" : "", "parse-names" : false, "suffix" : "" }, { "dropping-particle" : "", "family" : "Itoh", "given" : "Naoki", "non-dropping-particle" : "", "parse-names" : false, "suffix" : "" }, { "dropping-particle" : "", "family" : "Tsukamoto", "given" : "Taiji", "non-dropping-particle" : "", "parse-names" : false, "suffix" : "" } ], "id" : "ITEM-1", "issue" : "6", "issued" : { "date-parts" : [ [ "2006" ] ] }, "page" : "381-386", "title" : "Modified and Bilateral Retroperitoneal Lymph Node Dissection for Testicular Cancer : Peri- and Postoperative Complications and Therapeutic Outcome", "type" : "article-journal", "volume" : "36" }, "uris" : [ "http://www.mendeley.com/documents/?uuid=ca96caee-d712-4a5d-9b2e-b201c8dd5297" ] } ], "mendeley" : { "formattedCitation" : "&lt;sup&gt;26&lt;/sup&gt;", "plainTextFormattedCitation" : "26", "previouslyFormattedCitation" : "&lt;sup&gt;26&lt;/sup&gt;"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26</w:t>
            </w:r>
            <w: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Albqami</w:t>
            </w:r>
            <w:proofErr w:type="spellEnd"/>
            <w:r>
              <w:rPr>
                <w:rFonts w:eastAsia="Times New Roman"/>
                <w:color w:val="000000"/>
                <w:sz w:val="20"/>
                <w:szCs w:val="20"/>
              </w:rPr>
              <w:t xml:space="preserve"> et al. 2005</w:t>
            </w:r>
            <w:r>
              <w:rPr>
                <w:rFonts w:eastAsia="Times New Roman"/>
                <w:color w:val="000000"/>
                <w:sz w:val="20"/>
                <w:szCs w:val="20"/>
              </w:rPr>
              <w:fldChar w:fldCharType="begin" w:fldLock="1"/>
            </w:r>
            <w:r>
              <w:rPr>
                <w:rFonts w:eastAsia="Times New Roman"/>
                <w:color w:val="000000"/>
                <w:sz w:val="20"/>
                <w:szCs w:val="20"/>
              </w:rPr>
              <w:instrText>ADDIN CSL_CITATION { "citationItems" : [ { "id" : "ITEM-1", "itemData" : { "DOI" : "10.1089/end.2005.19.683", "ISSN" : "08927790", "PMID" : "16053357", "abstract" : "Background and Purpose: Laparoscopic retroperitoneal lymph-node dissection (RPLND) has been advocated for and utilized in the management of testicular cancer. In this overview, we present our technique and results in comparison with the worldwide experience with laparoscopic RPLND in the management of clinical stage I and II cancers. Patients and Methods: Over the last 13 years, 162 patients with testicular cancer clinical stage I (N = 103) or II (N = 43 UB, 16 UC) underwent laparoscopic RPLND. All intraoperative and postoperative data were evaluated, as well as the worldwide experience with the procedure. With a mean follow-up of 62 months (range 6-113 months) for clinical stage I and 53 months (range 10-89 months) for clinical stage II, oncologic efficiency was evaluated. Results: The procedure was feasible even after chemotherapy, with only three conversions to open RPLND in clinical stage I. The mean operative time was 217, 216, and 281 minutes for clinical stages I, UB, and UC, respectively. The mean blood loss was 144 mL and 165 mL for clinical stage I and II, respectively. The hospital stays were 3.6 and 3.8 days, respectively. During follow-up, we had two retroperitoneal relapses (1.2%) and four distant relapses (2.5%). Conclusion: Laparoscopic RPLND has demonstrated its surgical and oncologic efficacy. The morbidity and the complication rate are low. Recurrence rates are comparable to those of open surgery. Laparoscopic RPLND is safe, with less postoperative morbidity, quicker convalescence, better cosmetic results, and a diagnostic accuracy equal that of the open technique. \u00a9 Mary Ann Liebert, Inc.", "author" : [ { "dropping-particle" : "", "family" : "Albqami", "given" : "Nasser", "non-dropping-particle" : "", "parse-names" : false, "suffix" : "" }, { "dropping-particle" : "", "family" : "Janetschek", "given" : "G\u00fcnter", "non-dropping-particle" : "", "parse-names" : false, "suffix" : "" } ], "container-title" : "Journal of Endourology", "id" : "ITEM-1", "issue" : "6", "issued" : { "date-parts" : [ [ "2005" ] ] }, "page" : "683-692", "title" : "Laparoscopic retroperitoneal lymph-node dissection in the management of clinical stage I and II testicular cancer", "type" : "article-journal", "volume" : "19" }, "uris" : [ "http://www.mendeley.com/documents/?uuid=323f492b-3aba-4bfb-a378-7e9d294364a6" ] } ], "mendeley" : { "formattedCitation" : "&lt;sup&gt;39&lt;/sup&gt;", "plainTextFormattedCitation" : "39", "previouslyFormattedCitation" : "&lt;sup&gt;39&lt;/sup&gt;" }, "properties" : {  }, "schema" : "https://github.com/citation-style-language/schema/raw/master/csl-citation.json" }</w:instrText>
            </w:r>
            <w:r>
              <w:rPr>
                <w:rFonts w:eastAsia="Times New Roman"/>
                <w:color w:val="000000"/>
                <w:sz w:val="20"/>
                <w:szCs w:val="20"/>
              </w:rPr>
              <w:fldChar w:fldCharType="separate"/>
            </w:r>
            <w:r w:rsidRPr="00AA3E99">
              <w:rPr>
                <w:rFonts w:eastAsia="Times New Roman"/>
                <w:noProof/>
                <w:color w:val="000000"/>
                <w:sz w:val="20"/>
                <w:szCs w:val="20"/>
                <w:vertAlign w:val="superscript"/>
              </w:rPr>
              <w:t>39</w:t>
            </w:r>
            <w:r>
              <w:rPr>
                <w:rFonts w:eastAsia="Times New Roman"/>
                <w:color w:val="000000"/>
                <w:sz w:val="20"/>
                <w:szCs w:val="20"/>
              </w:rPr>
              <w:fldChar w:fldCharType="end"/>
            </w:r>
          </w:p>
        </w:tc>
        <w:tc>
          <w:tcPr>
            <w:tcW w:w="1967" w:type="dxa"/>
          </w:tcPr>
          <w:p w:rsidR="001B5986" w:rsidRDefault="001B5986" w:rsidP="001B5986">
            <w:pPr>
              <w:tabs>
                <w:tab w:val="left" w:pos="-1080"/>
                <w:tab w:val="left" w:pos="-720"/>
                <w:tab w:val="left" w:pos="270"/>
              </w:tabs>
              <w:jc w:val="center"/>
              <w:rPr>
                <w:lang w:val="en-GB"/>
              </w:rPr>
            </w:pPr>
            <w:r>
              <w:rPr>
                <w:rFonts w:ascii="Wingdings" w:hAnsi="Wingdings"/>
                <w:b/>
                <w:bCs/>
                <w:lang w:val="en-GB"/>
              </w:rPr>
              <w:t></w:t>
            </w:r>
          </w:p>
          <w:p w:rsidR="001B5986" w:rsidRDefault="001B5986" w:rsidP="001B5986">
            <w:pPr>
              <w:jc w:val="center"/>
            </w:pP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5/9</w:t>
            </w:r>
          </w:p>
        </w:tc>
      </w:tr>
      <w:tr w:rsidR="001B5986" w:rsidTr="00FE28D2">
        <w:trPr>
          <w:trHeight w:val="265"/>
        </w:trPr>
        <w:tc>
          <w:tcPr>
            <w:tcW w:w="1261" w:type="dxa"/>
          </w:tcPr>
          <w:p w:rsidR="001B5986" w:rsidRDefault="001B5986" w:rsidP="001B5986">
            <w:pPr>
              <w:rPr>
                <w:rFonts w:eastAsia="Times New Roman"/>
                <w:color w:val="000000"/>
                <w:sz w:val="20"/>
                <w:szCs w:val="20"/>
              </w:rPr>
            </w:pPr>
            <w:r>
              <w:rPr>
                <w:rFonts w:eastAsia="Times New Roman"/>
                <w:color w:val="000000"/>
                <w:sz w:val="20"/>
                <w:szCs w:val="20"/>
              </w:rPr>
              <w:t>Sayed et al. 2004</w:t>
            </w:r>
            <w:r>
              <w:fldChar w:fldCharType="begin" w:fldLock="1"/>
            </w:r>
            <w:r>
              <w:rPr>
                <w:rFonts w:eastAsia="Times New Roman"/>
                <w:color w:val="000000"/>
                <w:sz w:val="20"/>
                <w:szCs w:val="20"/>
              </w:rPr>
              <w:instrText>ADDIN CSL_CITATION { "citationItems" : [ { "id" : "ITEM-1", "itemData" : { "author" : [ { "dropping-particle" : "", "family" : "Sayed", "given" : "Salwa E L", "non-dropping-particle" : "", "parse-names" : false, "suffix" : "" }, { "dropping-particle" : "", "family" : "Grando", "given" : "Jo\u00e3o P S", "non-dropping-particle" : "", "parse-names" : false, "suffix" : "" }, { "dropping-particle" : "", "family" : "Almeida", "given" : "Silvio H M D E", "non-dropping-particle" : "", "parse-names" : false, "suffix" : "" }, { "dropping-particle" : "", "family" : "Mortati", "given" : "Nicola", "non-dropping-particle" : "", "parse-names" : false, "suffix" : "" }, { "dropping-particle" : "", "family" : "Moreira", "given" : "Hor\u00e1cio A", "non-dropping-particle" : "", "parse-names" : false, "suffix" : "" } ], "id" : "ITEM-1", "issue" : "5", "issued" : { "date-parts" : [ [ "2004" ] ] }, "page" : "384-388", "title" : "POST-CHEMOTHERAPY RESIDUAL MASS IN NON-SEMINOMATOUS TESTICULAR CANCER . THE ROLE OF RETROPERITONEAL LYMPH NODE DISSECTION", "type" : "article-journal", "volume" : "30" }, "uris" : [ "http://www.mendeley.com/documents/?uuid=9e57dd3b-6822-4edc-82c1-5e76b526c8dc" ] } ], "mendeley" : { "formattedCitation" : "&lt;sup&gt;30&lt;/sup&gt;", "plainTextFormattedCitation" : "30", "previouslyFormattedCitation" : "&lt;sup&gt;30&lt;/sup&gt;" }, "properties" : {  }, "schema" : "https://github.com/citation-style-language/schema/raw/master/csl-citation.json" }</w:instrText>
            </w:r>
            <w:r>
              <w:fldChar w:fldCharType="separate"/>
            </w:r>
            <w:r w:rsidRPr="00AA3E99">
              <w:rPr>
                <w:rFonts w:eastAsia="Times New Roman"/>
                <w:noProof/>
                <w:color w:val="000000"/>
                <w:sz w:val="20"/>
                <w:szCs w:val="20"/>
                <w:vertAlign w:val="superscript"/>
              </w:rPr>
              <w:t>30</w:t>
            </w:r>
            <w:r>
              <w:fldChar w:fldCharType="end"/>
            </w:r>
          </w:p>
        </w:tc>
        <w:tc>
          <w:tcPr>
            <w:tcW w:w="1967" w:type="dxa"/>
          </w:tcPr>
          <w:p w:rsidR="001B5986" w:rsidRDefault="001B5986" w:rsidP="001B5986">
            <w:pPr>
              <w:jc w:val="center"/>
            </w:pPr>
            <w:r>
              <w:t>0</w:t>
            </w: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4/9</w:t>
            </w:r>
          </w:p>
        </w:tc>
      </w:tr>
      <w:tr w:rsidR="001B5986" w:rsidTr="00FE28D2">
        <w:trPr>
          <w:trHeight w:val="265"/>
        </w:trPr>
        <w:tc>
          <w:tcPr>
            <w:tcW w:w="1261" w:type="dxa"/>
          </w:tcPr>
          <w:p w:rsidR="001B5986" w:rsidRPr="001B5986" w:rsidRDefault="001B5986" w:rsidP="001B5986">
            <w:pPr>
              <w:rPr>
                <w:rFonts w:eastAsia="Times New Roman"/>
                <w:color w:val="000000"/>
                <w:sz w:val="20"/>
                <w:szCs w:val="20"/>
              </w:rPr>
            </w:pPr>
            <w:proofErr w:type="spellStart"/>
            <w:r w:rsidRPr="001B5986">
              <w:rPr>
                <w:sz w:val="20"/>
                <w:szCs w:val="20"/>
              </w:rPr>
              <w:t>Zambon</w:t>
            </w:r>
            <w:proofErr w:type="spellEnd"/>
            <w:r w:rsidRPr="001B5986">
              <w:rPr>
                <w:sz w:val="20"/>
                <w:szCs w:val="20"/>
              </w:rPr>
              <w:t xml:space="preserve"> et al. 2004</w:t>
            </w:r>
            <w:r w:rsidRPr="001B5986">
              <w:rPr>
                <w:b/>
                <w:bCs/>
                <w:sz w:val="20"/>
                <w:szCs w:val="20"/>
              </w:rPr>
              <w:fldChar w:fldCharType="begin" w:fldLock="1"/>
            </w:r>
            <w:r w:rsidRPr="001B5986">
              <w:rPr>
                <w:b/>
                <w:bCs/>
                <w:sz w:val="20"/>
                <w:szCs w:val="20"/>
              </w:rPr>
              <w:instrText>ADDIN CSL_CITATION { "citationItems" : [ { "id" : "ITEM-1", "itemData" : { "author" : [ { "dropping-particle" : "", "family" : "Zambon", "given" : "Jo\u00e3o P", "non-dropping-particle" : "", "parse-names" : false, "suffix" : "" }, { "dropping-particle" : "", "family" : "Ferreira", "given" : "Alexandre D", "non-dropping-particle" : "", "parse-names" : false, "suffix" : "" }, { "dropping-particle" : "", "family" : "Jimmy", "given" : "A", "non-dropping-particle" : "", "parse-names" : false, "suffix" : "" }, { "dropping-particle" : "V", "family" : "Juliano", "given" : "Roberto", "non-dropping-particle" : "", "parse-names" : false, "suffix" : "" }, { "dropping-particle" : "", "family" : "Wroclawski", "given" : "Eric R", "non-dropping-particle" : "", "parse-names" : false, "suffix" : "" } ], "id" : "ITEM-1", "issue" : "5", "issued" : { "date-parts" : [ [ "2004" ] ] }, "page" : "389-397", "title" : "RETROPERITONEAL LYMPHADENECTOMY BY VIDEOLAPAROSCOPIC TRANSPERITONEAL APPROACH IN PATIENTS WITH NON- SEMINOMATOUS TESTICULAR TUMOR", "type" : "article-journal", "volume" : "30" }, "uris" : [ "http://www.mendeley.com/documents/?uuid=7bae92c3-c410-44d4-981d-bf28f8db4ec3" ] } ], "mendeley" : { "formattedCitation" : "&lt;sup&gt;41&lt;/sup&gt;", "plainTextFormattedCitation" : "41", "previouslyFormattedCitation" : "&lt;sup&gt;41&lt;/sup&gt;" }, "properties" : {  }, "schema" : "https://github.com/citation-style-language/schema/raw/master/csl-citation.json" }</w:instrText>
            </w:r>
            <w:r w:rsidRPr="001B5986">
              <w:rPr>
                <w:b/>
                <w:bCs/>
                <w:sz w:val="20"/>
                <w:szCs w:val="20"/>
              </w:rPr>
              <w:fldChar w:fldCharType="separate"/>
            </w:r>
            <w:r w:rsidRPr="001B5986">
              <w:rPr>
                <w:bCs/>
                <w:noProof/>
                <w:sz w:val="20"/>
                <w:szCs w:val="20"/>
                <w:vertAlign w:val="superscript"/>
              </w:rPr>
              <w:t>41</w:t>
            </w:r>
            <w:r w:rsidRPr="001B5986">
              <w:rPr>
                <w:b/>
                <w:bCs/>
                <w:sz w:val="20"/>
                <w:szCs w:val="20"/>
              </w:rPr>
              <w:fldChar w:fldCharType="end"/>
            </w:r>
          </w:p>
        </w:tc>
        <w:tc>
          <w:tcPr>
            <w:tcW w:w="1967" w:type="dxa"/>
          </w:tcPr>
          <w:p w:rsidR="001B5986" w:rsidRDefault="001B5986" w:rsidP="001B5986">
            <w:pPr>
              <w:jc w:val="center"/>
            </w:pPr>
            <w:r>
              <w:t>0</w:t>
            </w: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4/9</w:t>
            </w:r>
          </w:p>
        </w:tc>
      </w:tr>
      <w:tr w:rsidR="001B5986" w:rsidTr="00FE28D2">
        <w:trPr>
          <w:trHeight w:val="265"/>
        </w:trPr>
        <w:tc>
          <w:tcPr>
            <w:tcW w:w="1261" w:type="dxa"/>
          </w:tcPr>
          <w:p w:rsidR="001B5986" w:rsidRDefault="001B5986" w:rsidP="001B5986">
            <w:pPr>
              <w:rPr>
                <w:rFonts w:eastAsia="Times New Roman"/>
                <w:color w:val="000000"/>
                <w:sz w:val="20"/>
                <w:szCs w:val="20"/>
              </w:rPr>
            </w:pPr>
            <w:proofErr w:type="spellStart"/>
            <w:r>
              <w:rPr>
                <w:rFonts w:eastAsia="Times New Roman"/>
                <w:color w:val="000000"/>
                <w:sz w:val="20"/>
                <w:szCs w:val="20"/>
              </w:rPr>
              <w:t>Palese</w:t>
            </w:r>
            <w:proofErr w:type="spellEnd"/>
            <w:r>
              <w:rPr>
                <w:rFonts w:eastAsia="Times New Roman"/>
                <w:color w:val="000000"/>
                <w:sz w:val="20"/>
                <w:szCs w:val="20"/>
              </w:rPr>
              <w:t xml:space="preserve"> et al. 2002</w:t>
            </w:r>
            <w:r>
              <w:rPr>
                <w:rFonts w:eastAsia="Times New Roman"/>
                <w:color w:val="000000"/>
                <w:sz w:val="20"/>
                <w:szCs w:val="20"/>
                <w:lang w:val="en-GB"/>
              </w:rPr>
              <w:fldChar w:fldCharType="begin" w:fldLock="1"/>
            </w:r>
            <w:r>
              <w:rPr>
                <w:rFonts w:eastAsia="Times New Roman"/>
                <w:color w:val="000000"/>
                <w:sz w:val="20"/>
                <w:szCs w:val="20"/>
                <w:lang w:val="en-GB"/>
              </w:rPr>
              <w:instrText>ADDIN CSL_CITATION { "citationItems" : [ { "id" : "ITEM-1", "itemData" : { "author" : [ { "dropping-particle" : "", "family" : "Palese", "given" : "Michael A", "non-dropping-particle" : "", "parse-names" : false, "suffix" : "" }, { "dropping-particle" : "", "family" : "Li-ming", "given" : "SU", "non-dropping-particle" : "", "parse-names" : false, "suffix" : "" }, { "dropping-particle" : "", "family" : "Kavoussi", "given" : "Louis R", "non-dropping-particle" : "", "parse-names" : false, "suffix" : "" } ], "id" : "ITEM-1", "issue" : "02", "issued" : { "date-parts" : [ [ "2002" ] ] }, "title" : "Laparoscopic Retroperitoneal Lymph Node Dissection After Chemotherapy", "type" : "article-journal", "volume" : "4295" }, "uris" : [ "http://www.mendeley.com/documents/?uuid=5007c35e-703b-4675-9aee-c4402c3b3ecf" ] } ], "mendeley" : { "formattedCitation" : "&lt;sup&gt;40&lt;/sup&gt;", "plainTextFormattedCitation" : "40", "previouslyFormattedCitation" : "&lt;sup&gt;40&lt;/sup&gt;" }, "properties" : {  }, "schema" : "https://github.com/citation-style-language/schema/raw/master/csl-citation.json" }</w:instrText>
            </w:r>
            <w:r>
              <w:rPr>
                <w:rFonts w:eastAsia="Times New Roman"/>
                <w:color w:val="000000"/>
                <w:sz w:val="20"/>
                <w:szCs w:val="20"/>
                <w:lang w:val="en-GB"/>
              </w:rPr>
              <w:fldChar w:fldCharType="separate"/>
            </w:r>
            <w:r w:rsidRPr="00AA3E99">
              <w:rPr>
                <w:rFonts w:eastAsia="Times New Roman"/>
                <w:noProof/>
                <w:color w:val="000000"/>
                <w:sz w:val="20"/>
                <w:szCs w:val="20"/>
                <w:vertAlign w:val="superscript"/>
                <w:lang w:val="en-GB"/>
              </w:rPr>
              <w:t>40</w:t>
            </w:r>
            <w:r>
              <w:rPr>
                <w:rFonts w:eastAsia="Times New Roman"/>
                <w:color w:val="000000"/>
                <w:sz w:val="20"/>
                <w:szCs w:val="20"/>
                <w:lang w:val="en-GB"/>
              </w:rPr>
              <w:fldChar w:fldCharType="end"/>
            </w:r>
          </w:p>
        </w:tc>
        <w:tc>
          <w:tcPr>
            <w:tcW w:w="1967" w:type="dxa"/>
          </w:tcPr>
          <w:p w:rsidR="001B5986" w:rsidRDefault="001B5986" w:rsidP="001B5986">
            <w:pPr>
              <w:jc w:val="center"/>
            </w:pPr>
            <w:r>
              <w:t>0</w:t>
            </w:r>
          </w:p>
        </w:tc>
        <w:tc>
          <w:tcPr>
            <w:tcW w:w="1247" w:type="dxa"/>
          </w:tcPr>
          <w:p w:rsidR="001B5986" w:rsidRDefault="001B5986" w:rsidP="001B5986">
            <w:pPr>
              <w:jc w:val="center"/>
            </w:pPr>
            <w:r>
              <w:t>0</w:t>
            </w:r>
          </w:p>
        </w:tc>
        <w:tc>
          <w:tcPr>
            <w:tcW w:w="1529"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302"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855" w:type="dxa"/>
          </w:tcPr>
          <w:p w:rsidR="001B5986" w:rsidRDefault="001B5986" w:rsidP="001B5986">
            <w:pPr>
              <w:jc w:val="center"/>
            </w:pPr>
            <w:r>
              <w:t>0</w:t>
            </w:r>
          </w:p>
        </w:tc>
        <w:tc>
          <w:tcPr>
            <w:tcW w:w="135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1256" w:type="dxa"/>
          </w:tcPr>
          <w:p w:rsidR="001B5986" w:rsidRDefault="001B5986" w:rsidP="001B5986">
            <w:pPr>
              <w:jc w:val="center"/>
            </w:pPr>
            <w:r>
              <w:t>0</w:t>
            </w:r>
          </w:p>
        </w:tc>
        <w:tc>
          <w:tcPr>
            <w:tcW w:w="1308" w:type="dxa"/>
          </w:tcPr>
          <w:p w:rsidR="001B5986" w:rsidRDefault="001B5986" w:rsidP="001B5986">
            <w:pPr>
              <w:tabs>
                <w:tab w:val="left" w:pos="-1080"/>
                <w:tab w:val="left" w:pos="-720"/>
                <w:tab w:val="left" w:pos="270"/>
              </w:tabs>
              <w:ind w:firstLine="270"/>
              <w:jc w:val="center"/>
              <w:rPr>
                <w:lang w:val="en-GB"/>
              </w:rPr>
            </w:pPr>
            <w:r>
              <w:rPr>
                <w:rFonts w:ascii="Wingdings" w:hAnsi="Wingdings"/>
                <w:b/>
                <w:bCs/>
                <w:lang w:val="en-GB"/>
              </w:rPr>
              <w:t></w:t>
            </w:r>
          </w:p>
          <w:p w:rsidR="001B5986" w:rsidRDefault="001B5986" w:rsidP="001B5986">
            <w:pPr>
              <w:jc w:val="center"/>
            </w:pPr>
          </w:p>
        </w:tc>
        <w:tc>
          <w:tcPr>
            <w:tcW w:w="810" w:type="dxa"/>
          </w:tcPr>
          <w:p w:rsidR="001B5986" w:rsidRDefault="001B5986" w:rsidP="001B5986">
            <w:pPr>
              <w:jc w:val="center"/>
            </w:pPr>
            <w:r>
              <w:t>4/9</w:t>
            </w:r>
          </w:p>
        </w:tc>
      </w:tr>
    </w:tbl>
    <w:p w:rsidR="002166F5" w:rsidRPr="006606C5" w:rsidRDefault="002166F5" w:rsidP="006606C5">
      <w:pPr>
        <w:tabs>
          <w:tab w:val="center" w:pos="6718"/>
        </w:tabs>
        <w:rPr>
          <w:rFonts w:ascii="Arial" w:hAnsi="Arial" w:cs="Arial"/>
          <w:b/>
          <w:bCs/>
          <w:sz w:val="26"/>
          <w:szCs w:val="26"/>
        </w:rPr>
      </w:pPr>
    </w:p>
    <w:sectPr w:rsidR="002166F5" w:rsidRPr="006606C5" w:rsidSect="006606C5">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C5"/>
    <w:rsid w:val="001B5986"/>
    <w:rsid w:val="002166F5"/>
    <w:rsid w:val="00255E34"/>
    <w:rsid w:val="003C3FF6"/>
    <w:rsid w:val="006606C5"/>
    <w:rsid w:val="00897F34"/>
    <w:rsid w:val="00FE28D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E25A27-2A28-4116-A7F0-0AD795194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rsid w:val="006606C5"/>
    <w:pPr>
      <w:spacing w:after="0" w:line="240" w:lineRule="auto"/>
    </w:pPr>
    <w:rPr>
      <w:lang w:val="da-DK"/>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Markeringsbobletekst">
    <w:name w:val="Balloon Text"/>
    <w:basedOn w:val="Normal"/>
    <w:link w:val="MarkeringsbobletekstTegn"/>
    <w:uiPriority w:val="99"/>
    <w:semiHidden/>
    <w:unhideWhenUsed/>
    <w:rsid w:val="00255E34"/>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255E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11538</Words>
  <Characters>70385</Characters>
  <Application>Microsoft Office Word</Application>
  <DocSecurity>0</DocSecurity>
  <Lines>586</Lines>
  <Paragraphs>163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Julie Rosenvilde</dc:creator>
  <cp:keywords/>
  <dc:description/>
  <cp:lastModifiedBy>Josephine Julie Rosenvilde</cp:lastModifiedBy>
  <cp:revision>2</cp:revision>
  <dcterms:created xsi:type="dcterms:W3CDTF">2021-02-22T11:23:00Z</dcterms:created>
  <dcterms:modified xsi:type="dcterms:W3CDTF">2021-02-22T11:23:00Z</dcterms:modified>
</cp:coreProperties>
</file>