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E70" w:rsidRDefault="00EE7E70" w:rsidP="00EE7E7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Supplemental Figure 1. IHC analysis of GLUT1, OPN, and CAIX expression in cervical and prostate cancer tissues. (A) </w:t>
      </w:r>
      <w:r>
        <w:rPr>
          <w:sz w:val="23"/>
          <w:szCs w:val="23"/>
        </w:rPr>
        <w:t>GLUT1 staining in cervical cancer (as a positive control), (</w:t>
      </w:r>
      <w:r>
        <w:rPr>
          <w:b/>
          <w:bCs/>
          <w:sz w:val="23"/>
          <w:szCs w:val="23"/>
        </w:rPr>
        <w:t>B</w:t>
      </w:r>
      <w:r>
        <w:rPr>
          <w:sz w:val="23"/>
          <w:szCs w:val="23"/>
        </w:rPr>
        <w:t xml:space="preserve">) strong GLUT1 staining in prostate cancer, and </w:t>
      </w:r>
      <w:r>
        <w:rPr>
          <w:b/>
          <w:bCs/>
          <w:sz w:val="23"/>
          <w:szCs w:val="23"/>
        </w:rPr>
        <w:t>(C</w:t>
      </w:r>
      <w:r>
        <w:rPr>
          <w:sz w:val="23"/>
          <w:szCs w:val="23"/>
        </w:rPr>
        <w:t>) weak GLUT1 staining in prostate cancer tissue. (</w:t>
      </w:r>
      <w:r>
        <w:rPr>
          <w:b/>
          <w:bCs/>
          <w:sz w:val="23"/>
          <w:szCs w:val="23"/>
        </w:rPr>
        <w:t>D</w:t>
      </w:r>
      <w:r>
        <w:rPr>
          <w:sz w:val="23"/>
          <w:szCs w:val="23"/>
        </w:rPr>
        <w:t xml:space="preserve">) OPN staining in cervical cancer, </w:t>
      </w:r>
      <w:r>
        <w:rPr>
          <w:b/>
          <w:bCs/>
          <w:sz w:val="23"/>
          <w:szCs w:val="23"/>
        </w:rPr>
        <w:t xml:space="preserve">(E) </w:t>
      </w:r>
      <w:r>
        <w:rPr>
          <w:sz w:val="23"/>
          <w:szCs w:val="23"/>
        </w:rPr>
        <w:t>moderate OPN staining in prostate cancer, and (</w:t>
      </w:r>
      <w:r>
        <w:rPr>
          <w:b/>
          <w:bCs/>
          <w:sz w:val="23"/>
          <w:szCs w:val="23"/>
        </w:rPr>
        <w:t>F</w:t>
      </w:r>
      <w:r>
        <w:rPr>
          <w:sz w:val="23"/>
          <w:szCs w:val="23"/>
        </w:rPr>
        <w:t xml:space="preserve">) weak OPN staining in prostate cancer tissue. </w:t>
      </w:r>
      <w:r>
        <w:rPr>
          <w:b/>
          <w:bCs/>
          <w:sz w:val="23"/>
          <w:szCs w:val="23"/>
        </w:rPr>
        <w:t xml:space="preserve">(G) </w:t>
      </w:r>
      <w:r>
        <w:rPr>
          <w:sz w:val="23"/>
          <w:szCs w:val="23"/>
        </w:rPr>
        <w:t xml:space="preserve">CAIX staining in cervical cancer, </w:t>
      </w:r>
      <w:r>
        <w:rPr>
          <w:b/>
          <w:bCs/>
          <w:sz w:val="23"/>
          <w:szCs w:val="23"/>
        </w:rPr>
        <w:t>(H</w:t>
      </w:r>
      <w:r>
        <w:rPr>
          <w:sz w:val="23"/>
          <w:szCs w:val="23"/>
        </w:rPr>
        <w:t xml:space="preserve">) moderate CAIX staining in prostate cancer, and </w:t>
      </w:r>
      <w:r>
        <w:rPr>
          <w:b/>
          <w:bCs/>
          <w:sz w:val="23"/>
          <w:szCs w:val="23"/>
        </w:rPr>
        <w:t xml:space="preserve">(I) </w:t>
      </w:r>
      <w:r>
        <w:rPr>
          <w:sz w:val="23"/>
          <w:szCs w:val="23"/>
        </w:rPr>
        <w:t xml:space="preserve">negative CAIX staining in prostate cancer tissue. Scale bars = 50 </w:t>
      </w:r>
      <w:proofErr w:type="spellStart"/>
      <w:r>
        <w:rPr>
          <w:sz w:val="23"/>
          <w:szCs w:val="23"/>
        </w:rPr>
        <w:t>μm</w:t>
      </w:r>
      <w:proofErr w:type="spellEnd"/>
      <w:r>
        <w:rPr>
          <w:sz w:val="23"/>
          <w:szCs w:val="23"/>
        </w:rPr>
        <w:t xml:space="preserve">. </w:t>
      </w:r>
    </w:p>
    <w:p w:rsidR="00EE7E70" w:rsidRDefault="00EE7E70" w:rsidP="00EE7E70">
      <w:pPr>
        <w:rPr>
          <w:b/>
          <w:bCs/>
          <w:sz w:val="23"/>
          <w:szCs w:val="23"/>
        </w:rPr>
      </w:pPr>
    </w:p>
    <w:p w:rsidR="00EC19AE" w:rsidRDefault="00EE7E70" w:rsidP="00EE7E70">
      <w:r>
        <w:rPr>
          <w:b/>
          <w:bCs/>
          <w:sz w:val="23"/>
          <w:szCs w:val="23"/>
        </w:rPr>
        <w:t>Supplemental Figure 2. Representative IHC images of biopsied tissue collected from eight patient</w:t>
      </w:r>
      <w:r>
        <w:rPr>
          <w:b/>
          <w:bCs/>
          <w:sz w:val="23"/>
          <w:szCs w:val="23"/>
        </w:rPr>
        <w:t xml:space="preserve">s with localized adenocarcinoma </w:t>
      </w:r>
      <w:bookmarkStart w:id="0" w:name="_GoBack"/>
      <w:bookmarkEnd w:id="0"/>
      <w:r>
        <w:rPr>
          <w:b/>
          <w:bCs/>
          <w:sz w:val="23"/>
          <w:szCs w:val="23"/>
        </w:rPr>
        <w:t xml:space="preserve">of the prostate. </w:t>
      </w:r>
      <w:r>
        <w:rPr>
          <w:sz w:val="23"/>
          <w:szCs w:val="23"/>
        </w:rPr>
        <w:t>(</w:t>
      </w:r>
      <w:r>
        <w:rPr>
          <w:b/>
          <w:bCs/>
          <w:sz w:val="23"/>
          <w:szCs w:val="23"/>
        </w:rPr>
        <w:t>A</w:t>
      </w:r>
      <w:r>
        <w:rPr>
          <w:sz w:val="23"/>
          <w:szCs w:val="23"/>
        </w:rPr>
        <w:t>) GLUT1, (</w:t>
      </w:r>
      <w:r>
        <w:rPr>
          <w:b/>
          <w:bCs/>
          <w:sz w:val="23"/>
          <w:szCs w:val="23"/>
        </w:rPr>
        <w:t>B</w:t>
      </w:r>
      <w:r>
        <w:rPr>
          <w:sz w:val="23"/>
          <w:szCs w:val="23"/>
        </w:rPr>
        <w:t>) OPN, and (</w:t>
      </w:r>
      <w:r>
        <w:rPr>
          <w:b/>
          <w:bCs/>
          <w:sz w:val="23"/>
          <w:szCs w:val="23"/>
        </w:rPr>
        <w:t>C</w:t>
      </w:r>
      <w:r>
        <w:rPr>
          <w:sz w:val="23"/>
          <w:szCs w:val="23"/>
        </w:rPr>
        <w:t xml:space="preserve">) CAIX staining of prostate cancer tissues. Enlarged images shown in top left corner. Scale bars = 200 </w:t>
      </w:r>
      <w:proofErr w:type="spellStart"/>
      <w:r>
        <w:rPr>
          <w:sz w:val="23"/>
          <w:szCs w:val="23"/>
        </w:rPr>
        <w:t>μm</w:t>
      </w:r>
      <w:proofErr w:type="spellEnd"/>
      <w:r>
        <w:rPr>
          <w:sz w:val="23"/>
          <w:szCs w:val="23"/>
        </w:rPr>
        <w:t xml:space="preserve">. </w:t>
      </w:r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70"/>
    <w:rsid w:val="00787A9F"/>
    <w:rsid w:val="00B9428E"/>
    <w:rsid w:val="00E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2ED34-F323-4F9D-976A-6BC249B0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E7E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2021-08-04T12:34:00Z</dcterms:created>
  <dcterms:modified xsi:type="dcterms:W3CDTF">2021-08-04T12:35:00Z</dcterms:modified>
</cp:coreProperties>
</file>