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20BA" w14:textId="779E3353" w:rsidR="00304814" w:rsidRPr="007B18BC" w:rsidRDefault="001E78FC">
      <w:pPr>
        <w:rPr>
          <w:rFonts w:ascii="Calibri" w:hAnsi="Calibri"/>
          <w:lang w:val="en-US"/>
        </w:rPr>
      </w:pPr>
      <w:r>
        <w:rPr>
          <w:rFonts w:ascii="Calibri" w:hAnsi="Calibri"/>
          <w:lang w:val="en-US"/>
        </w:rPr>
        <w:t xml:space="preserve">Supplemental </w:t>
      </w:r>
      <w:r w:rsidR="00304814" w:rsidRPr="007B18BC">
        <w:rPr>
          <w:rFonts w:ascii="Calibri" w:hAnsi="Calibri"/>
          <w:lang w:val="en-US"/>
        </w:rPr>
        <w:t xml:space="preserve">Table </w:t>
      </w:r>
      <w:r w:rsidR="001A1E5A">
        <w:rPr>
          <w:rFonts w:ascii="Calibri" w:hAnsi="Calibri"/>
          <w:lang w:val="en-US"/>
        </w:rPr>
        <w:t>3</w:t>
      </w:r>
      <w:r w:rsidR="00304814" w:rsidRPr="007B18BC">
        <w:rPr>
          <w:rFonts w:ascii="Calibri" w:hAnsi="Calibri"/>
          <w:lang w:val="en-US"/>
        </w:rPr>
        <w:t xml:space="preserve"> – Baseline patient characteristics</w:t>
      </w:r>
      <w:r w:rsidR="007B18BC" w:rsidRPr="007B18BC">
        <w:rPr>
          <w:rFonts w:ascii="Calibri" w:hAnsi="Calibri"/>
          <w:lang w:val="en-US"/>
        </w:rPr>
        <w:t xml:space="preserve"> of patients with </w:t>
      </w:r>
      <w:r>
        <w:rPr>
          <w:rFonts w:ascii="Calibri" w:hAnsi="Calibri"/>
          <w:lang w:val="en-US"/>
        </w:rPr>
        <w:t>assessment of metastatic lesions</w:t>
      </w:r>
      <w:r w:rsidR="00BC421B" w:rsidRPr="007B18BC">
        <w:rPr>
          <w:rFonts w:ascii="Calibri" w:hAnsi="Calibri"/>
          <w:lang w:val="en-US"/>
        </w:rPr>
        <w:t>.</w:t>
      </w:r>
    </w:p>
    <w:p w14:paraId="035EC3DB" w14:textId="77777777" w:rsidR="00304814" w:rsidRPr="007B18BC" w:rsidRDefault="00304814">
      <w:pPr>
        <w:rPr>
          <w:lang w:val="en-US"/>
        </w:rPr>
      </w:pPr>
    </w:p>
    <w:tbl>
      <w:tblPr>
        <w:tblStyle w:val="Tabelraster"/>
        <w:tblW w:w="9923" w:type="dxa"/>
        <w:tblInd w:w="-572" w:type="dxa"/>
        <w:tblLook w:val="04A0" w:firstRow="1" w:lastRow="0" w:firstColumn="1" w:lastColumn="0" w:noHBand="0" w:noVBand="1"/>
      </w:tblPr>
      <w:tblGrid>
        <w:gridCol w:w="2552"/>
        <w:gridCol w:w="3118"/>
        <w:gridCol w:w="4253"/>
      </w:tblGrid>
      <w:tr w:rsidR="001E78FC" w:rsidRPr="001A1E5A" w14:paraId="423AE88E" w14:textId="77777777" w:rsidTr="001E78FC">
        <w:tc>
          <w:tcPr>
            <w:tcW w:w="5670" w:type="dxa"/>
            <w:gridSpan w:val="2"/>
          </w:tcPr>
          <w:p w14:paraId="486EE5B9" w14:textId="35641C52" w:rsidR="001E78FC" w:rsidRDefault="001E78FC" w:rsidP="00304814">
            <w:pPr>
              <w:jc w:val="center"/>
              <w:rPr>
                <w:rFonts w:ascii="Calibri" w:hAnsi="Calibri" w:cs="Calibri"/>
                <w:b/>
                <w:bCs/>
                <w:lang w:val="en-GB"/>
              </w:rPr>
            </w:pPr>
            <w:r>
              <w:rPr>
                <w:rFonts w:ascii="Calibri" w:hAnsi="Calibri" w:cs="Calibri"/>
                <w:b/>
                <w:bCs/>
                <w:lang w:val="en-GB"/>
              </w:rPr>
              <w:t>Variable</w:t>
            </w:r>
          </w:p>
        </w:tc>
        <w:tc>
          <w:tcPr>
            <w:tcW w:w="4253" w:type="dxa"/>
          </w:tcPr>
          <w:p w14:paraId="616FC744" w14:textId="0E0DE19F" w:rsidR="001E78FC" w:rsidRDefault="001E78FC" w:rsidP="00304814">
            <w:pPr>
              <w:jc w:val="center"/>
              <w:rPr>
                <w:rFonts w:ascii="Calibri" w:hAnsi="Calibri" w:cs="Calibri"/>
                <w:b/>
                <w:bCs/>
                <w:lang w:val="en-GB"/>
              </w:rPr>
            </w:pPr>
            <w:r>
              <w:rPr>
                <w:rFonts w:ascii="Calibri" w:hAnsi="Calibri" w:cs="Calibri"/>
                <w:b/>
                <w:bCs/>
                <w:lang w:val="en-GB"/>
              </w:rPr>
              <w:t>Patients with assessment of metastatic lesions (n=143)</w:t>
            </w:r>
          </w:p>
        </w:tc>
      </w:tr>
      <w:tr w:rsidR="001E78FC" w:rsidRPr="00004B58" w14:paraId="43301AA0" w14:textId="77777777" w:rsidTr="001E78FC">
        <w:tc>
          <w:tcPr>
            <w:tcW w:w="5670" w:type="dxa"/>
            <w:gridSpan w:val="2"/>
          </w:tcPr>
          <w:p w14:paraId="489FD9A9" w14:textId="74089DB3" w:rsidR="001E78FC" w:rsidRPr="00004B58" w:rsidRDefault="001E78FC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004B58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Age</w:t>
            </w:r>
            <w: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, yr.*</w:t>
            </w:r>
          </w:p>
        </w:tc>
        <w:tc>
          <w:tcPr>
            <w:tcW w:w="4253" w:type="dxa"/>
          </w:tcPr>
          <w:p w14:paraId="376E03A8" w14:textId="7F385E21" w:rsidR="001E78FC" w:rsidRPr="00004B58" w:rsidRDefault="001E78FC" w:rsidP="006F18A1">
            <w:pPr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color w:val="000000" w:themeColor="text1"/>
                <w:lang w:val="en-GB"/>
              </w:rPr>
              <w:t>60 (52-67)</w:t>
            </w:r>
          </w:p>
        </w:tc>
      </w:tr>
      <w:tr w:rsidR="001E78FC" w:rsidRPr="008B0A3F" w14:paraId="43C84C6F" w14:textId="77777777" w:rsidTr="001E78FC">
        <w:tc>
          <w:tcPr>
            <w:tcW w:w="2552" w:type="dxa"/>
            <w:vMerge w:val="restart"/>
          </w:tcPr>
          <w:p w14:paraId="658C7EB5" w14:textId="303E124F" w:rsidR="001E78FC" w:rsidRPr="008B0A3F" w:rsidRDefault="001E78FC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8B0A3F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Sex</w:t>
            </w:r>
            <w: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, no. (%)</w:t>
            </w:r>
          </w:p>
        </w:tc>
        <w:tc>
          <w:tcPr>
            <w:tcW w:w="3118" w:type="dxa"/>
          </w:tcPr>
          <w:p w14:paraId="59E5E069" w14:textId="77777777" w:rsidR="001E78FC" w:rsidRPr="008B0A3F" w:rsidRDefault="001E78FC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8B0A3F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Male</w:t>
            </w:r>
          </w:p>
        </w:tc>
        <w:tc>
          <w:tcPr>
            <w:tcW w:w="4253" w:type="dxa"/>
          </w:tcPr>
          <w:p w14:paraId="62DF0EB5" w14:textId="7E8A5601" w:rsidR="001E78FC" w:rsidRPr="008B0A3F" w:rsidRDefault="001E78FC" w:rsidP="006F18A1">
            <w:pPr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color w:val="000000" w:themeColor="text1"/>
                <w:lang w:val="en-GB"/>
              </w:rPr>
              <w:t>90 (62.9%)</w:t>
            </w:r>
          </w:p>
        </w:tc>
      </w:tr>
      <w:tr w:rsidR="001E78FC" w:rsidRPr="008B0A3F" w14:paraId="3B33A59C" w14:textId="77777777" w:rsidTr="001E78FC">
        <w:tc>
          <w:tcPr>
            <w:tcW w:w="2552" w:type="dxa"/>
            <w:vMerge/>
          </w:tcPr>
          <w:p w14:paraId="76292533" w14:textId="77777777" w:rsidR="001E78FC" w:rsidRPr="008B0A3F" w:rsidRDefault="001E78FC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3118" w:type="dxa"/>
          </w:tcPr>
          <w:p w14:paraId="2384FE6E" w14:textId="77777777" w:rsidR="001E78FC" w:rsidRPr="008B0A3F" w:rsidRDefault="001E78FC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8B0A3F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Female</w:t>
            </w:r>
          </w:p>
        </w:tc>
        <w:tc>
          <w:tcPr>
            <w:tcW w:w="4253" w:type="dxa"/>
          </w:tcPr>
          <w:p w14:paraId="402180D3" w14:textId="2B7F58B1" w:rsidR="001E78FC" w:rsidRPr="008B0A3F" w:rsidRDefault="001E78FC" w:rsidP="006F18A1">
            <w:pPr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color w:val="000000" w:themeColor="text1"/>
                <w:lang w:val="en-GB"/>
              </w:rPr>
              <w:t xml:space="preserve">53 (37.1%) </w:t>
            </w:r>
          </w:p>
        </w:tc>
      </w:tr>
      <w:tr w:rsidR="001E78FC" w:rsidRPr="008B0A3F" w14:paraId="14157590" w14:textId="77777777" w:rsidTr="001E78FC">
        <w:tc>
          <w:tcPr>
            <w:tcW w:w="2552" w:type="dxa"/>
            <w:vMerge w:val="restart"/>
          </w:tcPr>
          <w:p w14:paraId="481F49E0" w14:textId="30FA52CB" w:rsidR="001E78FC" w:rsidRPr="008B0A3F" w:rsidRDefault="001E78FC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8B0A3F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IMDC</w:t>
            </w:r>
            <w: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, no. (%)</w:t>
            </w:r>
          </w:p>
        </w:tc>
        <w:tc>
          <w:tcPr>
            <w:tcW w:w="3118" w:type="dxa"/>
          </w:tcPr>
          <w:p w14:paraId="736200B2" w14:textId="3C1F123F" w:rsidR="001E78FC" w:rsidRPr="008B0A3F" w:rsidRDefault="001E78FC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8B0A3F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Good</w:t>
            </w:r>
          </w:p>
        </w:tc>
        <w:tc>
          <w:tcPr>
            <w:tcW w:w="4253" w:type="dxa"/>
          </w:tcPr>
          <w:p w14:paraId="11C1A334" w14:textId="51F63EBC" w:rsidR="001E78FC" w:rsidRPr="008B0A3F" w:rsidRDefault="001E78FC" w:rsidP="006F18A1">
            <w:pPr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color w:val="000000" w:themeColor="text1"/>
                <w:lang w:val="en-GB"/>
              </w:rPr>
              <w:t>37 (25.9%)</w:t>
            </w:r>
          </w:p>
        </w:tc>
      </w:tr>
      <w:tr w:rsidR="001E78FC" w:rsidRPr="008B0A3F" w14:paraId="5A7DFF83" w14:textId="77777777" w:rsidTr="001E78FC">
        <w:tc>
          <w:tcPr>
            <w:tcW w:w="2552" w:type="dxa"/>
            <w:vMerge/>
          </w:tcPr>
          <w:p w14:paraId="164BDBC0" w14:textId="77777777" w:rsidR="001E78FC" w:rsidRPr="008B0A3F" w:rsidRDefault="001E78FC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3118" w:type="dxa"/>
          </w:tcPr>
          <w:p w14:paraId="773A1556" w14:textId="0F0BCB37" w:rsidR="001E78FC" w:rsidRPr="008B0A3F" w:rsidRDefault="001E78FC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8B0A3F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Intermediate</w:t>
            </w:r>
          </w:p>
        </w:tc>
        <w:tc>
          <w:tcPr>
            <w:tcW w:w="4253" w:type="dxa"/>
          </w:tcPr>
          <w:p w14:paraId="0A51741D" w14:textId="632FDF9E" w:rsidR="001E78FC" w:rsidRPr="008B0A3F" w:rsidRDefault="001E78FC" w:rsidP="006F18A1">
            <w:pPr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color w:val="000000" w:themeColor="text1"/>
                <w:lang w:val="en-GB"/>
              </w:rPr>
              <w:t>63 (44.1%)</w:t>
            </w:r>
          </w:p>
        </w:tc>
      </w:tr>
      <w:tr w:rsidR="001E78FC" w:rsidRPr="008B0A3F" w14:paraId="16267680" w14:textId="77777777" w:rsidTr="001E78FC">
        <w:tc>
          <w:tcPr>
            <w:tcW w:w="2552" w:type="dxa"/>
            <w:vMerge/>
          </w:tcPr>
          <w:p w14:paraId="2EC03788" w14:textId="77777777" w:rsidR="001E78FC" w:rsidRPr="008B0A3F" w:rsidRDefault="001E78FC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3118" w:type="dxa"/>
          </w:tcPr>
          <w:p w14:paraId="1F1F2850" w14:textId="527FA5AA" w:rsidR="001E78FC" w:rsidRPr="008B0A3F" w:rsidRDefault="001E78FC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8B0A3F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Poor</w:t>
            </w:r>
          </w:p>
        </w:tc>
        <w:tc>
          <w:tcPr>
            <w:tcW w:w="4253" w:type="dxa"/>
          </w:tcPr>
          <w:p w14:paraId="095A389E" w14:textId="27BBB62B" w:rsidR="001E78FC" w:rsidRPr="008B0A3F" w:rsidRDefault="001E78FC" w:rsidP="006F18A1">
            <w:pPr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color w:val="000000" w:themeColor="text1"/>
                <w:lang w:val="en-GB"/>
              </w:rPr>
              <w:t>33 (23.1%)</w:t>
            </w:r>
          </w:p>
        </w:tc>
      </w:tr>
      <w:tr w:rsidR="001E78FC" w:rsidRPr="008B0A3F" w14:paraId="0407AC8A" w14:textId="77777777" w:rsidTr="001E78FC">
        <w:tc>
          <w:tcPr>
            <w:tcW w:w="2552" w:type="dxa"/>
            <w:vMerge/>
          </w:tcPr>
          <w:p w14:paraId="5C9CD4BB" w14:textId="77777777" w:rsidR="001E78FC" w:rsidRPr="008B0A3F" w:rsidRDefault="001E78FC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3118" w:type="dxa"/>
          </w:tcPr>
          <w:p w14:paraId="0799E7AC" w14:textId="77777777" w:rsidR="001E78FC" w:rsidRPr="008B0A3F" w:rsidRDefault="001E78FC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8B0A3F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Missing</w:t>
            </w:r>
          </w:p>
        </w:tc>
        <w:tc>
          <w:tcPr>
            <w:tcW w:w="4253" w:type="dxa"/>
          </w:tcPr>
          <w:p w14:paraId="36596DE1" w14:textId="674C65ED" w:rsidR="001E78FC" w:rsidRPr="008B0A3F" w:rsidRDefault="001E78FC" w:rsidP="006F18A1">
            <w:pPr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color w:val="000000" w:themeColor="text1"/>
                <w:lang w:val="en-GB"/>
              </w:rPr>
              <w:t>10 (7.0%)</w:t>
            </w:r>
          </w:p>
        </w:tc>
      </w:tr>
      <w:tr w:rsidR="001E78FC" w:rsidRPr="00004B58" w14:paraId="75C18E40" w14:textId="77777777" w:rsidTr="001E78FC">
        <w:tc>
          <w:tcPr>
            <w:tcW w:w="2552" w:type="dxa"/>
            <w:vMerge w:val="restart"/>
          </w:tcPr>
          <w:p w14:paraId="7DD29EB4" w14:textId="14E0DAC7" w:rsidR="001E78FC" w:rsidRPr="00004B58" w:rsidRDefault="001E78FC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004B58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Synchronous vs. metachronous</w:t>
            </w:r>
            <w: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, no. (%)</w:t>
            </w:r>
          </w:p>
        </w:tc>
        <w:tc>
          <w:tcPr>
            <w:tcW w:w="3118" w:type="dxa"/>
          </w:tcPr>
          <w:p w14:paraId="141F64C4" w14:textId="58324B3C" w:rsidR="001E78FC" w:rsidRPr="00004B58" w:rsidRDefault="001E78FC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004B58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Syn</w:t>
            </w:r>
            <w: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chronous</w:t>
            </w:r>
          </w:p>
        </w:tc>
        <w:tc>
          <w:tcPr>
            <w:tcW w:w="4253" w:type="dxa"/>
          </w:tcPr>
          <w:p w14:paraId="136972F8" w14:textId="76EF84B0" w:rsidR="001E78FC" w:rsidRPr="00004B58" w:rsidRDefault="001E78FC" w:rsidP="006F18A1">
            <w:pPr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color w:val="000000" w:themeColor="text1"/>
                <w:lang w:val="en-GB"/>
              </w:rPr>
              <w:t>52 (36.4%)</w:t>
            </w:r>
          </w:p>
        </w:tc>
      </w:tr>
      <w:tr w:rsidR="001E78FC" w:rsidRPr="00004B58" w14:paraId="66F69CF9" w14:textId="77777777" w:rsidTr="001E78FC">
        <w:tc>
          <w:tcPr>
            <w:tcW w:w="2552" w:type="dxa"/>
            <w:vMerge/>
          </w:tcPr>
          <w:p w14:paraId="1D7B1D45" w14:textId="77777777" w:rsidR="001E78FC" w:rsidRPr="00004B58" w:rsidRDefault="001E78FC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3118" w:type="dxa"/>
          </w:tcPr>
          <w:p w14:paraId="171EA8D3" w14:textId="2935D911" w:rsidR="001E78FC" w:rsidRPr="00004B58" w:rsidRDefault="001E78FC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004B58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Meta</w:t>
            </w:r>
            <w: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chronous</w:t>
            </w:r>
          </w:p>
        </w:tc>
        <w:tc>
          <w:tcPr>
            <w:tcW w:w="4253" w:type="dxa"/>
          </w:tcPr>
          <w:p w14:paraId="0E3F6871" w14:textId="4BD2BC31" w:rsidR="001E78FC" w:rsidRPr="00004B58" w:rsidRDefault="001E78FC" w:rsidP="006F18A1">
            <w:pPr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color w:val="000000" w:themeColor="text1"/>
                <w:lang w:val="en-GB"/>
              </w:rPr>
              <w:t>91 (63.6%)</w:t>
            </w:r>
          </w:p>
        </w:tc>
      </w:tr>
      <w:tr w:rsidR="001E78FC" w:rsidRPr="00004B58" w14:paraId="1B1FC094" w14:textId="77777777" w:rsidTr="001E78FC">
        <w:tc>
          <w:tcPr>
            <w:tcW w:w="2552" w:type="dxa"/>
          </w:tcPr>
          <w:p w14:paraId="1DF0DA32" w14:textId="5BBE4732" w:rsidR="001E78FC" w:rsidRPr="00004B58" w:rsidRDefault="001E78FC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Time from diagnosis to metastasis (months)*</w:t>
            </w:r>
          </w:p>
        </w:tc>
        <w:tc>
          <w:tcPr>
            <w:tcW w:w="3118" w:type="dxa"/>
          </w:tcPr>
          <w:p w14:paraId="3BEF6C8F" w14:textId="77777777" w:rsidR="001E78FC" w:rsidRPr="00004B58" w:rsidRDefault="001E78FC" w:rsidP="009414D2">
            <w:pPr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4253" w:type="dxa"/>
          </w:tcPr>
          <w:p w14:paraId="6B246CDC" w14:textId="7110B16F" w:rsidR="001E78FC" w:rsidRPr="00004B58" w:rsidRDefault="001E78FC" w:rsidP="006F18A1">
            <w:pPr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color w:val="000000" w:themeColor="text1"/>
                <w:lang w:val="en-GB"/>
              </w:rPr>
              <w:t>43 (21-77)</w:t>
            </w:r>
          </w:p>
        </w:tc>
      </w:tr>
    </w:tbl>
    <w:p w14:paraId="58D4C32E" w14:textId="62550E0B" w:rsidR="005649E8" w:rsidRPr="00E2299C" w:rsidRDefault="00E2299C">
      <w:pPr>
        <w:rPr>
          <w:rFonts w:ascii="Calibri" w:hAnsi="Calibri" w:cs="Calibri"/>
          <w:lang w:val="en-US"/>
        </w:rPr>
      </w:pPr>
      <w:r w:rsidRPr="00E2299C">
        <w:rPr>
          <w:lang w:val="en-US"/>
        </w:rPr>
        <w:t>*</w:t>
      </w:r>
      <w:r w:rsidRPr="00E2299C">
        <w:rPr>
          <w:rFonts w:ascii="Calibri" w:hAnsi="Calibri" w:cs="Calibri"/>
          <w:lang w:val="en-US"/>
        </w:rPr>
        <w:t>Data are shown as median (</w:t>
      </w:r>
      <w:r>
        <w:rPr>
          <w:rFonts w:ascii="Calibri" w:hAnsi="Calibri" w:cs="Calibri"/>
          <w:lang w:val="en-US"/>
        </w:rPr>
        <w:t>interquartile range)</w:t>
      </w:r>
    </w:p>
    <w:sectPr w:rsidR="005649E8" w:rsidRPr="00E2299C" w:rsidSect="00893B81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814"/>
    <w:rsid w:val="001A1E5A"/>
    <w:rsid w:val="001E78FC"/>
    <w:rsid w:val="00304814"/>
    <w:rsid w:val="006F18A1"/>
    <w:rsid w:val="007B18BC"/>
    <w:rsid w:val="00893B81"/>
    <w:rsid w:val="00912045"/>
    <w:rsid w:val="00BC421B"/>
    <w:rsid w:val="00D31A01"/>
    <w:rsid w:val="00E2299C"/>
    <w:rsid w:val="00E5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182DD01"/>
  <w15:chartTrackingRefBased/>
  <w15:docId w15:val="{523B5371-DDC3-654C-875A-7F0836E02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nl-B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04814"/>
    <w:rPr>
      <w:rFonts w:ascii="Times New Roman" w:eastAsia="Times New Roman" w:hAnsi="Times New Roman" w:cs="Times New Roman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04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0481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0481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04814"/>
    <w:rPr>
      <w:rFonts w:ascii="Times New Roman" w:eastAsia="Times New Roman" w:hAnsi="Times New Roman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82</Words>
  <Characters>452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 Roussel</dc:creator>
  <cp:keywords/>
  <dc:description/>
  <cp:lastModifiedBy>Eduard Roussel</cp:lastModifiedBy>
  <cp:revision>4</cp:revision>
  <dcterms:created xsi:type="dcterms:W3CDTF">2021-07-02T08:31:00Z</dcterms:created>
  <dcterms:modified xsi:type="dcterms:W3CDTF">2021-07-02T10:04:00Z</dcterms:modified>
</cp:coreProperties>
</file>