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43348" w14:textId="77777777" w:rsidR="003C631C" w:rsidRPr="000E4443" w:rsidRDefault="003C631C" w:rsidP="003C631C">
      <w:pPr>
        <w:pStyle w:val="Newparagraph"/>
        <w:ind w:firstLine="0"/>
        <w:rPr>
          <w:rFonts w:asciiTheme="minorHAnsi" w:hAnsiTheme="minorHAnsi" w:cstheme="minorHAnsi"/>
          <w:b/>
          <w:bCs/>
        </w:rPr>
      </w:pPr>
      <w:r w:rsidRPr="000E4443">
        <w:rPr>
          <w:rFonts w:asciiTheme="minorHAnsi" w:hAnsiTheme="minorHAnsi" w:cstheme="minorHAnsi"/>
          <w:b/>
          <w:bCs/>
        </w:rPr>
        <w:t>Appendix B: Overview of included studies.</w:t>
      </w:r>
    </w:p>
    <w:p w14:paraId="730001A2" w14:textId="77777777" w:rsidR="003C631C" w:rsidRDefault="003C631C" w:rsidP="003C631C">
      <w:pPr>
        <w:pStyle w:val="Newparagraph"/>
        <w:ind w:firstLine="0"/>
        <w:rPr>
          <w:rFonts w:asciiTheme="minorHAnsi" w:hAnsiTheme="minorHAnsi" w:cstheme="minorHAnsi"/>
        </w:rPr>
      </w:pPr>
      <w:r w:rsidRPr="006D4EF6">
        <w:rPr>
          <w:rFonts w:asciiTheme="minorHAnsi" w:hAnsiTheme="minorHAnsi" w:cstheme="minorHAnsi"/>
        </w:rPr>
        <w:t>Abbreviations; NR: not reported, n: number of patients, +</w:t>
      </w:r>
      <w:proofErr w:type="spellStart"/>
      <w:r w:rsidRPr="006D4EF6">
        <w:rPr>
          <w:rFonts w:asciiTheme="minorHAnsi" w:hAnsiTheme="minorHAnsi" w:cstheme="minorHAnsi"/>
        </w:rPr>
        <w:t>ve</w:t>
      </w:r>
      <w:proofErr w:type="spellEnd"/>
      <w:r w:rsidRPr="006D4EF6">
        <w:rPr>
          <w:rFonts w:asciiTheme="minorHAnsi" w:hAnsiTheme="minorHAnsi" w:cstheme="minorHAnsi"/>
        </w:rPr>
        <w:t>: positive, -</w:t>
      </w:r>
      <w:proofErr w:type="spellStart"/>
      <w:r w:rsidRPr="006D4EF6">
        <w:rPr>
          <w:rFonts w:asciiTheme="minorHAnsi" w:hAnsiTheme="minorHAnsi" w:cstheme="minorHAnsi"/>
        </w:rPr>
        <w:t>ve</w:t>
      </w:r>
      <w:proofErr w:type="spellEnd"/>
      <w:r w:rsidRPr="006D4EF6">
        <w:rPr>
          <w:rFonts w:asciiTheme="minorHAnsi" w:hAnsiTheme="minorHAnsi" w:cstheme="minorHAnsi"/>
        </w:rPr>
        <w:t>: negative, ORR: objective response rate, PFS: progression free survival, OS: overall survival, CI: confidence interval, DOR: duration of response, HPV: human papillomavirus, PD-1: programmed cell death protein 1, PD-L1: programmed death-ligand 1, DCR: disease control rate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57"/>
        <w:gridCol w:w="1786"/>
        <w:gridCol w:w="1409"/>
        <w:gridCol w:w="1390"/>
        <w:gridCol w:w="1554"/>
        <w:gridCol w:w="1658"/>
        <w:gridCol w:w="1661"/>
        <w:gridCol w:w="1714"/>
        <w:gridCol w:w="1891"/>
      </w:tblGrid>
      <w:tr w:rsidR="003C631C" w:rsidRPr="00132BA2" w14:paraId="79F5F4E7" w14:textId="77777777" w:rsidTr="004D5181">
        <w:trPr>
          <w:trHeight w:val="1576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hideMark/>
          </w:tcPr>
          <w:p w14:paraId="624B91B2" w14:textId="77777777" w:rsidR="003C631C" w:rsidRPr="006D4EF6" w:rsidRDefault="003C631C" w:rsidP="004D518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 xml:space="preserve">Author, 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br/>
              <w:t>Year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08213E99" w14:textId="77777777" w:rsidR="003C631C" w:rsidRPr="006D4EF6" w:rsidRDefault="003C631C" w:rsidP="004D518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Study title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hideMark/>
          </w:tcPr>
          <w:p w14:paraId="7E6B1A64" w14:textId="77777777" w:rsidR="003C631C" w:rsidRPr="006D4EF6" w:rsidRDefault="003C631C" w:rsidP="004D518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Type of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hideMark/>
          </w:tcPr>
          <w:p w14:paraId="6DE071FA" w14:textId="77777777" w:rsidR="003C631C" w:rsidRPr="006D4EF6" w:rsidRDefault="003C631C" w:rsidP="004D518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Participants, N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br/>
              <w:t>Age; Median, (Range)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hideMark/>
          </w:tcPr>
          <w:p w14:paraId="56816334" w14:textId="77777777" w:rsidR="003C631C" w:rsidRPr="006D4EF6" w:rsidRDefault="003C631C" w:rsidP="004D518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Lines of prior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hideMark/>
          </w:tcPr>
          <w:p w14:paraId="3CC7A492" w14:textId="77777777" w:rsidR="003C631C" w:rsidRPr="006D4EF6" w:rsidRDefault="003C631C" w:rsidP="004D518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Drug,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br/>
              <w:t>Antibody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hideMark/>
          </w:tcPr>
          <w:p w14:paraId="52015758" w14:textId="77777777" w:rsidR="003C631C" w:rsidRPr="006D4EF6" w:rsidRDefault="003C631C" w:rsidP="004D518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Drug administration;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br/>
              <w:t>Dose, Time frame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hideMark/>
          </w:tcPr>
          <w:p w14:paraId="1880B0CD" w14:textId="77777777" w:rsidR="003C631C" w:rsidRPr="006D4EF6" w:rsidRDefault="003C631C" w:rsidP="004D518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Primary and Secondary endpoints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hideMark/>
          </w:tcPr>
          <w:p w14:paraId="1C0B562E" w14:textId="77777777" w:rsidR="003C631C" w:rsidRPr="006D4EF6" w:rsidRDefault="003C631C" w:rsidP="004D518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Main statistical tests</w:t>
            </w:r>
          </w:p>
        </w:tc>
      </w:tr>
      <w:tr w:rsidR="003C631C" w:rsidRPr="00132BA2" w14:paraId="4AF4FE52" w14:textId="77777777" w:rsidTr="004D5181">
        <w:trPr>
          <w:trHeight w:val="3233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BC14C1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 xml:space="preserve">Bauml J. et al. 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br/>
              <w:t>2017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7190BFBB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Pembrolizumab for Platinum- and Cetuximab-Refractory Head and Neck Cancer: Results </w:t>
            </w:r>
            <w:proofErr w:type="gram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From</w:t>
            </w:r>
            <w:proofErr w:type="gram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a Single-Arm, Phase II Study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59185DB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Prospective, single arm, multicentre, Phase II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6D1491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171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61 (33-90)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75EEF0D7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23% of patients had one line of prior systemic therapy, 40% had two lines of prior systemic therapy, and 36% had three or more lines of prior systemic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A9A6C5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Pembrolizumab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 xml:space="preserve">Anti-PD-1 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13BA976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200mg intravenously,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every 3 weeks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28E0FBD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Primary: ORR and safety. 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 xml:space="preserve">Secondary: PFS, OS, duration of response, ORR in </w:t>
            </w: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HPV+ve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and PD-L1+ve patients.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5A2B51FB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Response rates, 95% CI and one-sided p values estimated with binomial </w:t>
            </w:r>
            <w:proofErr w:type="gram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method;</w:t>
            </w:r>
            <w:proofErr w:type="gram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Kaplan-Meier statistics for PFS, OS, DOR</w:t>
            </w:r>
          </w:p>
        </w:tc>
      </w:tr>
      <w:tr w:rsidR="003C631C" w:rsidRPr="00132BA2" w14:paraId="77952C7A" w14:textId="77777777" w:rsidTr="004D5181">
        <w:trPr>
          <w:trHeight w:val="3480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33CD7E76" w14:textId="77777777" w:rsidR="003C631C" w:rsidRPr="00011330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lastRenderedPageBreak/>
              <w:t>Chow, L. Q. M.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br/>
              <w:t>2016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6D79333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Antitumor Activity of Pembrolizumab in Biomarker-Unselected Patients </w:t>
            </w:r>
            <w:proofErr w:type="gram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With</w:t>
            </w:r>
            <w:proofErr w:type="gram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Recurrent and/or Metastatic Head and Neck Squamous Cell Carcinoma: Results From the Phase </w:t>
            </w: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Ib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KEYNOTE-012 Expansion Cohort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5DAE56E3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Prospective, single arm, multicentre, non-randomised, Phase </w:t>
            </w: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Ib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04482C31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132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60 (25-84)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5FD41297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43% of patients had one or less lines of prior systemic therapy, 21% had two lines of prior systemic therapy, and 36% had three or more lines of prior systemic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65DA0CE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Pembrolizumab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 xml:space="preserve">Anti-PD-1 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792F241B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200mg intravenously,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every 3 weeks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2089269B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ORR and safety.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Secondary: PFS, ORR, OS, duration of response, correlation of response and PD-L1 expression.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489AD97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Response rates using binomial methods;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Kaplan-Meier statistics for PFS, OS, DOR</w:t>
            </w:r>
          </w:p>
        </w:tc>
      </w:tr>
      <w:tr w:rsidR="003C631C" w:rsidRPr="00132BA2" w14:paraId="34E701D7" w14:textId="77777777" w:rsidTr="004D5181">
        <w:trPr>
          <w:trHeight w:val="3683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30D82F65" w14:textId="77777777" w:rsidR="003C631C" w:rsidRPr="00011330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t>Cohen, E. E. W.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br/>
              <w:t>2019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709EFEE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Pembrolizumab versus methotrexate, docetaxel, or cetuximab for recurrent or metastatic head-and-neck squamous cell carcinoma (KEYNOTE-040): a randomised, 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lastRenderedPageBreak/>
              <w:t>open-label, phase 3 study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EA582C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lastRenderedPageBreak/>
              <w:t>Prospective, randomised, open-label, phase III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E9752ED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247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60 (55-66)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E553C3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57% of patients had one line of prior systemic therapy, 28% had two lines of prior systemic therapy, and 1% had three lines of prior 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lastRenderedPageBreak/>
              <w:t>systemic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6F4F0D0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lastRenderedPageBreak/>
              <w:t>Pembrolizumab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 xml:space="preserve">Anti-PD-1 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3DC730AE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200mg intravenously,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every 3 weeks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DA36A3D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OS.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Secondary: OS in patients with PD-L1 ≥1, safety, PFS, ORR, duration of response, time to progression.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212F76A3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011330">
              <w:rPr>
                <w:rFonts w:asciiTheme="minorHAnsi" w:hAnsiTheme="minorHAnsi" w:cstheme="minorHAnsi"/>
                <w:color w:val="000000"/>
                <w:lang w:val="da-DK" w:eastAsia="en-IE"/>
              </w:rPr>
              <w:t xml:space="preserve">Kaplan-Meier statistics for OS, PFS, DOR. 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OS and PFS compared by stratified log-rank tests;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Hazard ratios and associated 95% CIs using stratified Cox proportional-hazards model</w:t>
            </w:r>
          </w:p>
        </w:tc>
      </w:tr>
      <w:tr w:rsidR="003C631C" w:rsidRPr="00132BA2" w14:paraId="77D1F600" w14:textId="77777777" w:rsidTr="004D5181">
        <w:trPr>
          <w:trHeight w:val="3705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1D3E588B" w14:textId="77777777" w:rsidR="003C631C" w:rsidRPr="00011330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t>Ferris, R. L.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br/>
              <w:t>2016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7BD79240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Nivolumab for Recurrent Squamous-Cell Carcinoma of the Head and Neck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1812A593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Prospective, randomised, open-label, Phase III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1E66C9D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240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59 (29-83)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685A74AD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44.2% of patients had one line of prior systemic therapy, 33.3% had two lines of prior systemic therapy, and 22.5% had three or more lines of prior systemic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713B11CC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Nivolumab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Anti-PD-1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0226B01B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3mg/kg intravenously,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every 2 weeks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213EABFD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OS.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Secondary: PFS, ORR, time to response, association between PD-L1 expression and HPV status and OS, response rate, safety, quality of life assessments.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7C58DAE1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OS and PFS estimated using Kaplan-Meier statistics and compared by log-rank tests stratified according to previous Cetuximab;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Hazard ratios and CIs using Cox proportional-hazards models</w:t>
            </w:r>
          </w:p>
        </w:tc>
      </w:tr>
      <w:tr w:rsidR="003C631C" w:rsidRPr="00132BA2" w14:paraId="26B561C8" w14:textId="77777777" w:rsidTr="004D5181">
        <w:trPr>
          <w:trHeight w:val="4108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CD75F67" w14:textId="77777777" w:rsidR="003C631C" w:rsidRPr="00011330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lastRenderedPageBreak/>
              <w:t>Ferris, R. L.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br/>
              <w:t>2018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7D73C091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Nivolumab vs investigator’s choice in recurrent or metastatic squamous cell carcinoma of the head and neck: 2-year long-term survival update of </w:t>
            </w: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CheckMate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141 with analyses by </w:t>
            </w: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tumor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PD-L1 expression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5CAF65D2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Prospective, randomised, open-label, Phase III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FE21FE6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240*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59 (29-83)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30EEA900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44.2% of patients had one line of prior systemic therapy, 33.3% had two lines </w:t>
            </w:r>
            <w:proofErr w:type="gram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of  systemic</w:t>
            </w:r>
            <w:proofErr w:type="gram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therapy, and 22.5% had three or more lines of prior systemic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ED634CC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Nivolumab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Anti-PD-1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0AB4611C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3mg/kg intravenously,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every 2 weeks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4FE315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OS.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Secondary: PFS, ORR, safety.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6B772A0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OS and PFS estimated using Kaplan-Meier statistics;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Hazard ratios and corresponding 2-sided 95% CIs estimated using Cox proportional-hazards models</w:t>
            </w:r>
          </w:p>
        </w:tc>
      </w:tr>
      <w:tr w:rsidR="003C631C" w:rsidRPr="00132BA2" w14:paraId="12E31E4D" w14:textId="77777777" w:rsidTr="004D5181">
        <w:trPr>
          <w:trHeight w:val="3795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17750096" w14:textId="77777777" w:rsidR="003C631C" w:rsidRPr="00011330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t>Segal, N. H.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br/>
              <w:t>2019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7EA4468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Safety and efficacy of durvalumab in patients with head and neck squamous cell carcinoma: results from a phase I/II expansion cohort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7F332A58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Prospective, Phase I/II expansion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68EC68E1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62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57 (24-96)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508063C4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25.8% of patients had one line of prior systemic therapy, 27.4% had two lines of prior systemic therapy, and 46.8% had three or more lines of 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lastRenderedPageBreak/>
              <w:t>prior systemic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688042D9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lastRenderedPageBreak/>
              <w:t>Durvalumab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Anti-PD-L1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1B916736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10mg/kg intravenously,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every 2 weeks for 12 months/until confirmed progressive disease or unacceptable toxicity.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34313711" w14:textId="77777777" w:rsidR="003C631C" w:rsidRPr="006D4EF6" w:rsidRDefault="003C631C" w:rsidP="004D5181">
            <w:pPr>
              <w:spacing w:after="240"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safety and tolerability.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Secondary: anti-tumour activity (ORR, disease control rate (DCR), duration of response (</w:t>
            </w: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DoR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), PFS and OS).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5F1A66B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95% CIs for ORR and DCR measured using exact probability method</w:t>
            </w:r>
          </w:p>
        </w:tc>
      </w:tr>
      <w:tr w:rsidR="003C631C" w:rsidRPr="00132BA2" w14:paraId="2714A911" w14:textId="77777777" w:rsidTr="004D5181">
        <w:trPr>
          <w:trHeight w:val="4108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2E0E1CB5" w14:textId="77777777" w:rsidR="003C631C" w:rsidRPr="00011330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t>Seiwert, T. Y.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br/>
              <w:t>2016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E701016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Safety and clinical activity of pembrolizumab for treatment of recurrent or metastatic squamous cell carcinoma of the head and neck (KEYNOTE-012): an open-label, multicentre, phase 1b trial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5C260F01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Prospective, open-label, multicentre, Phase </w:t>
            </w: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Ib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3B1A92AC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60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63 (20-83)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0579AD40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27% of patients had one or less lines of prior systemic therapy, 33% had two lines of prior systemic therapy, and 37% had three or more lines of prior systemic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27F81EC8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Pembrolizumab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 xml:space="preserve">Anti-PD-1 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74C1B0C6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10mg/kg intravenously,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every 2 weeks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5A79F21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safety of Pembrolizumab, ORR.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 xml:space="preserve">Secondary:  response in HPV patients and patients previously treated with cetuximab and platinum, and </w:t>
            </w: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DoR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, PFS, and OS in total patient population.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A9090ED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ORR, 95% CI and p values estimated with exact binomial </w:t>
            </w:r>
            <w:proofErr w:type="gram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method;</w:t>
            </w:r>
            <w:proofErr w:type="gram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Kaplan-Meier statistics for PFS, OS, DOR</w:t>
            </w:r>
          </w:p>
        </w:tc>
      </w:tr>
      <w:tr w:rsidR="003C631C" w:rsidRPr="006F216C" w14:paraId="54A40FAA" w14:textId="77777777" w:rsidTr="004D5181">
        <w:trPr>
          <w:trHeight w:val="3795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5EA6CA44" w14:textId="77777777" w:rsidR="003C631C" w:rsidRPr="00011330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lastRenderedPageBreak/>
              <w:t>Zandberg, D. P.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br/>
              <w:t>2019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3FAA6B6B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Durvalumab for recurrent or metastatic head and neck squamous cell carcinoma: Results from a single-arm, phase II study in patients with &gt;=25% tumour cell PD-L1 expression who have progressed on platinum-based chemotherapy</w:t>
            </w:r>
          </w:p>
          <w:p w14:paraId="07E7C41D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615B30A6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Prospective, Phase II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02663F47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112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60 (24-84)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27963AA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Percentage data on prior lines of therapy not available, but 59.8% of patients received prior Cetuximab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49549A18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Durvalumab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Anti-PD-L1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4DA86681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10mg/kg intravenously,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every 2 weeks for up to 12 months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50715042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ORR.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 xml:space="preserve">Secondary: best objective response, disease control rate, PFS, OS, safety and tolerability, impact of treatment on symptoms and </w:t>
            </w:r>
            <w:proofErr w:type="gram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health-related</w:t>
            </w:r>
            <w:proofErr w:type="gram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QoL measures.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2620D54F" w14:textId="77777777" w:rsidR="003C631C" w:rsidRPr="00011330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color w:val="000000"/>
                <w:lang w:val="da-DK" w:eastAsia="en-IE"/>
              </w:rPr>
              <w:t>Kaplan-Meier statistics for PFS and OS</w:t>
            </w:r>
          </w:p>
        </w:tc>
      </w:tr>
      <w:tr w:rsidR="003C631C" w:rsidRPr="00132BA2" w14:paraId="14DA180D" w14:textId="77777777" w:rsidTr="004D5181">
        <w:trPr>
          <w:trHeight w:val="3541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34F9D00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Okamoto, I. et al.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br/>
              <w:t>2019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EAEDCF5" w14:textId="77777777" w:rsidR="003C631C" w:rsidRPr="006D4EF6" w:rsidRDefault="003C631C" w:rsidP="004D5181">
            <w:pPr>
              <w:spacing w:after="240"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Efficacy and safety of nivolumab in 100 patients with recurrent or metastatic head and neck cancer - a retrospective multicentre study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55F8E3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Retrospective, Multicentre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7DE01E3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88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NR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9F3E0F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NR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3C0A84E7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Nivolumab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Anti-PD-1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7A996097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3mg/kg intravenously, every 2 weeks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91B766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ORR.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Secondary: OS and PFS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5D9AC08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Kaplan-Meier statistics for PFS and OS;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Log-rank tests for analysis of PFS, ORR, OS by presence/absence of immune-related adverse events</w:t>
            </w:r>
          </w:p>
        </w:tc>
      </w:tr>
      <w:tr w:rsidR="003C631C" w:rsidRPr="00132BA2" w14:paraId="1ACFEC32" w14:textId="77777777" w:rsidTr="004D5181">
        <w:trPr>
          <w:trHeight w:val="70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0DD965F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lastRenderedPageBreak/>
              <w:t>Hori, R. et al.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br/>
              <w:t>2019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682A8EB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Real-World Outcomes and Prognostic Factors in Patients Receiving Nivolumab Therapy for Recurrent or Metastatic Head and Neck Carcinoma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43B32E8C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Retrospective, Multicentre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4C0D7FA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78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NR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3CE839B6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66.7% of patients had one or less lines of prior systemic therapy, 25% had two lines of prior systemic therapy, and 7.5% had three or more lines of prior systemic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33FACC7E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Nivolumab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Anti-PD-1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3783BB4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NR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53B4E497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ORR, OS, PFS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5DB26579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Kaplan-Meier statistics for PFS and OS and groups were compared using a log-rank test;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Associations between patient characteristics and PFS determined using Cox proportional-hazards regression models</w:t>
            </w:r>
          </w:p>
          <w:p w14:paraId="1FEBAD06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</w:p>
          <w:p w14:paraId="2F597F6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</w:p>
          <w:p w14:paraId="177912B8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</w:p>
        </w:tc>
      </w:tr>
      <w:tr w:rsidR="003C631C" w:rsidRPr="00132BA2" w14:paraId="746A6DBF" w14:textId="77777777" w:rsidTr="004D5181">
        <w:trPr>
          <w:trHeight w:val="3465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35A4FB5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Siu, L. et al.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br/>
              <w:t>2018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54B8696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Safety and Efficacy of Durvalumab with or Without Tremelimumab in Patients with PD-L1-Low/Negative Recurrent or Metastatic HNSCC: The Phase 2 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lastRenderedPageBreak/>
              <w:t>CONDOR Randomized Clinical Trial</w:t>
            </w:r>
          </w:p>
          <w:p w14:paraId="0D76E8A2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</w:p>
          <w:p w14:paraId="25C754E9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B11421D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lastRenderedPageBreak/>
              <w:t>Randomised, open-label, multicentre, phase II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02239B7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67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62 (23-82)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0C0CD99B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Data on prior lines of therapy not available, but 74.6%, 38.8% and 73.1% of patients received prior Cetuximab, Taxanes or other 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lastRenderedPageBreak/>
              <w:t>chemotherapy respectively.</w:t>
            </w:r>
          </w:p>
          <w:p w14:paraId="6404C4A8" w14:textId="77777777" w:rsidR="003C631C" w:rsidRPr="006D4EF6" w:rsidRDefault="003C631C" w:rsidP="004D5181">
            <w:pPr>
              <w:rPr>
                <w:rFonts w:asciiTheme="minorHAnsi" w:hAnsiTheme="minorHAnsi" w:cstheme="minorHAnsi"/>
                <w:lang w:eastAsia="en-IE"/>
              </w:rPr>
            </w:pP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25F94776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lastRenderedPageBreak/>
              <w:t>Durvalumab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Anti-PD-L1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73738F4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10mg/kg intravenously,</w:t>
            </w: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br/>
              <w:t>every 2 weeks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C90E698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Secondary: ORR, safety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DEB3C0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Kaplan-Meier statistics for PFS and OS; hazard ratios and CIs estimates using stratified log-rank tests</w:t>
            </w:r>
          </w:p>
        </w:tc>
      </w:tr>
      <w:tr w:rsidR="003C631C" w:rsidRPr="00132BA2" w14:paraId="0F1375C6" w14:textId="77777777" w:rsidTr="004D5181">
        <w:trPr>
          <w:trHeight w:val="3465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320121D0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Burtness et al.</w:t>
            </w:r>
          </w:p>
          <w:p w14:paraId="707AF1EA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2019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379F978B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Pembrolizumab alone or with chemotherapy versus cetuximab with chemotherapy for recurrent or metastatic squamous cell carcinoma of the head and neck (KEYNOTE-048): a randomised, open-label, phase 3 study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00857AF4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Randomised, open-label, multicentre, phase III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1BCA92B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 = 301</w:t>
            </w:r>
          </w:p>
          <w:p w14:paraId="456C7464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62 (56-68)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6CB9FED9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NR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3672BD2C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Pembrolizumab</w:t>
            </w:r>
          </w:p>
          <w:p w14:paraId="6AD02204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Anti-PD-1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4DB5D5E9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200mg intravenously, every 3 weeks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53DC1932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OS and PFS.</w:t>
            </w:r>
          </w:p>
          <w:p w14:paraId="3DBF6CEE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Secondary: safety and tolerability, ORR, PFS at 6 and 12 months.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73C2B129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Kalpan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-Meier statistics for OS, PFS and DOR; HRs and associated 95% CIs estimated using stratified Cox proportional-hazards model with </w:t>
            </w: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Efron's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 method of tie handling; OS and PFS compared by stratified log-rank tests</w:t>
            </w:r>
          </w:p>
        </w:tc>
      </w:tr>
      <w:tr w:rsidR="003C631C" w:rsidRPr="00132BA2" w14:paraId="7FB2A404" w14:textId="77777777" w:rsidTr="004D5181">
        <w:trPr>
          <w:trHeight w:val="4736"/>
        </w:trPr>
        <w:tc>
          <w:tcPr>
            <w:tcW w:w="11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7899D46A" w14:textId="77777777" w:rsidR="003C631C" w:rsidRPr="00011330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lang w:val="da-DK" w:eastAsia="en-IE"/>
              </w:rPr>
              <w:lastRenderedPageBreak/>
              <w:t xml:space="preserve">Ferris, R. L. et al. </w:t>
            </w:r>
          </w:p>
          <w:p w14:paraId="4076DC25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lang w:eastAsia="en-IE"/>
              </w:rPr>
              <w:t>2020</w:t>
            </w:r>
          </w:p>
        </w:tc>
        <w:tc>
          <w:tcPr>
            <w:tcW w:w="1786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2AE8582D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Durvalumab with or without Tremelimumab in patients with recurrent or metastatic head and neck squamous cell carcinoma: EAGLE, a randomized, open-label phase III study</w:t>
            </w:r>
          </w:p>
        </w:tc>
        <w:tc>
          <w:tcPr>
            <w:tcW w:w="14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2E8B7CEE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Randomised, open-label, phase III study</w:t>
            </w:r>
          </w:p>
        </w:tc>
        <w:tc>
          <w:tcPr>
            <w:tcW w:w="13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38449459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n = 240 </w:t>
            </w:r>
          </w:p>
          <w:p w14:paraId="39FBE4A9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59 (24-84)</w:t>
            </w:r>
          </w:p>
        </w:tc>
        <w:tc>
          <w:tcPr>
            <w:tcW w:w="155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0F80086E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73.4% of patients had one line of prior systemic therapy, 85.1% had two lines of prior systemic therapy, and 70% had three or more lines of prior systemic therapy</w:t>
            </w:r>
          </w:p>
        </w:tc>
        <w:tc>
          <w:tcPr>
            <w:tcW w:w="16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3DD0200E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Durvalumab</w:t>
            </w:r>
          </w:p>
          <w:p w14:paraId="746A867C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Anti PD-L1</w:t>
            </w:r>
          </w:p>
        </w:tc>
        <w:tc>
          <w:tcPr>
            <w:tcW w:w="166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35B6353D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10mg/kg every 2 weeks</w:t>
            </w:r>
          </w:p>
        </w:tc>
        <w:tc>
          <w:tcPr>
            <w:tcW w:w="171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2A25381C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Primary: OS for Durvalumab versus standard of care.</w:t>
            </w:r>
          </w:p>
          <w:p w14:paraId="70E64091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 xml:space="preserve">Secondary: 12-, 18- and 24-month OS rates, PFS, ORR, </w:t>
            </w:r>
            <w:proofErr w:type="spellStart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DoR</w:t>
            </w:r>
            <w:proofErr w:type="spellEnd"/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, and safety.</w:t>
            </w:r>
          </w:p>
        </w:tc>
        <w:tc>
          <w:tcPr>
            <w:tcW w:w="189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 w:themeFill="background1"/>
          </w:tcPr>
          <w:p w14:paraId="4C47F5EF" w14:textId="77777777" w:rsidR="003C631C" w:rsidRPr="006D4EF6" w:rsidRDefault="003C631C" w:rsidP="004D5181">
            <w:pPr>
              <w:spacing w:line="240" w:lineRule="auto"/>
              <w:rPr>
                <w:rFonts w:asciiTheme="minorHAnsi" w:hAnsiTheme="minorHAnsi" w:cstheme="minorHAnsi"/>
                <w:color w:val="000000"/>
                <w:lang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lang w:eastAsia="en-IE"/>
              </w:rPr>
              <w:t>Log-rank tests stratified by randomisation factors and a stratified Cos proportional hazards model to estimate treatment effect; Medians were derived using Kaplan-Meier statistics.</w:t>
            </w:r>
          </w:p>
        </w:tc>
      </w:tr>
    </w:tbl>
    <w:p w14:paraId="034B37A0" w14:textId="77777777" w:rsidR="003C631C" w:rsidRDefault="003C631C" w:rsidP="003C631C">
      <w:pPr>
        <w:pStyle w:val="Newparagraph"/>
        <w:ind w:firstLine="0"/>
        <w:rPr>
          <w:rFonts w:asciiTheme="minorHAnsi" w:hAnsiTheme="minorHAnsi" w:cstheme="minorHAnsi"/>
        </w:rPr>
      </w:pPr>
    </w:p>
    <w:p w14:paraId="77A1A680" w14:textId="77777777" w:rsidR="003C631C" w:rsidRPr="006D4EF6" w:rsidRDefault="003C631C" w:rsidP="003C631C">
      <w:pPr>
        <w:pStyle w:val="Newparagraph"/>
        <w:ind w:firstLine="0"/>
        <w:rPr>
          <w:rFonts w:asciiTheme="minorHAnsi" w:hAnsiTheme="minorHAnsi" w:cstheme="minorHAnsi"/>
        </w:rPr>
      </w:pPr>
    </w:p>
    <w:p w14:paraId="76C22FF4" w14:textId="77777777" w:rsidR="003C631C" w:rsidRDefault="003C631C"/>
    <w:sectPr w:rsidR="003C631C" w:rsidSect="003C631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1C"/>
    <w:rsid w:val="003C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B9E2F"/>
  <w15:chartTrackingRefBased/>
  <w15:docId w15:val="{607D6588-F65C-49B5-8EF5-20304141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31C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wparagraph">
    <w:name w:val="New paragraph"/>
    <w:basedOn w:val="Normal"/>
    <w:qFormat/>
    <w:rsid w:val="003C631C"/>
    <w:pPr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1424</Words>
  <Characters>8123</Characters>
  <Application>Microsoft Office Word</Application>
  <DocSecurity>0</DocSecurity>
  <Lines>67</Lines>
  <Paragraphs>19</Paragraphs>
  <ScaleCrop>false</ScaleCrop>
  <Company/>
  <LinksUpToDate>false</LinksUpToDate>
  <CharactersWithSpaces>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emilyc1898@gmail.com</dc:creator>
  <cp:keywords/>
  <dc:description/>
  <cp:lastModifiedBy>emilyc1898@gmail.com</cp:lastModifiedBy>
  <cp:revision>1</cp:revision>
  <dcterms:created xsi:type="dcterms:W3CDTF">2021-03-09T22:02:00Z</dcterms:created>
  <dcterms:modified xsi:type="dcterms:W3CDTF">2021-03-09T22:03:00Z</dcterms:modified>
</cp:coreProperties>
</file>