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3975C" w14:textId="77777777" w:rsidR="0065642C" w:rsidRPr="006F403F" w:rsidRDefault="0065642C" w:rsidP="00104BBC">
      <w:pPr>
        <w:rPr>
          <w:rFonts w:ascii="Times New Roman" w:hAnsi="Times New Roman" w:cs="Times New Roman"/>
        </w:rPr>
      </w:pPr>
    </w:p>
    <w:p w14:paraId="7A3263BC" w14:textId="4E0DC232" w:rsidR="0065642C" w:rsidRDefault="0013070D" w:rsidP="00104BBC">
      <w:r w:rsidRPr="0013070D">
        <w:rPr>
          <w:noProof/>
        </w:rPr>
        <w:drawing>
          <wp:inline distT="0" distB="0" distL="0" distR="0" wp14:anchorId="00DFCE69" wp14:editId="00BE02EB">
            <wp:extent cx="5943600" cy="4762500"/>
            <wp:effectExtent l="0" t="0" r="0" b="1270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90FCA" w14:textId="77777777" w:rsidR="0065642C" w:rsidRDefault="0065642C" w:rsidP="00104BBC"/>
    <w:p w14:paraId="144FB930" w14:textId="77777777" w:rsidR="0065642C" w:rsidRDefault="0065642C" w:rsidP="00104BBC"/>
    <w:p w14:paraId="3B8332FE" w14:textId="77777777" w:rsidR="0065642C" w:rsidRPr="00825FDC" w:rsidRDefault="0065642C" w:rsidP="00104BBC"/>
    <w:p w14:paraId="6EB8A261" w14:textId="3341A0AF" w:rsidR="00825FDC" w:rsidRPr="00825FDC" w:rsidRDefault="00825FDC" w:rsidP="00825FDC">
      <w:pPr>
        <w:rPr>
          <w:rFonts w:asciiTheme="majorBidi" w:hAnsiTheme="majorBidi" w:cstheme="majorBidi"/>
          <w:b/>
          <w:bCs/>
        </w:rPr>
      </w:pPr>
      <w:r w:rsidRPr="00825FDC">
        <w:rPr>
          <w:rFonts w:asciiTheme="majorBidi" w:hAnsiTheme="majorBidi" w:cstheme="majorBidi"/>
          <w:b/>
          <w:bCs/>
          <w:lang w:bidi="ar-EG"/>
        </w:rPr>
        <w:t xml:space="preserve">Supplementary </w:t>
      </w:r>
      <w:r w:rsidRPr="00825FDC">
        <w:rPr>
          <w:rFonts w:asciiTheme="majorBidi" w:hAnsiTheme="majorBidi" w:cstheme="majorBidi"/>
          <w:b/>
          <w:bCs/>
        </w:rPr>
        <w:t>Figure 3:  Overall survival curve of HCC patients according to</w:t>
      </w:r>
      <w:r w:rsidRPr="00825FDC">
        <w:rPr>
          <w:rFonts w:asciiTheme="majorBidi" w:hAnsiTheme="majorBidi" w:cstheme="majorBidi"/>
          <w:b/>
          <w:bCs/>
          <w:lang w:bidi="ar-EG"/>
        </w:rPr>
        <w:t xml:space="preserve"> </w:t>
      </w:r>
      <w:r w:rsidRPr="00825FDC">
        <w:rPr>
          <w:rFonts w:asciiTheme="majorBidi" w:hAnsiTheme="majorBidi" w:cstheme="majorBidi"/>
          <w:b/>
          <w:bCs/>
        </w:rPr>
        <w:t>hematopoietic stem cells (HSCs) levels.</w:t>
      </w:r>
    </w:p>
    <w:p w14:paraId="39E4E80F" w14:textId="77777777" w:rsidR="00825FDC" w:rsidRPr="00825FDC" w:rsidRDefault="00825FDC" w:rsidP="00825FDC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825FDC">
        <w:rPr>
          <w:rFonts w:asciiTheme="majorBidi" w:hAnsiTheme="majorBidi" w:cstheme="majorBidi"/>
        </w:rPr>
        <w:t xml:space="preserve"> </w:t>
      </w:r>
    </w:p>
    <w:p w14:paraId="3C3A5E7F" w14:textId="1DA75BF9" w:rsidR="00825FDC" w:rsidRPr="00825FDC" w:rsidRDefault="00825FDC" w:rsidP="00825FDC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825FDC">
        <w:rPr>
          <w:rFonts w:asciiTheme="majorBidi" w:hAnsiTheme="majorBidi" w:cstheme="majorBidi"/>
        </w:rPr>
        <w:t>For HCC patients with high or low (</w:t>
      </w:r>
      <w:r w:rsidRPr="00825FDC">
        <w:rPr>
          <w:rFonts w:asciiTheme="majorBidi" w:hAnsiTheme="majorBidi" w:cstheme="majorBidi"/>
          <w:lang w:bidi="ar-EG"/>
        </w:rPr>
        <w:t xml:space="preserve">cut-off level of 18/50000 cells) </w:t>
      </w:r>
      <w:r w:rsidRPr="00825FDC">
        <w:rPr>
          <w:rFonts w:asciiTheme="majorBidi" w:hAnsiTheme="majorBidi" w:cstheme="majorBidi"/>
        </w:rPr>
        <w:t>hematopoietic stem cells (HSCs) levels, survival times were significantly shorter for patients with high HSCs levels, based on the log-rank test (</w:t>
      </w:r>
      <w:r w:rsidRPr="00825FDC">
        <w:rPr>
          <w:rFonts w:asciiTheme="majorBidi" w:hAnsiTheme="majorBidi" w:cstheme="majorBidi"/>
          <w:i/>
          <w:iCs/>
          <w:lang w:bidi="ar-EG"/>
        </w:rPr>
        <w:t>P</w:t>
      </w:r>
      <w:r w:rsidRPr="00825FDC">
        <w:rPr>
          <w:rFonts w:asciiTheme="majorBidi" w:hAnsiTheme="majorBidi" w:cstheme="majorBidi"/>
          <w:lang w:bidi="ar-EG"/>
        </w:rPr>
        <w:t>= 0.036</w:t>
      </w:r>
      <w:r w:rsidRPr="00825FDC">
        <w:rPr>
          <w:rFonts w:asciiTheme="majorBidi" w:hAnsiTheme="majorBidi" w:cstheme="majorBidi"/>
        </w:rPr>
        <w:t xml:space="preserve">). </w:t>
      </w:r>
    </w:p>
    <w:p w14:paraId="31DBF9C9" w14:textId="77777777" w:rsidR="00825FDC" w:rsidRDefault="00825FDC" w:rsidP="00D44E55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1A6D0C0E" w14:textId="77777777" w:rsidR="0065642C" w:rsidRDefault="0065642C" w:rsidP="00EF49AB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64743E84" w14:textId="77777777" w:rsidR="0065642C" w:rsidRPr="00EF49AB" w:rsidRDefault="0065642C" w:rsidP="00EF49AB"/>
    <w:p w14:paraId="14B20F2C" w14:textId="77777777" w:rsidR="00C94E20" w:rsidRPr="00104BBC" w:rsidRDefault="00C94E20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0DFCCA3A" w14:textId="77777777" w:rsidR="00C94E20" w:rsidRDefault="00C94E20"/>
    <w:p w14:paraId="35E6D23C" w14:textId="3B2471B9" w:rsidR="00C94E20" w:rsidRDefault="00F90669">
      <w:r w:rsidRPr="00F90669">
        <w:rPr>
          <w:noProof/>
        </w:rPr>
        <w:lastRenderedPageBreak/>
        <w:drawing>
          <wp:inline distT="0" distB="0" distL="0" distR="0" wp14:anchorId="002BA2D3" wp14:editId="703DD450">
            <wp:extent cx="5943600" cy="4762500"/>
            <wp:effectExtent l="0" t="0" r="0" b="1270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C265B" w14:textId="77777777" w:rsidR="0052739E" w:rsidRDefault="0052739E"/>
    <w:p w14:paraId="19F853BE" w14:textId="77777777" w:rsidR="00C94E20" w:rsidRDefault="00C94E20"/>
    <w:p w14:paraId="66B15C0A" w14:textId="77777777" w:rsidR="00C94E20" w:rsidRDefault="00C94E20"/>
    <w:p w14:paraId="221CC3BA" w14:textId="4D4A1A2D" w:rsidR="00825FDC" w:rsidRPr="00BA11D4" w:rsidRDefault="00825FDC" w:rsidP="00825FDC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 xml:space="preserve">Supplementary </w:t>
      </w:r>
      <w:r w:rsidRPr="00BA11D4">
        <w:rPr>
          <w:rFonts w:asciiTheme="majorBidi" w:hAnsiTheme="majorBidi" w:cstheme="majorBidi"/>
          <w:b/>
          <w:bCs/>
          <w:color w:val="000000" w:themeColor="text1"/>
        </w:rPr>
        <w:t>Figure 4: Overall survival curve of HCC patients according to endothelial progenitor cells (EPCs) levels.</w:t>
      </w:r>
    </w:p>
    <w:p w14:paraId="448D6A7F" w14:textId="77777777" w:rsidR="00825FDC" w:rsidRDefault="00825FDC" w:rsidP="00825FDC">
      <w:pPr>
        <w:autoSpaceDE w:val="0"/>
        <w:autoSpaceDN w:val="0"/>
        <w:adjustRightInd w:val="0"/>
        <w:jc w:val="both"/>
        <w:rPr>
          <w:rFonts w:asciiTheme="majorBidi" w:hAnsiTheme="majorBidi" w:cstheme="majorBidi"/>
          <w:color w:val="000000" w:themeColor="text1"/>
        </w:rPr>
      </w:pPr>
    </w:p>
    <w:p w14:paraId="003B5F42" w14:textId="77777777" w:rsidR="00825FDC" w:rsidRDefault="00825FDC" w:rsidP="00825FDC">
      <w:pPr>
        <w:autoSpaceDE w:val="0"/>
        <w:autoSpaceDN w:val="0"/>
        <w:adjustRightInd w:val="0"/>
        <w:jc w:val="both"/>
        <w:rPr>
          <w:rFonts w:asciiTheme="majorBidi" w:hAnsiTheme="majorBidi" w:cstheme="majorBidi"/>
          <w:color w:val="000000" w:themeColor="text1"/>
        </w:rPr>
      </w:pPr>
      <w:r w:rsidRPr="00022833">
        <w:rPr>
          <w:rFonts w:asciiTheme="majorBidi" w:hAnsiTheme="majorBidi" w:cstheme="majorBidi"/>
          <w:color w:val="000000" w:themeColor="text1"/>
        </w:rPr>
        <w:t xml:space="preserve">For HCC patients with high or low </w:t>
      </w:r>
      <w:r>
        <w:rPr>
          <w:rFonts w:asciiTheme="majorBidi" w:hAnsiTheme="majorBidi" w:cstheme="majorBidi"/>
          <w:color w:val="000000" w:themeColor="text1"/>
        </w:rPr>
        <w:t>(</w:t>
      </w:r>
      <w:r w:rsidRPr="00AC12DB">
        <w:rPr>
          <w:rFonts w:asciiTheme="majorBidi" w:hAnsiTheme="majorBidi" w:cstheme="majorBidi"/>
          <w:color w:val="000000" w:themeColor="text1"/>
          <w:lang w:bidi="ar-EG"/>
        </w:rPr>
        <w:t xml:space="preserve">cut-off level of </w:t>
      </w:r>
      <w:r>
        <w:rPr>
          <w:rFonts w:asciiTheme="majorBidi" w:hAnsiTheme="majorBidi" w:cstheme="majorBidi"/>
          <w:color w:val="000000" w:themeColor="text1"/>
          <w:lang w:bidi="ar-EG"/>
        </w:rPr>
        <w:t>2</w:t>
      </w:r>
      <w:r w:rsidRPr="0065291A">
        <w:rPr>
          <w:rFonts w:asciiTheme="majorBidi" w:hAnsiTheme="majorBidi" w:cstheme="majorBidi"/>
          <w:color w:val="000000" w:themeColor="text1"/>
          <w:lang w:bidi="ar-EG"/>
        </w:rPr>
        <w:t>/</w:t>
      </w:r>
      <w:r>
        <w:rPr>
          <w:rFonts w:asciiTheme="majorBidi" w:hAnsiTheme="majorBidi" w:cstheme="majorBidi"/>
          <w:color w:val="000000" w:themeColor="text1"/>
          <w:lang w:bidi="ar-EG"/>
        </w:rPr>
        <w:t>5</w:t>
      </w:r>
      <w:r w:rsidRPr="0065291A">
        <w:rPr>
          <w:rFonts w:asciiTheme="majorBidi" w:hAnsiTheme="majorBidi" w:cstheme="majorBidi"/>
          <w:color w:val="000000" w:themeColor="text1"/>
          <w:lang w:bidi="ar-EG"/>
        </w:rPr>
        <w:t>0000 cells</w:t>
      </w:r>
      <w:r>
        <w:rPr>
          <w:rFonts w:asciiTheme="majorBidi" w:hAnsiTheme="majorBidi" w:cstheme="majorBidi"/>
          <w:color w:val="000000" w:themeColor="text1"/>
          <w:lang w:bidi="ar-EG"/>
        </w:rPr>
        <w:t>)</w:t>
      </w:r>
      <w:r w:rsidRPr="0065291A">
        <w:rPr>
          <w:rFonts w:asciiTheme="majorBidi" w:hAnsiTheme="majorBidi" w:cstheme="majorBidi"/>
          <w:color w:val="000000" w:themeColor="text1"/>
          <w:lang w:bidi="ar-EG"/>
        </w:rPr>
        <w:t xml:space="preserve"> </w:t>
      </w:r>
      <w:r w:rsidRPr="00022833">
        <w:rPr>
          <w:rFonts w:asciiTheme="majorBidi" w:hAnsiTheme="majorBidi" w:cstheme="majorBidi"/>
          <w:color w:val="000000" w:themeColor="text1"/>
        </w:rPr>
        <w:t>endothelial progenitor cells (EPCs) levels</w:t>
      </w:r>
      <w:r>
        <w:rPr>
          <w:rFonts w:asciiTheme="majorBidi" w:hAnsiTheme="majorBidi" w:cstheme="majorBidi"/>
          <w:color w:val="000000" w:themeColor="text1"/>
        </w:rPr>
        <w:t>,</w:t>
      </w:r>
      <w:r w:rsidRPr="00022833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s</w:t>
      </w:r>
      <w:r w:rsidRPr="00022833">
        <w:rPr>
          <w:rFonts w:asciiTheme="majorBidi" w:hAnsiTheme="majorBidi" w:cstheme="majorBidi"/>
          <w:color w:val="000000" w:themeColor="text1"/>
        </w:rPr>
        <w:t>urvival times were significantly shorter for patients with high EPCs levels (</w:t>
      </w:r>
      <w:r w:rsidRPr="00022833">
        <w:rPr>
          <w:rFonts w:asciiTheme="majorBidi" w:hAnsiTheme="majorBidi" w:cstheme="majorBidi"/>
          <w:i/>
          <w:iCs/>
          <w:color w:val="000000" w:themeColor="text1"/>
          <w:lang w:bidi="ar-EG"/>
        </w:rPr>
        <w:t>P</w:t>
      </w:r>
      <w:r w:rsidRPr="00022833">
        <w:rPr>
          <w:rFonts w:asciiTheme="majorBidi" w:hAnsiTheme="majorBidi" w:cstheme="majorBidi"/>
          <w:color w:val="000000" w:themeColor="text1"/>
          <w:lang w:bidi="ar-EG"/>
        </w:rPr>
        <w:t>= 0.013</w:t>
      </w:r>
      <w:r w:rsidRPr="00022833">
        <w:rPr>
          <w:rFonts w:asciiTheme="majorBidi" w:hAnsiTheme="majorBidi" w:cstheme="majorBidi"/>
          <w:color w:val="000000" w:themeColor="text1"/>
        </w:rPr>
        <w:t>)</w:t>
      </w:r>
      <w:r>
        <w:rPr>
          <w:rFonts w:asciiTheme="majorBidi" w:hAnsiTheme="majorBidi" w:cstheme="majorBidi"/>
          <w:color w:val="000000" w:themeColor="text1"/>
        </w:rPr>
        <w:t>.</w:t>
      </w:r>
    </w:p>
    <w:p w14:paraId="00C227A5" w14:textId="77777777" w:rsidR="00825FDC" w:rsidRDefault="00825FDC" w:rsidP="00825FDC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6533B343" w14:textId="77777777" w:rsidR="00132938" w:rsidRDefault="00132938" w:rsidP="00EF49AB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213CD997" w14:textId="5F99901C" w:rsidR="00132938" w:rsidRDefault="00132938" w:rsidP="00EF49AB">
      <w:pPr>
        <w:rPr>
          <w:rFonts w:asciiTheme="majorBidi" w:hAnsiTheme="majorBidi" w:cstheme="majorBidi"/>
          <w:b/>
          <w:bCs/>
          <w:color w:val="000000" w:themeColor="text1"/>
        </w:rPr>
      </w:pPr>
      <w:r w:rsidRPr="00132938">
        <w:rPr>
          <w:rFonts w:asciiTheme="majorBidi" w:hAnsiTheme="majorBidi" w:cstheme="majorBidi"/>
          <w:b/>
          <w:bCs/>
          <w:noProof/>
          <w:color w:val="000000" w:themeColor="text1"/>
        </w:rPr>
        <w:lastRenderedPageBreak/>
        <w:drawing>
          <wp:inline distT="0" distB="0" distL="0" distR="0" wp14:anchorId="213A67B4" wp14:editId="0FE1DFB7">
            <wp:extent cx="5943600" cy="47625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6BFA" w14:textId="77777777" w:rsidR="00132938" w:rsidRDefault="00132938" w:rsidP="00EF49AB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317951FA" w14:textId="0990A44F" w:rsidR="00132938" w:rsidRPr="00EF49AB" w:rsidRDefault="00132938" w:rsidP="00EF49AB"/>
    <w:p w14:paraId="2B5B9438" w14:textId="77777777" w:rsidR="00C307D4" w:rsidRPr="00104BBC" w:rsidRDefault="00C307D4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7351E243" w14:textId="77777777" w:rsidR="00C94E20" w:rsidRPr="00104BBC" w:rsidRDefault="00C94E20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27620DD7" w14:textId="682EC475" w:rsidR="005C356E" w:rsidRDefault="005C356E"/>
    <w:p w14:paraId="3C2A9A43" w14:textId="0CCDC8B4" w:rsidR="00825FDC" w:rsidRPr="00BA11D4" w:rsidRDefault="00825FDC" w:rsidP="00825FDC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>Supplementary</w:t>
      </w:r>
      <w:r w:rsidRPr="00BA11D4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BA11D4">
        <w:rPr>
          <w:rFonts w:asciiTheme="majorBidi" w:hAnsiTheme="majorBidi" w:cstheme="majorBidi"/>
          <w:b/>
          <w:bCs/>
          <w:color w:val="000000" w:themeColor="text1"/>
        </w:rPr>
        <w:t>Figure 5: Overall survival curve of HCC</w:t>
      </w:r>
      <w:r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BA11D4">
        <w:rPr>
          <w:rFonts w:asciiTheme="majorBidi" w:hAnsiTheme="majorBidi" w:cstheme="majorBidi"/>
          <w:b/>
          <w:bCs/>
          <w:color w:val="000000" w:themeColor="text1"/>
        </w:rPr>
        <w:t>patients according to</w:t>
      </w:r>
      <w:r w:rsidRPr="00BA11D4">
        <w:rPr>
          <w:rFonts w:asciiTheme="majorBidi" w:hAnsiTheme="majorBidi" w:cstheme="majorBidi"/>
          <w:b/>
          <w:bCs/>
          <w:color w:val="000000" w:themeColor="text1"/>
          <w:lang w:bidi="ar-EG"/>
        </w:rPr>
        <w:t xml:space="preserve"> </w:t>
      </w:r>
      <w:r w:rsidRPr="00BA11D4">
        <w:rPr>
          <w:rFonts w:asciiTheme="majorBidi" w:hAnsiTheme="majorBidi" w:cstheme="majorBidi"/>
          <w:b/>
          <w:bCs/>
          <w:color w:val="000000" w:themeColor="text1"/>
        </w:rPr>
        <w:t>cancer stem cells (CSCs) levels.</w:t>
      </w:r>
    </w:p>
    <w:p w14:paraId="496CCEFC" w14:textId="77777777" w:rsidR="00825FDC" w:rsidRDefault="00825FDC" w:rsidP="00825FDC">
      <w:pPr>
        <w:autoSpaceDE w:val="0"/>
        <w:autoSpaceDN w:val="0"/>
        <w:adjustRightInd w:val="0"/>
        <w:jc w:val="both"/>
        <w:rPr>
          <w:rFonts w:asciiTheme="majorBidi" w:hAnsiTheme="majorBidi" w:cstheme="majorBidi"/>
          <w:color w:val="000000" w:themeColor="text1"/>
        </w:rPr>
      </w:pPr>
    </w:p>
    <w:p w14:paraId="6E4D80CC" w14:textId="77777777" w:rsidR="00825FDC" w:rsidRPr="00022833" w:rsidRDefault="00825FDC" w:rsidP="00825FDC">
      <w:pPr>
        <w:autoSpaceDE w:val="0"/>
        <w:autoSpaceDN w:val="0"/>
        <w:adjustRightInd w:val="0"/>
        <w:jc w:val="both"/>
        <w:rPr>
          <w:rFonts w:asciiTheme="majorBidi" w:hAnsiTheme="majorBidi" w:cstheme="majorBidi"/>
          <w:color w:val="000000" w:themeColor="text1"/>
        </w:rPr>
      </w:pPr>
      <w:r w:rsidRPr="00022833">
        <w:rPr>
          <w:rFonts w:asciiTheme="majorBidi" w:hAnsiTheme="majorBidi" w:cstheme="majorBidi"/>
          <w:color w:val="000000" w:themeColor="text1"/>
        </w:rPr>
        <w:t xml:space="preserve"> For HCC patients with high or low </w:t>
      </w:r>
      <w:r>
        <w:rPr>
          <w:rFonts w:asciiTheme="majorBidi" w:hAnsiTheme="majorBidi" w:cstheme="majorBidi"/>
          <w:color w:val="000000" w:themeColor="text1"/>
        </w:rPr>
        <w:t>(</w:t>
      </w:r>
      <w:r w:rsidRPr="00AC12DB">
        <w:rPr>
          <w:rFonts w:asciiTheme="majorBidi" w:hAnsiTheme="majorBidi" w:cstheme="majorBidi"/>
          <w:color w:val="000000" w:themeColor="text1"/>
          <w:lang w:bidi="ar-EG"/>
        </w:rPr>
        <w:t xml:space="preserve">cut-off level of </w:t>
      </w:r>
      <w:r w:rsidRPr="0065291A">
        <w:rPr>
          <w:rFonts w:asciiTheme="majorBidi" w:hAnsiTheme="majorBidi" w:cstheme="majorBidi"/>
          <w:color w:val="000000" w:themeColor="text1"/>
          <w:lang w:bidi="ar-EG"/>
        </w:rPr>
        <w:t>18/100000 cells</w:t>
      </w:r>
      <w:r>
        <w:rPr>
          <w:rFonts w:asciiTheme="majorBidi" w:hAnsiTheme="majorBidi" w:cstheme="majorBidi"/>
          <w:color w:val="000000" w:themeColor="text1"/>
          <w:lang w:bidi="ar-EG"/>
        </w:rPr>
        <w:t>)</w:t>
      </w:r>
      <w:r w:rsidRPr="0065291A">
        <w:rPr>
          <w:rFonts w:asciiTheme="majorBidi" w:hAnsiTheme="majorBidi" w:cstheme="majorBidi"/>
          <w:color w:val="000000" w:themeColor="text1"/>
          <w:lang w:bidi="ar-EG"/>
        </w:rPr>
        <w:t xml:space="preserve"> </w:t>
      </w:r>
      <w:r w:rsidRPr="00022833">
        <w:rPr>
          <w:rFonts w:asciiTheme="majorBidi" w:hAnsiTheme="majorBidi" w:cstheme="majorBidi"/>
          <w:color w:val="000000" w:themeColor="text1"/>
        </w:rPr>
        <w:t>cancer stem cells (CSCs) levels</w:t>
      </w:r>
      <w:r>
        <w:rPr>
          <w:rFonts w:asciiTheme="majorBidi" w:hAnsiTheme="majorBidi" w:cstheme="majorBidi"/>
          <w:color w:val="000000" w:themeColor="text1"/>
        </w:rPr>
        <w:t>,</w:t>
      </w:r>
      <w:r w:rsidRPr="00022833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>s</w:t>
      </w:r>
      <w:r w:rsidRPr="00022833">
        <w:rPr>
          <w:rFonts w:asciiTheme="majorBidi" w:hAnsiTheme="majorBidi" w:cstheme="majorBidi"/>
          <w:color w:val="000000" w:themeColor="text1"/>
        </w:rPr>
        <w:t>urvival times were significantly shorter for patients with high CSCs (</w:t>
      </w:r>
      <w:r w:rsidRPr="00022833">
        <w:rPr>
          <w:rFonts w:asciiTheme="majorBidi" w:hAnsiTheme="majorBidi" w:cstheme="majorBidi"/>
          <w:i/>
          <w:iCs/>
          <w:color w:val="000000" w:themeColor="text1"/>
          <w:lang w:bidi="ar-EG"/>
        </w:rPr>
        <w:t>P</w:t>
      </w:r>
      <w:r w:rsidRPr="00022833">
        <w:rPr>
          <w:rFonts w:asciiTheme="majorBidi" w:hAnsiTheme="majorBidi" w:cstheme="majorBidi"/>
          <w:color w:val="000000" w:themeColor="text1"/>
          <w:lang w:bidi="ar-EG"/>
        </w:rPr>
        <w:t>= 0.002</w:t>
      </w:r>
      <w:r w:rsidRPr="00022833">
        <w:rPr>
          <w:rFonts w:asciiTheme="majorBidi" w:hAnsiTheme="majorBidi" w:cstheme="majorBidi"/>
          <w:color w:val="000000" w:themeColor="text1"/>
        </w:rPr>
        <w:t>).</w:t>
      </w:r>
    </w:p>
    <w:p w14:paraId="02E29D08" w14:textId="77777777" w:rsidR="00C94E20" w:rsidRDefault="00C94E20">
      <w:bookmarkStart w:id="0" w:name="_GoBack"/>
      <w:bookmarkEnd w:id="0"/>
    </w:p>
    <w:sectPr w:rsidR="00C94E20" w:rsidSect="00C00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EF"/>
    <w:rsid w:val="00001582"/>
    <w:rsid w:val="0004502D"/>
    <w:rsid w:val="000534D3"/>
    <w:rsid w:val="000C4157"/>
    <w:rsid w:val="00104BBC"/>
    <w:rsid w:val="0013070D"/>
    <w:rsid w:val="00132938"/>
    <w:rsid w:val="00232250"/>
    <w:rsid w:val="0026676D"/>
    <w:rsid w:val="00297DDF"/>
    <w:rsid w:val="002D70C0"/>
    <w:rsid w:val="003837B3"/>
    <w:rsid w:val="003A7607"/>
    <w:rsid w:val="003A7B1A"/>
    <w:rsid w:val="003B6DEF"/>
    <w:rsid w:val="003C5994"/>
    <w:rsid w:val="0042434E"/>
    <w:rsid w:val="00433235"/>
    <w:rsid w:val="004547A4"/>
    <w:rsid w:val="004B4F04"/>
    <w:rsid w:val="0052739E"/>
    <w:rsid w:val="005C356E"/>
    <w:rsid w:val="005D5CF0"/>
    <w:rsid w:val="00640BE7"/>
    <w:rsid w:val="0065642C"/>
    <w:rsid w:val="006F403F"/>
    <w:rsid w:val="006F6D38"/>
    <w:rsid w:val="00727432"/>
    <w:rsid w:val="00795830"/>
    <w:rsid w:val="007F36D3"/>
    <w:rsid w:val="00825FDC"/>
    <w:rsid w:val="00852D5A"/>
    <w:rsid w:val="00853A98"/>
    <w:rsid w:val="008627CC"/>
    <w:rsid w:val="00865B50"/>
    <w:rsid w:val="00882773"/>
    <w:rsid w:val="009654A3"/>
    <w:rsid w:val="00A5485D"/>
    <w:rsid w:val="00A6242A"/>
    <w:rsid w:val="00A80AE3"/>
    <w:rsid w:val="00AD4E10"/>
    <w:rsid w:val="00BC2F83"/>
    <w:rsid w:val="00C00D89"/>
    <w:rsid w:val="00C14DA7"/>
    <w:rsid w:val="00C307D4"/>
    <w:rsid w:val="00C611ED"/>
    <w:rsid w:val="00C94E20"/>
    <w:rsid w:val="00CC7869"/>
    <w:rsid w:val="00D22CBD"/>
    <w:rsid w:val="00D42EFD"/>
    <w:rsid w:val="00D44684"/>
    <w:rsid w:val="00D44E55"/>
    <w:rsid w:val="00D471FA"/>
    <w:rsid w:val="00D8246A"/>
    <w:rsid w:val="00D91F69"/>
    <w:rsid w:val="00DC071C"/>
    <w:rsid w:val="00E062CE"/>
    <w:rsid w:val="00E738EF"/>
    <w:rsid w:val="00EE1EA8"/>
    <w:rsid w:val="00EF49AB"/>
    <w:rsid w:val="00F05390"/>
    <w:rsid w:val="00F14E5C"/>
    <w:rsid w:val="00F606CF"/>
    <w:rsid w:val="00F62F9E"/>
    <w:rsid w:val="00F83AA0"/>
    <w:rsid w:val="00F90669"/>
    <w:rsid w:val="00F95C4F"/>
    <w:rsid w:val="00FC216F"/>
    <w:rsid w:val="00FE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906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Ali</dc:creator>
  <cp:keywords/>
  <dc:description/>
  <cp:lastModifiedBy>helal hetta</cp:lastModifiedBy>
  <cp:revision>3</cp:revision>
  <dcterms:created xsi:type="dcterms:W3CDTF">2019-07-20T08:35:00Z</dcterms:created>
  <dcterms:modified xsi:type="dcterms:W3CDTF">2019-08-10T08:23:00Z</dcterms:modified>
</cp:coreProperties>
</file>