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04E" w:rsidRPr="0015404E" w:rsidRDefault="00F02F71" w:rsidP="002B28B9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Supplementary </w:t>
      </w:r>
      <w:r w:rsidR="0015404E" w:rsidRPr="0015404E">
        <w:rPr>
          <w:rFonts w:ascii="Arial" w:eastAsia="Calibri" w:hAnsi="Arial" w:cs="Arial"/>
        </w:rPr>
        <w:t xml:space="preserve">Table 1: Baseline patient demographics and clinical trial characteristics </w:t>
      </w:r>
      <w:bookmarkStart w:id="0" w:name="_GoBack"/>
      <w:bookmarkEnd w:id="0"/>
    </w:p>
    <w:tbl>
      <w:tblPr>
        <w:tblW w:w="11804" w:type="dxa"/>
        <w:jc w:val="center"/>
        <w:tblLook w:val="04A0" w:firstRow="1" w:lastRow="0" w:firstColumn="1" w:lastColumn="0" w:noHBand="0" w:noVBand="1"/>
      </w:tblPr>
      <w:tblGrid>
        <w:gridCol w:w="4511"/>
        <w:gridCol w:w="1113"/>
        <w:gridCol w:w="1285"/>
        <w:gridCol w:w="1285"/>
        <w:gridCol w:w="1285"/>
        <w:gridCol w:w="1285"/>
        <w:gridCol w:w="1040"/>
      </w:tblGrid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All trials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Trials commencement period</w:t>
            </w:r>
            <w:r w:rsidRPr="0015404E">
              <w:rPr>
                <w:rFonts w:ascii="Arial" w:eastAsia="Times New Roman" w:hAnsi="Arial" w:cs="Arial"/>
                <w:color w:val="000000"/>
                <w:vertAlign w:val="superscript"/>
                <w:lang w:eastAsia="en-AU"/>
              </w:rPr>
              <w:t>†</w:t>
            </w:r>
          </w:p>
        </w:tc>
        <w:tc>
          <w:tcPr>
            <w:tcW w:w="1040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i/>
                <w:color w:val="000000"/>
                <w:lang w:eastAsia="en-AU"/>
              </w:rPr>
              <w:t>P</w:t>
            </w:r>
            <w:r w:rsidRPr="0015404E">
              <w:rPr>
                <w:rFonts w:ascii="Arial" w:eastAsia="Times New Roman" w:hAnsi="Arial" w:cs="Arial"/>
                <w:i/>
                <w:color w:val="000000"/>
                <w:vertAlign w:val="superscript"/>
                <w:lang w:eastAsia="en-AU"/>
              </w:rPr>
              <w:t>‡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28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1994-2000</w:t>
            </w:r>
          </w:p>
        </w:tc>
        <w:tc>
          <w:tcPr>
            <w:tcW w:w="1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2001-2005</w:t>
            </w:r>
          </w:p>
        </w:tc>
        <w:tc>
          <w:tcPr>
            <w:tcW w:w="12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2006-2010</w:t>
            </w:r>
          </w:p>
        </w:tc>
        <w:tc>
          <w:tcPr>
            <w:tcW w:w="128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2011-2014</w:t>
            </w:r>
          </w:p>
        </w:tc>
        <w:tc>
          <w:tcPr>
            <w:tcW w:w="1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N=63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N=10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N=16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N=19</w:t>
            </w:r>
          </w:p>
        </w:tc>
        <w:tc>
          <w:tcPr>
            <w:tcW w:w="128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N=18</w:t>
            </w:r>
          </w:p>
        </w:tc>
        <w:tc>
          <w:tcPr>
            <w:tcW w:w="104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Phase 2 RCTs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30 (48%)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 (50%)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 (44%)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 (42%)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10 (56%)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.85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Trials conducted only in Japan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10 (16%)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0 (0%)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 (19%)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 (26%)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 (11%)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.16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Response evaluation according to RECIST</w:t>
            </w:r>
            <w:r w:rsidRPr="0015404E">
              <w:rPr>
                <w:rFonts w:ascii="Arial" w:eastAsia="Calibri" w:hAnsi="Arial" w:cs="Arial"/>
                <w:vertAlign w:val="superscript"/>
              </w:rPr>
              <w:t>∫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54 (86%)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 (50%)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12 (75%)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19 (100%)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18 (100%)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.19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Median trial patients treated with docetaxel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79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76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75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105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.32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24–710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34–129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25–710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24–697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41–425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Mean of median age (years)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62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.17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49–68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59–63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57–68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49–67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58–67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Mean % males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74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66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62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.03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39–93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61–93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56–89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42–92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39–77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Mean % performance status 0 or 1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82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95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98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&lt;.0001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39–100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73–88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39–100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80–100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82–100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Mean % squamous histology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26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30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26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27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22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.76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0–94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19–41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14–44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0–60</w:t>
            </w:r>
          </w:p>
        </w:tc>
        <w:tc>
          <w:tcPr>
            <w:tcW w:w="12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0–94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Mean % second-line patients</w:t>
            </w:r>
          </w:p>
        </w:tc>
        <w:tc>
          <w:tcPr>
            <w:tcW w:w="11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93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94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97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94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87</w:t>
            </w:r>
          </w:p>
        </w:tc>
        <w:tc>
          <w:tcPr>
            <w:tcW w:w="1040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.20</w:t>
            </w:r>
          </w:p>
        </w:tc>
      </w:tr>
      <w:tr w:rsidR="0015404E" w:rsidRPr="0015404E" w:rsidTr="00F9589A">
        <w:trPr>
          <w:trHeight w:val="290"/>
          <w:jc w:val="center"/>
        </w:trPr>
        <w:tc>
          <w:tcPr>
            <w:tcW w:w="45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Range</w:t>
            </w:r>
          </w:p>
        </w:tc>
        <w:tc>
          <w:tcPr>
            <w:tcW w:w="111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17–100</w:t>
            </w: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7–100</w:t>
            </w: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82–100</w:t>
            </w: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63–100</w:t>
            </w: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5404E">
              <w:rPr>
                <w:rFonts w:ascii="Arial" w:eastAsia="Times New Roman" w:hAnsi="Arial" w:cs="Arial"/>
                <w:color w:val="000000"/>
                <w:lang w:eastAsia="en-AU"/>
              </w:rPr>
              <w:t>17–100</w:t>
            </w:r>
          </w:p>
        </w:tc>
        <w:tc>
          <w:tcPr>
            <w:tcW w:w="104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04E" w:rsidRPr="0015404E" w:rsidRDefault="0015404E" w:rsidP="002B28B9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</w:tbl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</w:p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  <w:r w:rsidRPr="0015404E">
        <w:rPr>
          <w:rFonts w:ascii="Arial" w:eastAsia="Times New Roman" w:hAnsi="Arial" w:cs="Arial"/>
          <w:color w:val="000000"/>
          <w:vertAlign w:val="superscript"/>
          <w:lang w:eastAsia="en-AU"/>
        </w:rPr>
        <w:t>†</w:t>
      </w:r>
      <w:r w:rsidRPr="0015404E">
        <w:rPr>
          <w:rFonts w:ascii="Arial" w:eastAsia="Times New Roman" w:hAnsi="Arial" w:cs="Arial"/>
          <w:color w:val="000000"/>
          <w:lang w:eastAsia="en-AU"/>
        </w:rPr>
        <w:t xml:space="preserve">The </w:t>
      </w:r>
      <w:r w:rsidRPr="0015404E">
        <w:rPr>
          <w:rFonts w:ascii="Arial" w:eastAsia="Calibri" w:hAnsi="Arial" w:cs="Arial"/>
        </w:rPr>
        <w:t>commencement years for two trials was unknown, and they were imputed by year of study publication</w:t>
      </w:r>
    </w:p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  <w:r w:rsidRPr="0015404E">
        <w:rPr>
          <w:rFonts w:ascii="Arial" w:eastAsia="Calibri" w:hAnsi="Arial" w:cs="Arial"/>
          <w:vertAlign w:val="superscript"/>
        </w:rPr>
        <w:t>‡</w:t>
      </w:r>
      <w:r w:rsidRPr="0015404E">
        <w:rPr>
          <w:rFonts w:ascii="Arial" w:eastAsia="Calibri" w:hAnsi="Arial" w:cs="Arial"/>
          <w:i/>
        </w:rPr>
        <w:t>P</w:t>
      </w:r>
      <w:r w:rsidRPr="0015404E">
        <w:rPr>
          <w:rFonts w:ascii="Arial" w:eastAsia="Calibri" w:hAnsi="Arial" w:cs="Arial"/>
        </w:rPr>
        <w:t>-value indicates whether there is a trend in the distribution of each factor over the period of trial commencement</w:t>
      </w:r>
    </w:p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  <w:r w:rsidRPr="0015404E">
        <w:rPr>
          <w:rFonts w:ascii="Arial" w:eastAsia="Calibri" w:hAnsi="Arial" w:cs="Arial"/>
          <w:vertAlign w:val="superscript"/>
        </w:rPr>
        <w:t>∫</w:t>
      </w:r>
      <w:r w:rsidRPr="0015404E">
        <w:rPr>
          <w:rFonts w:ascii="Arial" w:eastAsia="Calibri" w:hAnsi="Arial" w:cs="Arial"/>
        </w:rPr>
        <w:t>Two trials used Southwest Oncology Group criteria and seven trials used World Health Organisation criteria</w:t>
      </w:r>
    </w:p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</w:p>
    <w:p w:rsidR="0015404E" w:rsidRDefault="0015404E" w:rsidP="002B28B9">
      <w:pPr>
        <w:spacing w:after="0" w:line="480" w:lineRule="auto"/>
        <w:rPr>
          <w:rFonts w:ascii="Arial" w:eastAsia="Calibri" w:hAnsi="Arial" w:cs="Arial"/>
        </w:rPr>
      </w:pPr>
      <w:r w:rsidRPr="0015404E">
        <w:rPr>
          <w:rFonts w:ascii="Arial" w:eastAsia="Calibri" w:hAnsi="Arial" w:cs="Arial"/>
        </w:rPr>
        <w:lastRenderedPageBreak/>
        <w:t xml:space="preserve">RCTs, Randomized controlled trials; RECIST, Response Evaluation Criteria </w:t>
      </w:r>
      <w:proofErr w:type="gramStart"/>
      <w:r w:rsidRPr="0015404E">
        <w:rPr>
          <w:rFonts w:ascii="Arial" w:eastAsia="Calibri" w:hAnsi="Arial" w:cs="Arial"/>
        </w:rPr>
        <w:t>In</w:t>
      </w:r>
      <w:proofErr w:type="gramEnd"/>
      <w:r w:rsidRPr="0015404E">
        <w:rPr>
          <w:rFonts w:ascii="Arial" w:eastAsia="Calibri" w:hAnsi="Arial" w:cs="Arial"/>
        </w:rPr>
        <w:t xml:space="preserve"> Solid Tumors</w:t>
      </w:r>
      <w:r w:rsidR="001C056E">
        <w:rPr>
          <w:rFonts w:ascii="Arial" w:eastAsia="Calibri" w:hAnsi="Arial" w:cs="Arial"/>
        </w:rPr>
        <w:t>.</w:t>
      </w:r>
    </w:p>
    <w:p w:rsidR="0015404E" w:rsidRDefault="0015404E" w:rsidP="002B28B9">
      <w:pPr>
        <w:spacing w:after="0" w:line="480" w:lineRule="auto"/>
        <w:rPr>
          <w:rFonts w:ascii="Arial" w:eastAsia="Calibri" w:hAnsi="Arial" w:cs="Arial"/>
        </w:rPr>
      </w:pPr>
    </w:p>
    <w:p w:rsidR="0015404E" w:rsidRPr="0015404E" w:rsidRDefault="0015404E" w:rsidP="002B28B9">
      <w:pPr>
        <w:spacing w:after="0" w:line="480" w:lineRule="auto"/>
        <w:rPr>
          <w:rFonts w:ascii="Arial" w:eastAsia="Calibri" w:hAnsi="Arial" w:cs="Arial"/>
        </w:rPr>
      </w:pPr>
    </w:p>
    <w:sectPr w:rsidR="0015404E" w:rsidRPr="00154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02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3C"/>
    <w:rsid w:val="0015404E"/>
    <w:rsid w:val="001C056E"/>
    <w:rsid w:val="001C1E61"/>
    <w:rsid w:val="002B28B9"/>
    <w:rsid w:val="005D6FFC"/>
    <w:rsid w:val="00685EE8"/>
    <w:rsid w:val="00711115"/>
    <w:rsid w:val="007B1D3C"/>
    <w:rsid w:val="008022C8"/>
    <w:rsid w:val="00913D3C"/>
    <w:rsid w:val="009B1604"/>
    <w:rsid w:val="00C24F5A"/>
    <w:rsid w:val="00E95811"/>
    <w:rsid w:val="00E9708D"/>
    <w:rsid w:val="00F02F71"/>
    <w:rsid w:val="00FB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B3CC5"/>
  <w15:docId w15:val="{D3EB8525-27A3-478F-9DAC-E1EB084C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13D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1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NHMRC CTC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Lee</dc:creator>
  <cp:keywords/>
  <dc:description/>
  <cp:lastModifiedBy>Doah Cho</cp:lastModifiedBy>
  <cp:revision>14</cp:revision>
  <dcterms:created xsi:type="dcterms:W3CDTF">2018-12-22T09:24:00Z</dcterms:created>
  <dcterms:modified xsi:type="dcterms:W3CDTF">2019-07-24T05:01:00Z</dcterms:modified>
</cp:coreProperties>
</file>