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FC8042" w14:textId="77777777" w:rsidR="00CA0A75" w:rsidRDefault="002D2DFC">
      <w:pPr>
        <w:spacing w:after="0" w:line="480" w:lineRule="auto"/>
        <w:rPr>
          <w:rFonts w:ascii="Arial" w:eastAsia="Arial" w:hAnsi="Arial" w:cs="Arial"/>
        </w:rPr>
      </w:pPr>
      <w:r>
        <w:rPr>
          <w:rFonts w:ascii="Arial" w:eastAsia="Arial" w:hAnsi="Arial" w:cs="Arial"/>
          <w:b/>
        </w:rPr>
        <w:t xml:space="preserve">Article type: </w:t>
      </w:r>
      <w:r>
        <w:rPr>
          <w:rFonts w:ascii="Arial" w:eastAsia="Arial" w:hAnsi="Arial" w:cs="Arial"/>
        </w:rPr>
        <w:t>Original article</w:t>
      </w:r>
    </w:p>
    <w:p w14:paraId="38D15E7C" w14:textId="77777777" w:rsidR="00CA0A75" w:rsidRDefault="00CA0A75">
      <w:pPr>
        <w:spacing w:after="0" w:line="480" w:lineRule="auto"/>
        <w:rPr>
          <w:rFonts w:ascii="Arial" w:eastAsia="Arial" w:hAnsi="Arial" w:cs="Arial"/>
          <w:b/>
        </w:rPr>
      </w:pPr>
    </w:p>
    <w:p w14:paraId="53229449" w14:textId="5672913B" w:rsidR="00CA0A75" w:rsidRDefault="002D2DFC">
      <w:pPr>
        <w:spacing w:after="0" w:line="480" w:lineRule="auto"/>
        <w:rPr>
          <w:rFonts w:ascii="Arial" w:eastAsia="Arial" w:hAnsi="Arial" w:cs="Arial"/>
        </w:rPr>
      </w:pPr>
      <w:r>
        <w:rPr>
          <w:rFonts w:ascii="Arial" w:eastAsia="Arial" w:hAnsi="Arial" w:cs="Arial"/>
          <w:b/>
        </w:rPr>
        <w:t xml:space="preserve">Title: </w:t>
      </w:r>
      <w:r w:rsidR="00326510">
        <w:rPr>
          <w:rFonts w:ascii="Arial" w:eastAsia="Arial" w:hAnsi="Arial" w:cs="Arial"/>
        </w:rPr>
        <w:t>The r</w:t>
      </w:r>
      <w:r>
        <w:rPr>
          <w:rFonts w:ascii="Arial" w:eastAsia="Arial" w:hAnsi="Arial" w:cs="Arial"/>
        </w:rPr>
        <w:t xml:space="preserve">ole of chemotherapy in </w:t>
      </w:r>
      <w:r w:rsidR="00326510">
        <w:rPr>
          <w:rFonts w:ascii="Arial" w:eastAsia="Arial" w:hAnsi="Arial" w:cs="Arial"/>
        </w:rPr>
        <w:t xml:space="preserve">patients with small cell lung cancer and </w:t>
      </w:r>
      <w:r>
        <w:rPr>
          <w:rFonts w:ascii="Arial" w:eastAsia="Arial" w:hAnsi="Arial" w:cs="Arial"/>
        </w:rPr>
        <w:t xml:space="preserve">poor performance status </w:t>
      </w:r>
    </w:p>
    <w:p w14:paraId="709F9B2B" w14:textId="77777777" w:rsidR="00CA0A75" w:rsidRDefault="00CA0A75">
      <w:pPr>
        <w:spacing w:after="0" w:line="480" w:lineRule="auto"/>
        <w:rPr>
          <w:rFonts w:ascii="Arial" w:eastAsia="Arial" w:hAnsi="Arial" w:cs="Arial"/>
        </w:rPr>
      </w:pPr>
    </w:p>
    <w:p w14:paraId="3610BAFB" w14:textId="10555680" w:rsidR="00CA0A75" w:rsidRDefault="002D2DFC">
      <w:pPr>
        <w:spacing w:after="0" w:line="480" w:lineRule="auto"/>
        <w:rPr>
          <w:rFonts w:ascii="Arial" w:eastAsia="Arial" w:hAnsi="Arial" w:cs="Arial"/>
        </w:rPr>
      </w:pPr>
      <w:r>
        <w:rPr>
          <w:rFonts w:ascii="Arial" w:eastAsia="Arial" w:hAnsi="Arial" w:cs="Arial"/>
          <w:b/>
        </w:rPr>
        <w:t>Running title</w:t>
      </w:r>
      <w:r>
        <w:rPr>
          <w:rFonts w:ascii="Arial" w:eastAsia="Arial" w:hAnsi="Arial" w:cs="Arial"/>
        </w:rPr>
        <w:t xml:space="preserve">: </w:t>
      </w:r>
      <w:r w:rsidR="00427812">
        <w:rPr>
          <w:rFonts w:ascii="Arial" w:eastAsia="Arial" w:hAnsi="Arial" w:cs="Arial"/>
        </w:rPr>
        <w:t>Management</w:t>
      </w:r>
      <w:r>
        <w:rPr>
          <w:rFonts w:ascii="Arial" w:eastAsia="Arial" w:hAnsi="Arial" w:cs="Arial"/>
        </w:rPr>
        <w:t xml:space="preserve"> of poor performance status SCLC</w:t>
      </w:r>
      <w:r w:rsidR="001D4122">
        <w:rPr>
          <w:rFonts w:ascii="Arial" w:eastAsia="Arial" w:hAnsi="Arial" w:cs="Arial"/>
        </w:rPr>
        <w:t xml:space="preserve">; </w:t>
      </w:r>
      <w:r w:rsidR="001D4122" w:rsidRPr="006905CE">
        <w:rPr>
          <w:rFonts w:ascii="Arial" w:eastAsia="Arial" w:hAnsi="Arial" w:cs="Arial"/>
          <w:b/>
          <w:bCs/>
        </w:rPr>
        <w:t>Word count</w:t>
      </w:r>
      <w:r w:rsidR="001D4122">
        <w:rPr>
          <w:rFonts w:ascii="Arial" w:eastAsia="Arial" w:hAnsi="Arial" w:cs="Arial"/>
        </w:rPr>
        <w:t>: 4</w:t>
      </w:r>
      <w:r w:rsidR="009A7B13">
        <w:rPr>
          <w:rFonts w:ascii="Arial" w:eastAsia="Arial" w:hAnsi="Arial" w:cs="Arial"/>
        </w:rPr>
        <w:t>027</w:t>
      </w:r>
    </w:p>
    <w:p w14:paraId="3AE1FA7D" w14:textId="77777777" w:rsidR="00CA0A75" w:rsidRDefault="00CA0A75">
      <w:pPr>
        <w:spacing w:after="0" w:line="480" w:lineRule="auto"/>
        <w:rPr>
          <w:rFonts w:ascii="Arial" w:eastAsia="Arial" w:hAnsi="Arial" w:cs="Arial"/>
          <w:b/>
        </w:rPr>
      </w:pPr>
    </w:p>
    <w:p w14:paraId="0A5355F2" w14:textId="77777777" w:rsidR="00CA0A75" w:rsidRDefault="002D2DFC">
      <w:pPr>
        <w:spacing w:after="0" w:line="480" w:lineRule="auto"/>
        <w:rPr>
          <w:rFonts w:ascii="Arial" w:eastAsia="Arial" w:hAnsi="Arial" w:cs="Arial"/>
          <w:b/>
        </w:rPr>
      </w:pPr>
      <w:r>
        <w:rPr>
          <w:rFonts w:ascii="Arial" w:eastAsia="Arial" w:hAnsi="Arial" w:cs="Arial"/>
          <w:b/>
        </w:rPr>
        <w:t>Author list:</w:t>
      </w:r>
    </w:p>
    <w:p w14:paraId="3A14D1CC" w14:textId="2A48627F" w:rsidR="00CA0A75" w:rsidRDefault="002D2DFC">
      <w:pPr>
        <w:spacing w:after="0" w:line="480" w:lineRule="auto"/>
        <w:rPr>
          <w:rFonts w:ascii="Arial" w:eastAsia="Arial" w:hAnsi="Arial" w:cs="Arial"/>
        </w:rPr>
      </w:pPr>
      <w:r>
        <w:rPr>
          <w:rFonts w:ascii="Arial" w:eastAsia="Arial" w:hAnsi="Arial" w:cs="Arial"/>
        </w:rPr>
        <w:t>V. Noronha</w:t>
      </w:r>
      <w:r>
        <w:rPr>
          <w:rFonts w:ascii="Arial" w:eastAsia="Arial" w:hAnsi="Arial" w:cs="Arial"/>
          <w:vertAlign w:val="superscript"/>
        </w:rPr>
        <w:t>1,4</w:t>
      </w:r>
      <w:r>
        <w:rPr>
          <w:rFonts w:ascii="Arial" w:eastAsia="Arial" w:hAnsi="Arial" w:cs="Arial"/>
        </w:rPr>
        <w:t>, R. Ravind</w:t>
      </w:r>
      <w:r>
        <w:rPr>
          <w:rFonts w:ascii="Arial" w:eastAsia="Arial" w:hAnsi="Arial" w:cs="Arial"/>
          <w:vertAlign w:val="superscript"/>
        </w:rPr>
        <w:t>1,4</w:t>
      </w:r>
      <w:r>
        <w:rPr>
          <w:rFonts w:ascii="Arial" w:eastAsia="Arial" w:hAnsi="Arial" w:cs="Arial"/>
        </w:rPr>
        <w:t>, V. M. Patil</w:t>
      </w:r>
      <w:r>
        <w:rPr>
          <w:rFonts w:ascii="Arial" w:eastAsia="Arial" w:hAnsi="Arial" w:cs="Arial"/>
          <w:vertAlign w:val="superscript"/>
        </w:rPr>
        <w:t>1,4</w:t>
      </w:r>
      <w:r>
        <w:rPr>
          <w:rFonts w:ascii="Arial" w:eastAsia="Arial" w:hAnsi="Arial" w:cs="Arial"/>
        </w:rPr>
        <w:t>, S. Mokal</w:t>
      </w:r>
      <w:r>
        <w:rPr>
          <w:rFonts w:ascii="Arial" w:eastAsia="Arial" w:hAnsi="Arial" w:cs="Arial"/>
          <w:vertAlign w:val="superscript"/>
        </w:rPr>
        <w:t>2,4</w:t>
      </w:r>
      <w:r>
        <w:rPr>
          <w:rFonts w:ascii="Arial" w:eastAsia="Arial" w:hAnsi="Arial" w:cs="Arial"/>
        </w:rPr>
        <w:t>, A. Joshi</w:t>
      </w:r>
      <w:r>
        <w:rPr>
          <w:rFonts w:ascii="Arial" w:eastAsia="Arial" w:hAnsi="Arial" w:cs="Arial"/>
          <w:vertAlign w:val="superscript"/>
        </w:rPr>
        <w:t>1,4</w:t>
      </w:r>
      <w:r>
        <w:rPr>
          <w:rFonts w:ascii="Arial" w:eastAsia="Arial" w:hAnsi="Arial" w:cs="Arial"/>
        </w:rPr>
        <w:t>, N. Menon</w:t>
      </w:r>
      <w:r>
        <w:rPr>
          <w:rFonts w:ascii="Arial" w:eastAsia="Arial" w:hAnsi="Arial" w:cs="Arial"/>
          <w:vertAlign w:val="superscript"/>
        </w:rPr>
        <w:t>1,4</w:t>
      </w:r>
      <w:r>
        <w:rPr>
          <w:rFonts w:ascii="Arial" w:eastAsia="Arial" w:hAnsi="Arial" w:cs="Arial"/>
        </w:rPr>
        <w:t xml:space="preserve">, </w:t>
      </w:r>
      <w:r w:rsidR="00C814F3">
        <w:rPr>
          <w:rFonts w:ascii="Arial" w:eastAsia="Arial" w:hAnsi="Arial" w:cs="Arial"/>
        </w:rPr>
        <w:t>A. Kapoor</w:t>
      </w:r>
      <w:r>
        <w:rPr>
          <w:rFonts w:ascii="Arial" w:eastAsia="Arial" w:hAnsi="Arial" w:cs="Arial"/>
          <w:vertAlign w:val="superscript"/>
        </w:rPr>
        <w:t>1,4</w:t>
      </w:r>
      <w:r>
        <w:rPr>
          <w:rFonts w:ascii="Arial" w:eastAsia="Arial" w:hAnsi="Arial" w:cs="Arial"/>
        </w:rPr>
        <w:t>, A. Mahajan</w:t>
      </w:r>
      <w:r>
        <w:rPr>
          <w:rFonts w:ascii="Arial" w:eastAsia="Arial" w:hAnsi="Arial" w:cs="Arial"/>
          <w:vertAlign w:val="superscript"/>
        </w:rPr>
        <w:t>3,4</w:t>
      </w:r>
      <w:r>
        <w:rPr>
          <w:rFonts w:ascii="Arial" w:eastAsia="Arial" w:hAnsi="Arial" w:cs="Arial"/>
        </w:rPr>
        <w:t>, A. Janu</w:t>
      </w:r>
      <w:r>
        <w:rPr>
          <w:rFonts w:ascii="Arial" w:eastAsia="Arial" w:hAnsi="Arial" w:cs="Arial"/>
          <w:vertAlign w:val="superscript"/>
        </w:rPr>
        <w:t>3,4</w:t>
      </w:r>
      <w:r>
        <w:rPr>
          <w:rFonts w:ascii="Arial" w:eastAsia="Arial" w:hAnsi="Arial" w:cs="Arial"/>
        </w:rPr>
        <w:t>, D. Nakti</w:t>
      </w:r>
      <w:r>
        <w:rPr>
          <w:rFonts w:ascii="Arial" w:eastAsia="Arial" w:hAnsi="Arial" w:cs="Arial"/>
          <w:vertAlign w:val="superscript"/>
        </w:rPr>
        <w:t>1,4</w:t>
      </w:r>
      <w:r>
        <w:rPr>
          <w:rFonts w:ascii="Arial" w:eastAsia="Arial" w:hAnsi="Arial" w:cs="Arial"/>
        </w:rPr>
        <w:t>, L. Shah</w:t>
      </w:r>
      <w:r>
        <w:rPr>
          <w:rFonts w:ascii="Arial" w:eastAsia="Arial" w:hAnsi="Arial" w:cs="Arial"/>
          <w:vertAlign w:val="superscript"/>
        </w:rPr>
        <w:t>1,4</w:t>
      </w:r>
      <w:r>
        <w:rPr>
          <w:rFonts w:ascii="Arial" w:eastAsia="Arial" w:hAnsi="Arial" w:cs="Arial"/>
        </w:rPr>
        <w:t>, S. Shah</w:t>
      </w:r>
      <w:r>
        <w:rPr>
          <w:rFonts w:ascii="Arial" w:eastAsia="Arial" w:hAnsi="Arial" w:cs="Arial"/>
          <w:vertAlign w:val="superscript"/>
        </w:rPr>
        <w:t>1,4</w:t>
      </w:r>
      <w:r>
        <w:rPr>
          <w:rFonts w:ascii="Arial" w:eastAsia="Arial" w:hAnsi="Arial" w:cs="Arial"/>
        </w:rPr>
        <w:t>, K. Prabhash</w:t>
      </w:r>
      <w:r>
        <w:rPr>
          <w:rFonts w:ascii="Arial" w:eastAsia="Arial" w:hAnsi="Arial" w:cs="Arial"/>
          <w:vertAlign w:val="superscript"/>
        </w:rPr>
        <w:t>1,4</w:t>
      </w:r>
    </w:p>
    <w:p w14:paraId="4BC15161" w14:textId="77777777" w:rsidR="00CA0A75" w:rsidRDefault="00CA0A75">
      <w:pPr>
        <w:spacing w:after="0" w:line="480" w:lineRule="auto"/>
        <w:rPr>
          <w:rFonts w:ascii="Arial" w:eastAsia="Arial" w:hAnsi="Arial" w:cs="Arial"/>
        </w:rPr>
      </w:pPr>
    </w:p>
    <w:p w14:paraId="525BE103" w14:textId="77777777" w:rsidR="00CA0A75" w:rsidRDefault="002D2DFC">
      <w:pPr>
        <w:spacing w:after="0" w:line="480" w:lineRule="auto"/>
        <w:rPr>
          <w:rFonts w:ascii="Arial" w:eastAsia="Arial" w:hAnsi="Arial" w:cs="Arial"/>
        </w:rPr>
      </w:pPr>
      <w:r>
        <w:rPr>
          <w:rFonts w:ascii="Arial" w:eastAsia="Arial" w:hAnsi="Arial" w:cs="Arial"/>
          <w:b/>
        </w:rPr>
        <w:t>AFFILIATION OF AUTHORS</w:t>
      </w:r>
      <w:r>
        <w:rPr>
          <w:rFonts w:ascii="Arial" w:eastAsia="Arial" w:hAnsi="Arial" w:cs="Arial"/>
        </w:rPr>
        <w:t>:</w:t>
      </w:r>
    </w:p>
    <w:p w14:paraId="29D403B6" w14:textId="77777777" w:rsidR="00CA0A75" w:rsidRDefault="002D2DFC">
      <w:pPr>
        <w:spacing w:after="0" w:line="480" w:lineRule="auto"/>
        <w:rPr>
          <w:rFonts w:ascii="Arial" w:eastAsia="Arial" w:hAnsi="Arial" w:cs="Arial"/>
        </w:rPr>
      </w:pPr>
      <w:r>
        <w:rPr>
          <w:rFonts w:ascii="Arial" w:eastAsia="Arial" w:hAnsi="Arial" w:cs="Arial"/>
          <w:vertAlign w:val="superscript"/>
        </w:rPr>
        <w:t>1</w:t>
      </w:r>
      <w:r>
        <w:rPr>
          <w:rFonts w:ascii="Arial" w:eastAsia="Arial" w:hAnsi="Arial" w:cs="Arial"/>
        </w:rPr>
        <w:t>Department of Medical Oncology,</w:t>
      </w:r>
    </w:p>
    <w:p w14:paraId="459F2BDE" w14:textId="77777777" w:rsidR="00CA0A75" w:rsidRDefault="002D2DFC">
      <w:pPr>
        <w:spacing w:after="0" w:line="480" w:lineRule="auto"/>
        <w:rPr>
          <w:rFonts w:ascii="Arial" w:eastAsia="Arial" w:hAnsi="Arial" w:cs="Arial"/>
        </w:rPr>
      </w:pPr>
      <w:r>
        <w:rPr>
          <w:rFonts w:ascii="Arial" w:eastAsia="Arial" w:hAnsi="Arial" w:cs="Arial"/>
        </w:rPr>
        <w:t>Tata Memorial Hospital; Tata Memorial Center, Mumbai, India</w:t>
      </w:r>
    </w:p>
    <w:p w14:paraId="0662B9D2" w14:textId="77777777" w:rsidR="00CA0A75" w:rsidRDefault="00CA0A75">
      <w:pPr>
        <w:spacing w:after="0" w:line="480" w:lineRule="auto"/>
        <w:rPr>
          <w:rFonts w:ascii="Arial" w:eastAsia="Arial" w:hAnsi="Arial" w:cs="Arial"/>
        </w:rPr>
      </w:pPr>
    </w:p>
    <w:p w14:paraId="147F5C6C" w14:textId="77777777" w:rsidR="00CA0A75" w:rsidRDefault="002D2DFC">
      <w:pPr>
        <w:spacing w:after="0" w:line="480" w:lineRule="auto"/>
        <w:rPr>
          <w:rFonts w:ascii="Arial" w:eastAsia="Arial" w:hAnsi="Arial" w:cs="Arial"/>
        </w:rPr>
      </w:pPr>
      <w:r>
        <w:rPr>
          <w:rFonts w:ascii="Arial" w:eastAsia="Arial" w:hAnsi="Arial" w:cs="Arial"/>
          <w:vertAlign w:val="superscript"/>
        </w:rPr>
        <w:t>2</w:t>
      </w:r>
      <w:r>
        <w:rPr>
          <w:rFonts w:ascii="Arial" w:eastAsia="Arial" w:hAnsi="Arial" w:cs="Arial"/>
        </w:rPr>
        <w:t>Senior Statistician,</w:t>
      </w:r>
    </w:p>
    <w:p w14:paraId="7509585F" w14:textId="77777777" w:rsidR="00CA0A75" w:rsidRDefault="002D2DFC">
      <w:pPr>
        <w:spacing w:after="0" w:line="480" w:lineRule="auto"/>
        <w:rPr>
          <w:rFonts w:ascii="Arial" w:eastAsia="Arial" w:hAnsi="Arial" w:cs="Arial"/>
        </w:rPr>
      </w:pPr>
      <w:r>
        <w:rPr>
          <w:rFonts w:ascii="Arial" w:eastAsia="Arial" w:hAnsi="Arial" w:cs="Arial"/>
        </w:rPr>
        <w:t>Clinical Research Secretariat,</w:t>
      </w:r>
    </w:p>
    <w:p w14:paraId="02903D1C" w14:textId="77777777" w:rsidR="00CA0A75" w:rsidRDefault="002D2DFC">
      <w:pPr>
        <w:spacing w:after="0" w:line="480" w:lineRule="auto"/>
        <w:rPr>
          <w:rFonts w:ascii="Arial" w:eastAsia="Arial" w:hAnsi="Arial" w:cs="Arial"/>
        </w:rPr>
      </w:pPr>
      <w:r>
        <w:rPr>
          <w:rFonts w:ascii="Arial" w:eastAsia="Arial" w:hAnsi="Arial" w:cs="Arial"/>
        </w:rPr>
        <w:t>Tata Memorial Hospital; Tata Memorial Center, Mumbai, India</w:t>
      </w:r>
    </w:p>
    <w:p w14:paraId="728513BD" w14:textId="77777777" w:rsidR="00CA0A75" w:rsidRDefault="00CA0A75">
      <w:pPr>
        <w:spacing w:after="0" w:line="480" w:lineRule="auto"/>
        <w:rPr>
          <w:rFonts w:ascii="Arial" w:eastAsia="Arial" w:hAnsi="Arial" w:cs="Arial"/>
        </w:rPr>
      </w:pPr>
    </w:p>
    <w:p w14:paraId="76533F2F" w14:textId="77777777" w:rsidR="00CA0A75" w:rsidRDefault="002D2DFC">
      <w:pPr>
        <w:spacing w:after="0" w:line="480" w:lineRule="auto"/>
        <w:rPr>
          <w:rFonts w:ascii="Arial" w:eastAsia="Arial" w:hAnsi="Arial" w:cs="Arial"/>
        </w:rPr>
      </w:pPr>
      <w:r>
        <w:rPr>
          <w:rFonts w:ascii="Arial" w:eastAsia="Arial" w:hAnsi="Arial" w:cs="Arial"/>
          <w:vertAlign w:val="superscript"/>
        </w:rPr>
        <w:t>3</w:t>
      </w:r>
      <w:r>
        <w:rPr>
          <w:rFonts w:ascii="Arial" w:eastAsia="Arial" w:hAnsi="Arial" w:cs="Arial"/>
        </w:rPr>
        <w:t>Department of Radiodiagnosis</w:t>
      </w:r>
    </w:p>
    <w:p w14:paraId="72ABD2DA" w14:textId="77777777" w:rsidR="00CA0A75" w:rsidRDefault="002D2DFC">
      <w:pPr>
        <w:spacing w:after="0" w:line="480" w:lineRule="auto"/>
        <w:rPr>
          <w:rFonts w:ascii="Arial" w:eastAsia="Arial" w:hAnsi="Arial" w:cs="Arial"/>
        </w:rPr>
      </w:pPr>
      <w:r>
        <w:rPr>
          <w:rFonts w:ascii="Arial" w:eastAsia="Arial" w:hAnsi="Arial" w:cs="Arial"/>
        </w:rPr>
        <w:t>Tata Memorial Hospital; Tata Memorial Center, Mumbai, India</w:t>
      </w:r>
    </w:p>
    <w:p w14:paraId="44C4DADF" w14:textId="77777777" w:rsidR="00CA0A75" w:rsidRDefault="00CA0A75">
      <w:pPr>
        <w:spacing w:after="0" w:line="480" w:lineRule="auto"/>
        <w:rPr>
          <w:rFonts w:ascii="Arial" w:eastAsia="Arial" w:hAnsi="Arial" w:cs="Arial"/>
        </w:rPr>
      </w:pPr>
    </w:p>
    <w:p w14:paraId="4F0D8995" w14:textId="77777777" w:rsidR="00CA0A75" w:rsidRDefault="002D2DFC">
      <w:pPr>
        <w:spacing w:after="0" w:line="480" w:lineRule="auto"/>
        <w:rPr>
          <w:rFonts w:ascii="Arial" w:eastAsia="Arial" w:hAnsi="Arial" w:cs="Arial"/>
        </w:rPr>
      </w:pPr>
      <w:r>
        <w:rPr>
          <w:rFonts w:ascii="Arial" w:eastAsia="Arial" w:hAnsi="Arial" w:cs="Arial"/>
          <w:vertAlign w:val="superscript"/>
        </w:rPr>
        <w:t>4</w:t>
      </w:r>
      <w:r>
        <w:rPr>
          <w:rFonts w:ascii="Arial" w:eastAsia="Arial" w:hAnsi="Arial" w:cs="Arial"/>
        </w:rPr>
        <w:t xml:space="preserve">Homi Bhabha National Institute (HBNI), Mumbai, India </w:t>
      </w:r>
    </w:p>
    <w:p w14:paraId="5563FA89" w14:textId="77777777" w:rsidR="00CA0A75" w:rsidRDefault="00CA0A75">
      <w:pPr>
        <w:spacing w:after="0" w:line="480" w:lineRule="auto"/>
        <w:rPr>
          <w:rFonts w:ascii="Arial" w:eastAsia="Arial" w:hAnsi="Arial" w:cs="Arial"/>
          <w:b/>
        </w:rPr>
      </w:pPr>
    </w:p>
    <w:p w14:paraId="778F38B3" w14:textId="77777777" w:rsidR="00CA0A75" w:rsidRDefault="002D2DFC">
      <w:pPr>
        <w:spacing w:after="0" w:line="480" w:lineRule="auto"/>
        <w:rPr>
          <w:rFonts w:ascii="Arial" w:eastAsia="Arial" w:hAnsi="Arial" w:cs="Arial"/>
        </w:rPr>
      </w:pPr>
      <w:r>
        <w:rPr>
          <w:rFonts w:ascii="Arial" w:eastAsia="Arial" w:hAnsi="Arial" w:cs="Arial"/>
          <w:b/>
        </w:rPr>
        <w:t>Corresponding author</w:t>
      </w:r>
      <w:r>
        <w:rPr>
          <w:rFonts w:ascii="Arial" w:eastAsia="Arial" w:hAnsi="Arial" w:cs="Arial"/>
        </w:rPr>
        <w:t>:</w:t>
      </w:r>
    </w:p>
    <w:p w14:paraId="4C7F308D" w14:textId="77777777" w:rsidR="00CA0A75" w:rsidRDefault="002D2DFC">
      <w:pPr>
        <w:spacing w:after="0" w:line="480" w:lineRule="auto"/>
        <w:rPr>
          <w:rFonts w:ascii="Arial" w:eastAsia="Arial" w:hAnsi="Arial" w:cs="Arial"/>
        </w:rPr>
      </w:pPr>
      <w:r>
        <w:rPr>
          <w:rFonts w:ascii="Arial" w:eastAsia="Arial" w:hAnsi="Arial" w:cs="Arial"/>
        </w:rPr>
        <w:t xml:space="preserve">Dr. Kumar </w:t>
      </w:r>
      <w:proofErr w:type="spellStart"/>
      <w:r>
        <w:rPr>
          <w:rFonts w:ascii="Arial" w:eastAsia="Arial" w:hAnsi="Arial" w:cs="Arial"/>
        </w:rPr>
        <w:t>Prabhash</w:t>
      </w:r>
      <w:proofErr w:type="spellEnd"/>
    </w:p>
    <w:p w14:paraId="46765F13" w14:textId="77777777" w:rsidR="00CA0A75" w:rsidRDefault="002D2DFC">
      <w:pPr>
        <w:spacing w:after="0" w:line="480" w:lineRule="auto"/>
        <w:rPr>
          <w:rFonts w:ascii="Arial" w:eastAsia="Arial" w:hAnsi="Arial" w:cs="Arial"/>
        </w:rPr>
      </w:pPr>
      <w:r>
        <w:rPr>
          <w:rFonts w:ascii="Arial" w:eastAsia="Arial" w:hAnsi="Arial" w:cs="Arial"/>
        </w:rPr>
        <w:t>Department of Medical Oncology</w:t>
      </w:r>
    </w:p>
    <w:p w14:paraId="462A2B2D" w14:textId="77777777" w:rsidR="00CA0A75" w:rsidRDefault="002D2DFC">
      <w:pPr>
        <w:spacing w:after="0" w:line="480" w:lineRule="auto"/>
        <w:rPr>
          <w:rFonts w:ascii="Arial" w:eastAsia="Arial" w:hAnsi="Arial" w:cs="Arial"/>
        </w:rPr>
      </w:pPr>
      <w:r>
        <w:rPr>
          <w:rFonts w:ascii="Arial" w:eastAsia="Arial" w:hAnsi="Arial" w:cs="Arial"/>
        </w:rPr>
        <w:t xml:space="preserve">Tata Memorial Hospital; Tata Memorial Center, </w:t>
      </w:r>
    </w:p>
    <w:p w14:paraId="5AC73DEE" w14:textId="77777777" w:rsidR="00CA0A75" w:rsidRDefault="002D2DFC">
      <w:pPr>
        <w:spacing w:after="0" w:line="480" w:lineRule="auto"/>
        <w:rPr>
          <w:rFonts w:ascii="Arial" w:eastAsia="Arial" w:hAnsi="Arial" w:cs="Arial"/>
        </w:rPr>
      </w:pPr>
      <w:r>
        <w:rPr>
          <w:rFonts w:ascii="Arial" w:eastAsia="Arial" w:hAnsi="Arial" w:cs="Arial"/>
        </w:rPr>
        <w:lastRenderedPageBreak/>
        <w:t>Parel, Mumbai-400012, India</w:t>
      </w:r>
    </w:p>
    <w:p w14:paraId="289FB279" w14:textId="77777777" w:rsidR="00CA0A75" w:rsidRDefault="002D2DFC">
      <w:pPr>
        <w:spacing w:after="0" w:line="480" w:lineRule="auto"/>
        <w:rPr>
          <w:rFonts w:ascii="Arial" w:eastAsia="Arial" w:hAnsi="Arial" w:cs="Arial"/>
        </w:rPr>
      </w:pPr>
      <w:proofErr w:type="spellStart"/>
      <w:r>
        <w:rPr>
          <w:rFonts w:ascii="Arial" w:eastAsia="Arial" w:hAnsi="Arial" w:cs="Arial"/>
        </w:rPr>
        <w:t>Homi</w:t>
      </w:r>
      <w:proofErr w:type="spellEnd"/>
      <w:r>
        <w:rPr>
          <w:rFonts w:ascii="Arial" w:eastAsia="Arial" w:hAnsi="Arial" w:cs="Arial"/>
        </w:rPr>
        <w:t xml:space="preserve"> Bhabha National Institute (HBNI), Mumbai, India</w:t>
      </w:r>
    </w:p>
    <w:p w14:paraId="118E8BB9" w14:textId="77777777" w:rsidR="00CA0A75" w:rsidRDefault="002D2DFC">
      <w:pPr>
        <w:spacing w:after="0" w:line="480" w:lineRule="auto"/>
        <w:rPr>
          <w:rFonts w:ascii="Arial" w:eastAsia="Arial" w:hAnsi="Arial" w:cs="Arial"/>
        </w:rPr>
      </w:pPr>
      <w:r>
        <w:rPr>
          <w:rFonts w:ascii="Arial" w:eastAsia="Arial" w:hAnsi="Arial" w:cs="Arial"/>
        </w:rPr>
        <w:t>Phone: 022-24177214</w:t>
      </w:r>
    </w:p>
    <w:p w14:paraId="249301CA" w14:textId="77777777" w:rsidR="00CA0A75" w:rsidRDefault="002D2DFC">
      <w:pPr>
        <w:spacing w:after="0" w:line="480" w:lineRule="auto"/>
        <w:rPr>
          <w:rFonts w:ascii="Arial" w:eastAsia="Arial" w:hAnsi="Arial" w:cs="Arial"/>
        </w:rPr>
      </w:pPr>
      <w:r>
        <w:rPr>
          <w:rFonts w:ascii="Arial" w:eastAsia="Arial" w:hAnsi="Arial" w:cs="Arial"/>
        </w:rPr>
        <w:t xml:space="preserve">Email address: </w:t>
      </w:r>
      <w:hyperlink r:id="rId5">
        <w:r>
          <w:rPr>
            <w:rFonts w:ascii="Arial" w:eastAsia="Arial" w:hAnsi="Arial" w:cs="Arial"/>
            <w:color w:val="0000FF"/>
            <w:u w:val="single"/>
          </w:rPr>
          <w:t>kumarprabhashtmh@gmail.com</w:t>
        </w:r>
      </w:hyperlink>
    </w:p>
    <w:p w14:paraId="36B86419" w14:textId="77777777" w:rsidR="00CA0A75" w:rsidRDefault="00CA0A75">
      <w:pPr>
        <w:spacing w:after="0" w:line="480" w:lineRule="auto"/>
        <w:rPr>
          <w:rFonts w:ascii="Arial" w:eastAsia="Arial" w:hAnsi="Arial" w:cs="Arial"/>
        </w:rPr>
      </w:pPr>
    </w:p>
    <w:p w14:paraId="5AE4D205" w14:textId="77777777" w:rsidR="00CA0A75" w:rsidRDefault="002D2DFC">
      <w:pPr>
        <w:spacing w:after="0" w:line="480" w:lineRule="auto"/>
        <w:rPr>
          <w:rFonts w:ascii="Arial" w:eastAsia="Arial" w:hAnsi="Arial" w:cs="Arial"/>
          <w:i/>
        </w:rPr>
      </w:pPr>
      <w:r>
        <w:rPr>
          <w:rFonts w:ascii="Arial" w:eastAsia="Arial" w:hAnsi="Arial" w:cs="Arial"/>
          <w:b/>
          <w:i/>
        </w:rPr>
        <w:t>Abstract</w:t>
      </w:r>
    </w:p>
    <w:p w14:paraId="79604B99" w14:textId="51E2CB33" w:rsidR="00E41E42" w:rsidRDefault="00313B4A">
      <w:pPr>
        <w:spacing w:after="0" w:line="480" w:lineRule="auto"/>
        <w:rPr>
          <w:rFonts w:ascii="Arial" w:eastAsia="Arial" w:hAnsi="Arial" w:cs="Arial"/>
        </w:rPr>
      </w:pPr>
      <w:r>
        <w:rPr>
          <w:rFonts w:ascii="Arial" w:eastAsia="Arial" w:hAnsi="Arial" w:cs="Arial"/>
          <w:b/>
          <w:bCs/>
        </w:rPr>
        <w:t>Background</w:t>
      </w:r>
      <w:r w:rsidR="00E41E42">
        <w:rPr>
          <w:rFonts w:ascii="Arial" w:eastAsia="Arial" w:hAnsi="Arial" w:cs="Arial"/>
        </w:rPr>
        <w:t xml:space="preserve">: </w:t>
      </w:r>
      <w:r>
        <w:rPr>
          <w:rFonts w:ascii="Arial" w:eastAsia="Arial" w:hAnsi="Arial" w:cs="Arial"/>
        </w:rPr>
        <w:t xml:space="preserve">There are </w:t>
      </w:r>
      <w:r w:rsidR="00342ABF">
        <w:rPr>
          <w:rFonts w:ascii="Arial" w:eastAsia="Arial" w:hAnsi="Arial" w:cs="Arial"/>
        </w:rPr>
        <w:t>limited</w:t>
      </w:r>
      <w:r>
        <w:rPr>
          <w:rFonts w:ascii="Arial" w:eastAsia="Arial" w:hAnsi="Arial" w:cs="Arial"/>
        </w:rPr>
        <w:t xml:space="preserve"> data on</w:t>
      </w:r>
      <w:r w:rsidR="00874A7E">
        <w:rPr>
          <w:rFonts w:ascii="Arial" w:eastAsia="Arial" w:hAnsi="Arial" w:cs="Arial"/>
        </w:rPr>
        <w:t xml:space="preserve"> the</w:t>
      </w:r>
      <w:r w:rsidR="002D2DFC">
        <w:rPr>
          <w:rFonts w:ascii="Arial" w:eastAsia="Arial" w:hAnsi="Arial" w:cs="Arial"/>
        </w:rPr>
        <w:t xml:space="preserve"> </w:t>
      </w:r>
      <w:r w:rsidR="009D4686">
        <w:rPr>
          <w:rFonts w:ascii="Arial" w:eastAsia="Arial" w:hAnsi="Arial" w:cs="Arial"/>
        </w:rPr>
        <w:t>role</w:t>
      </w:r>
      <w:r w:rsidR="002D2DFC">
        <w:rPr>
          <w:rFonts w:ascii="Arial" w:eastAsia="Arial" w:hAnsi="Arial" w:cs="Arial"/>
        </w:rPr>
        <w:t xml:space="preserve"> of chemotherapy in</w:t>
      </w:r>
      <w:r w:rsidR="00E26FBE">
        <w:rPr>
          <w:rFonts w:ascii="Arial" w:eastAsia="Arial" w:hAnsi="Arial" w:cs="Arial"/>
        </w:rPr>
        <w:t xml:space="preserve"> </w:t>
      </w:r>
      <w:r w:rsidR="002D2DFC">
        <w:rPr>
          <w:rFonts w:ascii="Arial" w:eastAsia="Arial" w:hAnsi="Arial" w:cs="Arial"/>
        </w:rPr>
        <w:t xml:space="preserve">patients with </w:t>
      </w:r>
      <w:r w:rsidR="00156E65">
        <w:rPr>
          <w:rFonts w:ascii="Arial" w:eastAsia="Arial" w:hAnsi="Arial" w:cs="Arial"/>
        </w:rPr>
        <w:t>small cell lung cancer (</w:t>
      </w:r>
      <w:r w:rsidR="00E26FBE">
        <w:rPr>
          <w:rFonts w:ascii="Arial" w:eastAsia="Arial" w:hAnsi="Arial" w:cs="Arial"/>
        </w:rPr>
        <w:t>SCLC</w:t>
      </w:r>
      <w:r w:rsidR="00156E65">
        <w:rPr>
          <w:rFonts w:ascii="Arial" w:eastAsia="Arial" w:hAnsi="Arial" w:cs="Arial"/>
        </w:rPr>
        <w:t>)</w:t>
      </w:r>
      <w:r w:rsidR="00E26FBE">
        <w:rPr>
          <w:rFonts w:ascii="Arial" w:eastAsia="Arial" w:hAnsi="Arial" w:cs="Arial"/>
        </w:rPr>
        <w:t xml:space="preserve"> and </w:t>
      </w:r>
      <w:r w:rsidR="002D2DFC">
        <w:rPr>
          <w:rFonts w:ascii="Arial" w:eastAsia="Arial" w:hAnsi="Arial" w:cs="Arial"/>
        </w:rPr>
        <w:t xml:space="preserve">poor performance status (PS). </w:t>
      </w:r>
    </w:p>
    <w:p w14:paraId="445F142A" w14:textId="1FA15180" w:rsidR="00874A7E" w:rsidRDefault="00E41E42" w:rsidP="00874A7E">
      <w:pPr>
        <w:spacing w:after="0" w:line="480" w:lineRule="auto"/>
        <w:rPr>
          <w:rFonts w:ascii="Arial" w:eastAsia="Arial" w:hAnsi="Arial" w:cs="Arial"/>
        </w:rPr>
      </w:pPr>
      <w:r w:rsidRPr="00E41E42">
        <w:rPr>
          <w:rFonts w:ascii="Arial" w:eastAsia="Arial" w:hAnsi="Arial" w:cs="Arial"/>
          <w:b/>
          <w:bCs/>
        </w:rPr>
        <w:t>Methods</w:t>
      </w:r>
      <w:r>
        <w:rPr>
          <w:rFonts w:ascii="Arial" w:eastAsia="Arial" w:hAnsi="Arial" w:cs="Arial"/>
        </w:rPr>
        <w:t xml:space="preserve">: </w:t>
      </w:r>
      <w:r w:rsidR="00375F4B">
        <w:rPr>
          <w:rFonts w:ascii="Arial" w:eastAsia="Arial" w:hAnsi="Arial" w:cs="Arial"/>
        </w:rPr>
        <w:t>This was a r</w:t>
      </w:r>
      <w:r w:rsidR="004D5DB9">
        <w:rPr>
          <w:rFonts w:ascii="Arial" w:eastAsia="Arial" w:hAnsi="Arial" w:cs="Arial"/>
        </w:rPr>
        <w:t>etrospective analysis of a p</w:t>
      </w:r>
      <w:r w:rsidR="00874A7E">
        <w:rPr>
          <w:rFonts w:ascii="Arial" w:eastAsia="Arial" w:hAnsi="Arial" w:cs="Arial"/>
        </w:rPr>
        <w:t xml:space="preserve">rospective observational study in </w:t>
      </w:r>
      <w:r w:rsidR="00CC3A8F">
        <w:rPr>
          <w:rFonts w:ascii="Arial" w:eastAsia="Arial" w:hAnsi="Arial" w:cs="Arial"/>
        </w:rPr>
        <w:t xml:space="preserve">patients with </w:t>
      </w:r>
      <w:r w:rsidR="00874A7E">
        <w:rPr>
          <w:rFonts w:ascii="Arial" w:eastAsia="Arial" w:hAnsi="Arial" w:cs="Arial"/>
        </w:rPr>
        <w:t xml:space="preserve">SCLC </w:t>
      </w:r>
      <w:r w:rsidR="00DF1A0A">
        <w:rPr>
          <w:rFonts w:ascii="Arial" w:eastAsia="Arial" w:hAnsi="Arial" w:cs="Arial"/>
        </w:rPr>
        <w:t>and</w:t>
      </w:r>
      <w:r w:rsidR="00874A7E">
        <w:rPr>
          <w:rFonts w:ascii="Arial" w:eastAsia="Arial" w:hAnsi="Arial" w:cs="Arial"/>
        </w:rPr>
        <w:t xml:space="preserve"> PS 3 </w:t>
      </w:r>
      <w:r w:rsidR="00DF1A0A">
        <w:rPr>
          <w:rFonts w:ascii="Arial" w:eastAsia="Arial" w:hAnsi="Arial" w:cs="Arial"/>
        </w:rPr>
        <w:t>or</w:t>
      </w:r>
      <w:r w:rsidR="00874A7E">
        <w:rPr>
          <w:rFonts w:ascii="Arial" w:eastAsia="Arial" w:hAnsi="Arial" w:cs="Arial"/>
        </w:rPr>
        <w:t xml:space="preserve"> 4</w:t>
      </w:r>
      <w:r w:rsidR="007D0766">
        <w:rPr>
          <w:rFonts w:ascii="Arial" w:eastAsia="Arial" w:hAnsi="Arial" w:cs="Arial"/>
        </w:rPr>
        <w:t xml:space="preserve">. We </w:t>
      </w:r>
      <w:r w:rsidR="00874A7E">
        <w:rPr>
          <w:rFonts w:ascii="Arial" w:eastAsia="Arial" w:hAnsi="Arial" w:cs="Arial"/>
        </w:rPr>
        <w:t xml:space="preserve">recorded the initial therapy, symptom improvement, response rate, overall survival (OS) and the impact of various factors on OS. </w:t>
      </w:r>
    </w:p>
    <w:p w14:paraId="0A511719" w14:textId="5BC6F8DD" w:rsidR="000C4E20" w:rsidRDefault="000C4E20">
      <w:pPr>
        <w:spacing w:after="0" w:line="480" w:lineRule="auto"/>
        <w:rPr>
          <w:rFonts w:ascii="Arial" w:eastAsia="Arial" w:hAnsi="Arial" w:cs="Arial"/>
        </w:rPr>
      </w:pPr>
      <w:r w:rsidRPr="000C4E20">
        <w:rPr>
          <w:rFonts w:ascii="Arial" w:eastAsia="Arial" w:hAnsi="Arial" w:cs="Arial"/>
          <w:b/>
          <w:bCs/>
        </w:rPr>
        <w:t>Results</w:t>
      </w:r>
      <w:r>
        <w:rPr>
          <w:rFonts w:ascii="Arial" w:eastAsia="Arial" w:hAnsi="Arial" w:cs="Arial"/>
        </w:rPr>
        <w:t xml:space="preserve">: </w:t>
      </w:r>
      <w:r w:rsidR="002D2DFC">
        <w:rPr>
          <w:rFonts w:ascii="Arial" w:eastAsia="Arial" w:hAnsi="Arial" w:cs="Arial"/>
        </w:rPr>
        <w:t xml:space="preserve">From June 2010 to August 2019, we enrolled 234 patients; 185 (79%) with PS 3 and 49 (21%) PS 4. Initial therapy was best supportive care (BSC) in 49 patients (21%), </w:t>
      </w:r>
      <w:r w:rsidR="00F04ED1">
        <w:rPr>
          <w:rFonts w:ascii="Arial" w:eastAsia="Arial" w:hAnsi="Arial" w:cs="Arial"/>
        </w:rPr>
        <w:t xml:space="preserve">standard </w:t>
      </w:r>
      <w:r w:rsidR="002D2DFC">
        <w:rPr>
          <w:rFonts w:ascii="Arial" w:eastAsia="Arial" w:hAnsi="Arial" w:cs="Arial"/>
        </w:rPr>
        <w:t>full</w:t>
      </w:r>
      <w:r w:rsidR="00F2457A">
        <w:rPr>
          <w:rFonts w:ascii="Arial" w:eastAsia="Arial" w:hAnsi="Arial" w:cs="Arial"/>
        </w:rPr>
        <w:t xml:space="preserve"> </w:t>
      </w:r>
      <w:r w:rsidR="002D2DFC">
        <w:rPr>
          <w:rFonts w:ascii="Arial" w:eastAsia="Arial" w:hAnsi="Arial" w:cs="Arial"/>
        </w:rPr>
        <w:t xml:space="preserve">dose chemotherapy in 31 (13%) and attenuated chemotherapy in 154 (66%). </w:t>
      </w:r>
      <w:r w:rsidR="00D112D3">
        <w:rPr>
          <w:rFonts w:ascii="Arial" w:eastAsia="Arial" w:hAnsi="Arial" w:cs="Arial"/>
        </w:rPr>
        <w:t xml:space="preserve">In </w:t>
      </w:r>
      <w:r w:rsidR="002D2DFC">
        <w:rPr>
          <w:rFonts w:ascii="Arial" w:eastAsia="Arial" w:hAnsi="Arial" w:cs="Arial"/>
        </w:rPr>
        <w:t>89% patients treated with attenuated chemotherapy</w:t>
      </w:r>
      <w:r w:rsidR="00D112D3">
        <w:rPr>
          <w:rFonts w:ascii="Arial" w:eastAsia="Arial" w:hAnsi="Arial" w:cs="Arial"/>
        </w:rPr>
        <w:t xml:space="preserve">, </w:t>
      </w:r>
      <w:r w:rsidR="002D2DFC">
        <w:rPr>
          <w:rFonts w:ascii="Arial" w:eastAsia="Arial" w:hAnsi="Arial" w:cs="Arial"/>
        </w:rPr>
        <w:t xml:space="preserve">symptom-relief </w:t>
      </w:r>
      <w:r w:rsidR="00D112D3">
        <w:rPr>
          <w:rFonts w:ascii="Arial" w:eastAsia="Arial" w:hAnsi="Arial" w:cs="Arial"/>
        </w:rPr>
        <w:t xml:space="preserve">occurred </w:t>
      </w:r>
      <w:r w:rsidR="002D2DFC">
        <w:rPr>
          <w:rFonts w:ascii="Arial" w:eastAsia="Arial" w:hAnsi="Arial" w:cs="Arial"/>
        </w:rPr>
        <w:t>at a median of 3 days (IQR, 1-7)</w:t>
      </w:r>
      <w:r w:rsidR="00887A3C">
        <w:rPr>
          <w:rFonts w:ascii="Arial" w:eastAsia="Arial" w:hAnsi="Arial" w:cs="Arial"/>
        </w:rPr>
        <w:t xml:space="preserve">. </w:t>
      </w:r>
      <w:r w:rsidR="000A21F5">
        <w:rPr>
          <w:rFonts w:ascii="Arial" w:eastAsia="Arial" w:hAnsi="Arial" w:cs="Arial"/>
        </w:rPr>
        <w:t xml:space="preserve">Grade 3 and higher toxicities developed in </w:t>
      </w:r>
      <w:r w:rsidR="002D2DFC">
        <w:rPr>
          <w:rFonts w:ascii="Arial" w:eastAsia="Arial" w:hAnsi="Arial" w:cs="Arial"/>
        </w:rPr>
        <w:t>60% patients treated with initial attenuated chemotherapy, commonly hyponatremia in 39%, neutropenia</w:t>
      </w:r>
      <w:r w:rsidR="00195D53">
        <w:rPr>
          <w:rFonts w:ascii="Arial" w:eastAsia="Arial" w:hAnsi="Arial" w:cs="Arial"/>
        </w:rPr>
        <w:t xml:space="preserve"> in </w:t>
      </w:r>
      <w:r w:rsidR="002D2DFC">
        <w:rPr>
          <w:rFonts w:ascii="Arial" w:eastAsia="Arial" w:hAnsi="Arial" w:cs="Arial"/>
        </w:rPr>
        <w:t xml:space="preserve">16%, </w:t>
      </w:r>
      <w:r w:rsidR="00496483">
        <w:rPr>
          <w:rFonts w:ascii="Arial" w:eastAsia="Arial" w:hAnsi="Arial" w:cs="Arial"/>
        </w:rPr>
        <w:t>anemia</w:t>
      </w:r>
      <w:r w:rsidR="00195D53">
        <w:rPr>
          <w:rFonts w:ascii="Arial" w:eastAsia="Arial" w:hAnsi="Arial" w:cs="Arial"/>
        </w:rPr>
        <w:t xml:space="preserve"> in </w:t>
      </w:r>
      <w:r w:rsidR="00496483">
        <w:rPr>
          <w:rFonts w:ascii="Arial" w:eastAsia="Arial" w:hAnsi="Arial" w:cs="Arial"/>
        </w:rPr>
        <w:t xml:space="preserve">11% and </w:t>
      </w:r>
      <w:r w:rsidR="002D2DFC">
        <w:rPr>
          <w:rFonts w:ascii="Arial" w:eastAsia="Arial" w:hAnsi="Arial" w:cs="Arial"/>
        </w:rPr>
        <w:t>infection</w:t>
      </w:r>
      <w:r w:rsidR="00195D53">
        <w:rPr>
          <w:rFonts w:ascii="Arial" w:eastAsia="Arial" w:hAnsi="Arial" w:cs="Arial"/>
        </w:rPr>
        <w:t xml:space="preserve"> in </w:t>
      </w:r>
      <w:r w:rsidR="002D2DFC">
        <w:rPr>
          <w:rFonts w:ascii="Arial" w:eastAsia="Arial" w:hAnsi="Arial" w:cs="Arial"/>
        </w:rPr>
        <w:t xml:space="preserve">10%. </w:t>
      </w:r>
      <w:r w:rsidR="008A1C5B">
        <w:rPr>
          <w:rFonts w:ascii="Arial" w:eastAsia="Arial" w:hAnsi="Arial" w:cs="Arial"/>
        </w:rPr>
        <w:t xml:space="preserve">Grade 3 and higher toxicities </w:t>
      </w:r>
      <w:proofErr w:type="gramStart"/>
      <w:r w:rsidR="002B2690">
        <w:rPr>
          <w:rFonts w:ascii="Arial" w:eastAsia="Arial" w:hAnsi="Arial" w:cs="Arial"/>
        </w:rPr>
        <w:t>as a result of</w:t>
      </w:r>
      <w:proofErr w:type="gramEnd"/>
      <w:r w:rsidR="002B2690">
        <w:rPr>
          <w:rFonts w:ascii="Arial" w:eastAsia="Arial" w:hAnsi="Arial" w:cs="Arial"/>
        </w:rPr>
        <w:t xml:space="preserve"> standard chemotherapy </w:t>
      </w:r>
      <w:r w:rsidR="008A1C5B">
        <w:rPr>
          <w:rFonts w:ascii="Arial" w:eastAsia="Arial" w:hAnsi="Arial" w:cs="Arial"/>
        </w:rPr>
        <w:t xml:space="preserve">occurred in </w:t>
      </w:r>
      <w:r w:rsidR="002D2DFC">
        <w:rPr>
          <w:rFonts w:ascii="Arial" w:eastAsia="Arial" w:hAnsi="Arial" w:cs="Arial"/>
        </w:rPr>
        <w:t xml:space="preserve">89% patients treated with upfront </w:t>
      </w:r>
      <w:r w:rsidR="00434CC9">
        <w:rPr>
          <w:rFonts w:ascii="Arial" w:eastAsia="Arial" w:hAnsi="Arial" w:cs="Arial"/>
        </w:rPr>
        <w:t xml:space="preserve">standard </w:t>
      </w:r>
      <w:r w:rsidR="002D2DFC">
        <w:rPr>
          <w:rFonts w:ascii="Arial" w:eastAsia="Arial" w:hAnsi="Arial" w:cs="Arial"/>
        </w:rPr>
        <w:t>full</w:t>
      </w:r>
      <w:r w:rsidR="009E6221">
        <w:rPr>
          <w:rFonts w:ascii="Arial" w:eastAsia="Arial" w:hAnsi="Arial" w:cs="Arial"/>
        </w:rPr>
        <w:t xml:space="preserve"> </w:t>
      </w:r>
      <w:r w:rsidR="002D2DFC">
        <w:rPr>
          <w:rFonts w:ascii="Arial" w:eastAsia="Arial" w:hAnsi="Arial" w:cs="Arial"/>
        </w:rPr>
        <w:t xml:space="preserve">dose chemotherapy </w:t>
      </w:r>
      <w:r w:rsidR="008A1C5B">
        <w:rPr>
          <w:rFonts w:ascii="Arial" w:eastAsia="Arial" w:hAnsi="Arial" w:cs="Arial"/>
        </w:rPr>
        <w:t>compared to</w:t>
      </w:r>
      <w:r w:rsidR="002D2DFC">
        <w:rPr>
          <w:rFonts w:ascii="Arial" w:eastAsia="Arial" w:hAnsi="Arial" w:cs="Arial"/>
        </w:rPr>
        <w:t xml:space="preserve"> 69% of patients who </w:t>
      </w:r>
      <w:r w:rsidR="00C425DB">
        <w:rPr>
          <w:rFonts w:ascii="Arial" w:eastAsia="Arial" w:hAnsi="Arial" w:cs="Arial"/>
        </w:rPr>
        <w:t>received</w:t>
      </w:r>
      <w:r w:rsidR="002D2DFC">
        <w:rPr>
          <w:rFonts w:ascii="Arial" w:eastAsia="Arial" w:hAnsi="Arial" w:cs="Arial"/>
        </w:rPr>
        <w:t xml:space="preserve"> initial attenuated chemotherapy with </w:t>
      </w:r>
      <w:r w:rsidR="003964E0">
        <w:rPr>
          <w:rFonts w:ascii="Arial" w:eastAsia="Arial" w:hAnsi="Arial" w:cs="Arial"/>
        </w:rPr>
        <w:t xml:space="preserve">subsequent </w:t>
      </w:r>
      <w:r w:rsidR="002D2DFC">
        <w:rPr>
          <w:rFonts w:ascii="Arial" w:eastAsia="Arial" w:hAnsi="Arial" w:cs="Arial"/>
        </w:rPr>
        <w:t xml:space="preserve">treatment escalation. Overall, there were 6 (2.6%) toxic deaths. </w:t>
      </w:r>
      <w:r w:rsidR="00F677DB">
        <w:rPr>
          <w:rFonts w:ascii="Arial" w:eastAsia="Arial" w:hAnsi="Arial" w:cs="Arial"/>
        </w:rPr>
        <w:t>The r</w:t>
      </w:r>
      <w:r w:rsidR="002D2DFC">
        <w:rPr>
          <w:rFonts w:ascii="Arial" w:eastAsia="Arial" w:hAnsi="Arial" w:cs="Arial"/>
        </w:rPr>
        <w:t xml:space="preserve">esponse rate to chemotherapy was 77%. The median OS </w:t>
      </w:r>
      <w:r w:rsidR="00C74C8A">
        <w:rPr>
          <w:rFonts w:ascii="Arial" w:eastAsia="Arial" w:hAnsi="Arial" w:cs="Arial"/>
        </w:rPr>
        <w:t>of</w:t>
      </w:r>
      <w:r w:rsidR="002D2DFC">
        <w:rPr>
          <w:rFonts w:ascii="Arial" w:eastAsia="Arial" w:hAnsi="Arial" w:cs="Arial"/>
        </w:rPr>
        <w:t xml:space="preserve"> the patients who received any chemotherapy was significantly longer at 6 months (95% CI, 4.</w:t>
      </w:r>
      <w:r w:rsidR="001E5509">
        <w:rPr>
          <w:rFonts w:ascii="Arial" w:eastAsia="Arial" w:hAnsi="Arial" w:cs="Arial"/>
        </w:rPr>
        <w:t>8</w:t>
      </w:r>
      <w:r w:rsidR="002D2DFC">
        <w:rPr>
          <w:rFonts w:ascii="Arial" w:eastAsia="Arial" w:hAnsi="Arial" w:cs="Arial"/>
        </w:rPr>
        <w:t>– 7.</w:t>
      </w:r>
      <w:r w:rsidR="00536622">
        <w:rPr>
          <w:rFonts w:ascii="Arial" w:eastAsia="Arial" w:hAnsi="Arial" w:cs="Arial"/>
        </w:rPr>
        <w:t>2</w:t>
      </w:r>
      <w:r w:rsidR="002D2DFC">
        <w:rPr>
          <w:rFonts w:ascii="Arial" w:eastAsia="Arial" w:hAnsi="Arial" w:cs="Arial"/>
        </w:rPr>
        <w:t xml:space="preserve">) compared to 1 month </w:t>
      </w:r>
      <w:r w:rsidR="00536622" w:rsidRPr="006905CE">
        <w:rPr>
          <w:rFonts w:ascii="Arial" w:eastAsia="Arial" w:hAnsi="Arial" w:cs="Arial"/>
        </w:rPr>
        <w:t xml:space="preserve">(95% CI, </w:t>
      </w:r>
      <w:r w:rsidR="001E5509">
        <w:rPr>
          <w:rFonts w:ascii="Arial" w:eastAsia="Arial" w:hAnsi="Arial" w:cs="Arial"/>
        </w:rPr>
        <w:t>0.4</w:t>
      </w:r>
      <w:r w:rsidR="00536622" w:rsidRPr="006905CE">
        <w:rPr>
          <w:rFonts w:ascii="Arial" w:eastAsia="Arial" w:hAnsi="Arial" w:cs="Arial"/>
        </w:rPr>
        <w:t xml:space="preserve"> – </w:t>
      </w:r>
      <w:r w:rsidR="001E5509">
        <w:rPr>
          <w:rFonts w:ascii="Arial" w:eastAsia="Arial" w:hAnsi="Arial" w:cs="Arial"/>
        </w:rPr>
        <w:t>1.6</w:t>
      </w:r>
      <w:r w:rsidR="00536622" w:rsidRPr="006905CE">
        <w:rPr>
          <w:rFonts w:ascii="Arial" w:eastAsia="Arial" w:hAnsi="Arial" w:cs="Arial"/>
        </w:rPr>
        <w:t xml:space="preserve"> months)</w:t>
      </w:r>
      <w:r w:rsidR="00536622">
        <w:rPr>
          <w:rFonts w:ascii="Arial" w:eastAsia="Arial" w:hAnsi="Arial" w:cs="Arial"/>
        </w:rPr>
        <w:t xml:space="preserve"> </w:t>
      </w:r>
      <w:r w:rsidR="002D2DFC">
        <w:rPr>
          <w:rFonts w:ascii="Arial" w:eastAsia="Arial" w:hAnsi="Arial" w:cs="Arial"/>
        </w:rPr>
        <w:t>in patients who were managed with BSC, P</w:t>
      </w:r>
      <w:r w:rsidR="002D2DFC">
        <w:rPr>
          <w:rFonts w:ascii="Arial" w:eastAsia="Arial" w:hAnsi="Arial" w:cs="Arial"/>
          <w:i/>
        </w:rPr>
        <w:t xml:space="preserve"> </w:t>
      </w:r>
      <w:r w:rsidR="002D2DFC">
        <w:rPr>
          <w:rFonts w:ascii="Arial" w:eastAsia="Arial" w:hAnsi="Arial" w:cs="Arial"/>
        </w:rPr>
        <w:t>&lt; 0.001; hazard ratio, 0.3</w:t>
      </w:r>
      <w:r w:rsidR="003A17A4">
        <w:rPr>
          <w:rFonts w:ascii="Arial" w:eastAsia="Arial" w:hAnsi="Arial" w:cs="Arial"/>
        </w:rPr>
        <w:t>9</w:t>
      </w:r>
      <w:r w:rsidR="002D2DFC">
        <w:rPr>
          <w:rFonts w:ascii="Arial" w:eastAsia="Arial" w:hAnsi="Arial" w:cs="Arial"/>
        </w:rPr>
        <w:t xml:space="preserve"> (95% CI, 0.2</w:t>
      </w:r>
      <w:r w:rsidR="003A17A4">
        <w:rPr>
          <w:rFonts w:ascii="Arial" w:eastAsia="Arial" w:hAnsi="Arial" w:cs="Arial"/>
        </w:rPr>
        <w:t>7</w:t>
      </w:r>
      <w:r w:rsidR="002D2DFC">
        <w:rPr>
          <w:rFonts w:ascii="Arial" w:eastAsia="Arial" w:hAnsi="Arial" w:cs="Arial"/>
        </w:rPr>
        <w:t xml:space="preserve"> - 0.5</w:t>
      </w:r>
      <w:r w:rsidR="003A17A4">
        <w:rPr>
          <w:rFonts w:ascii="Arial" w:eastAsia="Arial" w:hAnsi="Arial" w:cs="Arial"/>
        </w:rPr>
        <w:t>6</w:t>
      </w:r>
      <w:r w:rsidR="002D2DFC">
        <w:rPr>
          <w:rFonts w:ascii="Arial" w:eastAsia="Arial" w:hAnsi="Arial" w:cs="Arial"/>
        </w:rPr>
        <w:t xml:space="preserve">). </w:t>
      </w:r>
      <w:r w:rsidR="00866DDA">
        <w:rPr>
          <w:rFonts w:ascii="Arial" w:eastAsia="Arial" w:hAnsi="Arial" w:cs="Arial"/>
        </w:rPr>
        <w:t xml:space="preserve">The </w:t>
      </w:r>
      <w:r w:rsidR="002D2DFC">
        <w:rPr>
          <w:rFonts w:ascii="Arial" w:eastAsia="Arial" w:hAnsi="Arial" w:cs="Arial"/>
        </w:rPr>
        <w:t xml:space="preserve">disease stage, lactate dehydrogenase level and receipt of chemotherapy significantly impacted survival. </w:t>
      </w:r>
    </w:p>
    <w:p w14:paraId="1759F9D6" w14:textId="7B461883" w:rsidR="00CA0A75" w:rsidRDefault="000C4E20">
      <w:pPr>
        <w:spacing w:after="0" w:line="480" w:lineRule="auto"/>
        <w:rPr>
          <w:rFonts w:ascii="Arial" w:eastAsia="Arial" w:hAnsi="Arial" w:cs="Arial"/>
        </w:rPr>
      </w:pPr>
      <w:r w:rsidRPr="000C4E20">
        <w:rPr>
          <w:rFonts w:ascii="Arial" w:eastAsia="Arial" w:hAnsi="Arial" w:cs="Arial"/>
          <w:b/>
          <w:bCs/>
        </w:rPr>
        <w:lastRenderedPageBreak/>
        <w:t>Conclusion</w:t>
      </w:r>
      <w:r>
        <w:rPr>
          <w:rFonts w:ascii="Arial" w:eastAsia="Arial" w:hAnsi="Arial" w:cs="Arial"/>
        </w:rPr>
        <w:t>: C</w:t>
      </w:r>
      <w:r w:rsidR="002D2DFC">
        <w:rPr>
          <w:rFonts w:ascii="Arial" w:eastAsia="Arial" w:hAnsi="Arial" w:cs="Arial"/>
        </w:rPr>
        <w:t xml:space="preserve">hemotherapy prolongs survival in </w:t>
      </w:r>
      <w:r w:rsidR="00CC3A8F">
        <w:rPr>
          <w:rFonts w:ascii="Arial" w:eastAsia="Arial" w:hAnsi="Arial" w:cs="Arial"/>
        </w:rPr>
        <w:t xml:space="preserve">patients with SCLC and </w:t>
      </w:r>
      <w:r w:rsidR="002D2DFC">
        <w:rPr>
          <w:rFonts w:ascii="Arial" w:eastAsia="Arial" w:hAnsi="Arial" w:cs="Arial"/>
        </w:rPr>
        <w:t xml:space="preserve">poor PS. Administering an initial attenuated chemotherapy regimen followed by </w:t>
      </w:r>
      <w:r w:rsidR="00B9194A">
        <w:rPr>
          <w:rFonts w:ascii="Arial" w:eastAsia="Arial" w:hAnsi="Arial" w:cs="Arial"/>
        </w:rPr>
        <w:t xml:space="preserve">standard </w:t>
      </w:r>
      <w:r w:rsidR="002D2DFC">
        <w:rPr>
          <w:rFonts w:ascii="Arial" w:eastAsia="Arial" w:hAnsi="Arial" w:cs="Arial"/>
        </w:rPr>
        <w:t xml:space="preserve">full-dose chemotherapy when </w:t>
      </w:r>
      <w:r w:rsidR="00D544A2">
        <w:rPr>
          <w:rFonts w:ascii="Arial" w:eastAsia="Arial" w:hAnsi="Arial" w:cs="Arial"/>
        </w:rPr>
        <w:t xml:space="preserve">the </w:t>
      </w:r>
      <w:r w:rsidR="002D2DFC">
        <w:rPr>
          <w:rFonts w:ascii="Arial" w:eastAsia="Arial" w:hAnsi="Arial" w:cs="Arial"/>
        </w:rPr>
        <w:t xml:space="preserve">PS improves may </w:t>
      </w:r>
      <w:r w:rsidR="00C612D9">
        <w:rPr>
          <w:rFonts w:ascii="Arial" w:eastAsia="Arial" w:hAnsi="Arial" w:cs="Arial"/>
        </w:rPr>
        <w:t xml:space="preserve">lower toxicity and </w:t>
      </w:r>
      <w:r w:rsidR="002D2DFC">
        <w:rPr>
          <w:rFonts w:ascii="Arial" w:eastAsia="Arial" w:hAnsi="Arial" w:cs="Arial"/>
        </w:rPr>
        <w:t>improve tolerance.</w:t>
      </w:r>
    </w:p>
    <w:p w14:paraId="71D24F6B" w14:textId="77777777" w:rsidR="00CA0A75" w:rsidRDefault="00CA0A75">
      <w:pPr>
        <w:spacing w:after="0" w:line="480" w:lineRule="auto"/>
        <w:rPr>
          <w:rFonts w:ascii="Arial" w:eastAsia="Arial" w:hAnsi="Arial" w:cs="Arial"/>
        </w:rPr>
      </w:pPr>
    </w:p>
    <w:p w14:paraId="140F2361" w14:textId="77777777" w:rsidR="00CA0A75" w:rsidRDefault="002D2DFC">
      <w:pPr>
        <w:spacing w:after="0" w:line="480" w:lineRule="auto"/>
        <w:rPr>
          <w:rFonts w:ascii="Arial" w:eastAsia="Arial" w:hAnsi="Arial" w:cs="Arial"/>
        </w:rPr>
      </w:pPr>
      <w:r>
        <w:rPr>
          <w:rFonts w:ascii="Arial" w:eastAsia="Arial" w:hAnsi="Arial" w:cs="Arial"/>
          <w:b/>
        </w:rPr>
        <w:t>Keywords</w:t>
      </w:r>
      <w:r>
        <w:rPr>
          <w:rFonts w:ascii="Arial" w:eastAsia="Arial" w:hAnsi="Arial" w:cs="Arial"/>
        </w:rPr>
        <w:t xml:space="preserve">: </w:t>
      </w:r>
    </w:p>
    <w:p w14:paraId="23CCEE8C" w14:textId="77777777" w:rsidR="00CA0A75" w:rsidRDefault="002D2DFC">
      <w:pPr>
        <w:spacing w:after="0" w:line="480" w:lineRule="auto"/>
        <w:rPr>
          <w:rFonts w:ascii="Arial" w:eastAsia="Arial" w:hAnsi="Arial" w:cs="Arial"/>
          <w:color w:val="333333"/>
          <w:highlight w:val="white"/>
        </w:rPr>
      </w:pPr>
      <w:r>
        <w:rPr>
          <w:rFonts w:ascii="Arial" w:eastAsia="Arial" w:hAnsi="Arial" w:cs="Arial"/>
        </w:rPr>
        <w:t xml:space="preserve">SCLC; </w:t>
      </w:r>
      <w:r>
        <w:rPr>
          <w:rFonts w:ascii="Arial" w:eastAsia="Arial" w:hAnsi="Arial" w:cs="Arial"/>
          <w:color w:val="333333"/>
          <w:highlight w:val="white"/>
        </w:rPr>
        <w:t xml:space="preserve">Small Cell Lung Carcinoma; performance status; poor PS; compromised PS, small cell </w:t>
      </w:r>
    </w:p>
    <w:p w14:paraId="07E82E14" w14:textId="77777777" w:rsidR="00CA0A75" w:rsidRDefault="00CA0A75">
      <w:pPr>
        <w:spacing w:after="0" w:line="480" w:lineRule="auto"/>
        <w:rPr>
          <w:rFonts w:ascii="Arial" w:eastAsia="Arial" w:hAnsi="Arial" w:cs="Arial"/>
          <w:b/>
        </w:rPr>
      </w:pPr>
    </w:p>
    <w:p w14:paraId="713C7819" w14:textId="77777777" w:rsidR="00CA0A75" w:rsidRDefault="002D2DFC">
      <w:pPr>
        <w:spacing w:after="0" w:line="480" w:lineRule="auto"/>
        <w:rPr>
          <w:rFonts w:ascii="Arial" w:eastAsia="Arial" w:hAnsi="Arial" w:cs="Arial"/>
          <w:b/>
        </w:rPr>
      </w:pPr>
      <w:r>
        <w:rPr>
          <w:rFonts w:ascii="Arial" w:eastAsia="Arial" w:hAnsi="Arial" w:cs="Arial"/>
          <w:b/>
        </w:rPr>
        <w:t>Introduction</w:t>
      </w:r>
    </w:p>
    <w:p w14:paraId="7174DCE9" w14:textId="37DF043F" w:rsidR="005C082C" w:rsidRDefault="002D2DFC">
      <w:pPr>
        <w:spacing w:after="0" w:line="480" w:lineRule="auto"/>
        <w:rPr>
          <w:rFonts w:ascii="Arial" w:eastAsia="Arial" w:hAnsi="Arial" w:cs="Arial"/>
          <w:color w:val="000000"/>
        </w:rPr>
      </w:pPr>
      <w:r>
        <w:rPr>
          <w:rFonts w:ascii="Arial" w:eastAsia="Arial" w:hAnsi="Arial" w:cs="Arial"/>
        </w:rPr>
        <w:t xml:space="preserve">Poor performance status (PS), i.e. PS 3 or 4 is not uncommon in </w:t>
      </w:r>
      <w:r w:rsidR="00B011E5">
        <w:rPr>
          <w:rFonts w:ascii="Arial" w:eastAsia="Arial" w:hAnsi="Arial" w:cs="Arial"/>
        </w:rPr>
        <w:t xml:space="preserve">patients with </w:t>
      </w:r>
      <w:r>
        <w:rPr>
          <w:rFonts w:ascii="Arial" w:eastAsia="Arial" w:hAnsi="Arial" w:cs="Arial"/>
        </w:rPr>
        <w:t>small cell lung cancer (SCLC), but management has not been clearly defined. All the landmark trials that established the role of chemotherapy in SCLC were c</w:t>
      </w:r>
      <w:r w:rsidR="00F33E15">
        <w:rPr>
          <w:rFonts w:ascii="Arial" w:eastAsia="Arial" w:hAnsi="Arial" w:cs="Arial"/>
        </w:rPr>
        <w:t>onducted</w:t>
      </w:r>
      <w:r>
        <w:rPr>
          <w:rFonts w:ascii="Arial" w:eastAsia="Arial" w:hAnsi="Arial" w:cs="Arial"/>
        </w:rPr>
        <w:t xml:space="preserve"> in </w:t>
      </w:r>
      <w:r w:rsidR="00F31C2F">
        <w:rPr>
          <w:rFonts w:ascii="Arial" w:eastAsia="Arial" w:hAnsi="Arial" w:cs="Arial"/>
        </w:rPr>
        <w:t xml:space="preserve">patients with </w:t>
      </w:r>
      <w:r>
        <w:rPr>
          <w:rFonts w:ascii="Arial" w:eastAsia="Arial" w:hAnsi="Arial" w:cs="Arial"/>
        </w:rPr>
        <w:t>good PS (Eastern Cooperative Oncology Group or ECOG PS 0 to 2) [1-3].</w:t>
      </w:r>
      <w:r>
        <w:rPr>
          <w:rFonts w:ascii="Arial" w:eastAsia="Arial" w:hAnsi="Arial" w:cs="Arial"/>
          <w:vertAlign w:val="superscript"/>
        </w:rPr>
        <w:t xml:space="preserve"> </w:t>
      </w:r>
      <w:r>
        <w:rPr>
          <w:rFonts w:ascii="Arial" w:eastAsia="Arial" w:hAnsi="Arial" w:cs="Arial"/>
          <w:color w:val="000000"/>
          <w:highlight w:val="white"/>
        </w:rPr>
        <w:t>T</w:t>
      </w:r>
      <w:r>
        <w:rPr>
          <w:rFonts w:ascii="Arial" w:eastAsia="Arial" w:hAnsi="Arial" w:cs="Arial"/>
        </w:rPr>
        <w:t xml:space="preserve">here are practically no studies that systematically </w:t>
      </w:r>
      <w:r w:rsidR="00021763">
        <w:rPr>
          <w:rFonts w:ascii="Arial" w:eastAsia="Arial" w:hAnsi="Arial" w:cs="Arial"/>
        </w:rPr>
        <w:t>evaluate</w:t>
      </w:r>
      <w:r>
        <w:rPr>
          <w:rFonts w:ascii="Arial" w:eastAsia="Arial" w:hAnsi="Arial" w:cs="Arial"/>
        </w:rPr>
        <w:t xml:space="preserve"> the risk-benefit ratio of chemotherapy in </w:t>
      </w:r>
      <w:r w:rsidR="00D53C41">
        <w:rPr>
          <w:rFonts w:ascii="Arial" w:eastAsia="Arial" w:hAnsi="Arial" w:cs="Arial"/>
        </w:rPr>
        <w:t xml:space="preserve">patients with </w:t>
      </w:r>
      <w:r>
        <w:rPr>
          <w:rFonts w:ascii="Arial" w:eastAsia="Arial" w:hAnsi="Arial" w:cs="Arial"/>
        </w:rPr>
        <w:t xml:space="preserve">SCLC </w:t>
      </w:r>
      <w:r w:rsidR="00D53C41">
        <w:rPr>
          <w:rFonts w:ascii="Arial" w:eastAsia="Arial" w:hAnsi="Arial" w:cs="Arial"/>
        </w:rPr>
        <w:t>and</w:t>
      </w:r>
      <w:r>
        <w:rPr>
          <w:rFonts w:ascii="Arial" w:eastAsia="Arial" w:hAnsi="Arial" w:cs="Arial"/>
        </w:rPr>
        <w:t xml:space="preserve"> poor PS.</w:t>
      </w:r>
      <w:r w:rsidR="001A55BC">
        <w:rPr>
          <w:rFonts w:ascii="Arial" w:eastAsia="Arial" w:hAnsi="Arial" w:cs="Arial"/>
        </w:rPr>
        <w:t xml:space="preserve"> </w:t>
      </w:r>
      <w:r w:rsidDel="00403192">
        <w:rPr>
          <w:rFonts w:ascii="Arial" w:eastAsia="Arial" w:hAnsi="Arial" w:cs="Arial"/>
        </w:rPr>
        <w:t xml:space="preserve">A retrospective analysis </w:t>
      </w:r>
      <w:r w:rsidR="00826DC8">
        <w:rPr>
          <w:rFonts w:ascii="Arial" w:eastAsia="Arial" w:hAnsi="Arial" w:cs="Arial"/>
        </w:rPr>
        <w:t xml:space="preserve">from Brazil </w:t>
      </w:r>
      <w:r w:rsidDel="00403192">
        <w:rPr>
          <w:rFonts w:ascii="Arial" w:eastAsia="Arial" w:hAnsi="Arial" w:cs="Arial"/>
        </w:rPr>
        <w:t xml:space="preserve">in 40 patients </w:t>
      </w:r>
      <w:r w:rsidR="002D595E">
        <w:rPr>
          <w:rFonts w:ascii="Arial" w:eastAsia="Arial" w:hAnsi="Arial" w:cs="Arial"/>
        </w:rPr>
        <w:t xml:space="preserve">with SCLC and PS of 3 or 4 </w:t>
      </w:r>
      <w:r w:rsidR="007F4697">
        <w:rPr>
          <w:rFonts w:ascii="Arial" w:eastAsia="Arial" w:hAnsi="Arial" w:cs="Arial"/>
        </w:rPr>
        <w:t xml:space="preserve">who were treated with chemotherapy </w:t>
      </w:r>
      <w:r w:rsidDel="00403192">
        <w:rPr>
          <w:rFonts w:ascii="Arial" w:eastAsia="Arial" w:hAnsi="Arial" w:cs="Arial"/>
        </w:rPr>
        <w:t xml:space="preserve">concluded that the median </w:t>
      </w:r>
      <w:r w:rsidR="009C4F98" w:rsidDel="00403192">
        <w:rPr>
          <w:rFonts w:ascii="Arial" w:eastAsia="Arial" w:hAnsi="Arial" w:cs="Arial"/>
        </w:rPr>
        <w:t xml:space="preserve">overall </w:t>
      </w:r>
      <w:r w:rsidDel="00403192">
        <w:rPr>
          <w:rFonts w:ascii="Arial" w:eastAsia="Arial" w:hAnsi="Arial" w:cs="Arial"/>
        </w:rPr>
        <w:t xml:space="preserve">survival </w:t>
      </w:r>
      <w:r w:rsidR="009C4F98" w:rsidDel="00403192">
        <w:rPr>
          <w:rFonts w:ascii="Arial" w:eastAsia="Arial" w:hAnsi="Arial" w:cs="Arial"/>
        </w:rPr>
        <w:t xml:space="preserve">(OS) </w:t>
      </w:r>
      <w:r w:rsidDel="00403192">
        <w:rPr>
          <w:rFonts w:ascii="Arial" w:eastAsia="Arial" w:hAnsi="Arial" w:cs="Arial"/>
        </w:rPr>
        <w:t>was poor (</w:t>
      </w:r>
      <w:r w:rsidDel="00403192">
        <w:rPr>
          <w:rFonts w:ascii="Arial" w:eastAsia="Arial" w:hAnsi="Arial" w:cs="Arial"/>
          <w:color w:val="000000"/>
          <w:highlight w:val="white"/>
        </w:rPr>
        <w:t xml:space="preserve">64 days for </w:t>
      </w:r>
      <w:r w:rsidR="00F407C5" w:rsidDel="00403192">
        <w:rPr>
          <w:rFonts w:ascii="Arial" w:eastAsia="Arial" w:hAnsi="Arial" w:cs="Arial"/>
          <w:color w:val="000000"/>
          <w:highlight w:val="white"/>
        </w:rPr>
        <w:t xml:space="preserve">patients with </w:t>
      </w:r>
      <w:r w:rsidDel="00403192">
        <w:rPr>
          <w:rFonts w:ascii="Arial" w:eastAsia="Arial" w:hAnsi="Arial" w:cs="Arial"/>
          <w:color w:val="000000"/>
          <w:highlight w:val="white"/>
        </w:rPr>
        <w:t xml:space="preserve">ECOG PS 3 and 7 days for </w:t>
      </w:r>
      <w:r w:rsidR="00F407C5" w:rsidDel="00403192">
        <w:rPr>
          <w:rFonts w:ascii="Arial" w:eastAsia="Arial" w:hAnsi="Arial" w:cs="Arial"/>
          <w:color w:val="000000"/>
          <w:highlight w:val="white"/>
        </w:rPr>
        <w:t xml:space="preserve">patients with </w:t>
      </w:r>
      <w:r w:rsidDel="00403192">
        <w:rPr>
          <w:rFonts w:ascii="Arial" w:eastAsia="Arial" w:hAnsi="Arial" w:cs="Arial"/>
          <w:color w:val="000000"/>
          <w:highlight w:val="white"/>
        </w:rPr>
        <w:t>ECOG PS 4) with many early deaths</w:t>
      </w:r>
      <w:r w:rsidR="00A70D11">
        <w:rPr>
          <w:rFonts w:ascii="Arial" w:eastAsia="Arial" w:hAnsi="Arial" w:cs="Arial"/>
          <w:color w:val="000000"/>
          <w:highlight w:val="white"/>
        </w:rPr>
        <w:t>.</w:t>
      </w:r>
      <w:r w:rsidDel="00403192">
        <w:rPr>
          <w:rFonts w:ascii="Arial" w:eastAsia="Arial" w:hAnsi="Arial" w:cs="Arial"/>
          <w:color w:val="000000"/>
          <w:highlight w:val="white"/>
        </w:rPr>
        <w:t xml:space="preserve"> </w:t>
      </w:r>
      <w:r w:rsidR="00A70D11">
        <w:rPr>
          <w:rFonts w:ascii="Arial" w:eastAsia="Arial" w:hAnsi="Arial" w:cs="Arial"/>
          <w:color w:val="000000"/>
          <w:highlight w:val="white"/>
        </w:rPr>
        <w:t>T</w:t>
      </w:r>
      <w:r w:rsidDel="00403192">
        <w:rPr>
          <w:rFonts w:ascii="Arial" w:eastAsia="Arial" w:hAnsi="Arial" w:cs="Arial"/>
          <w:color w:val="000000"/>
          <w:highlight w:val="white"/>
        </w:rPr>
        <w:t xml:space="preserve">he authors recommended more studies to determine the best treatment for these patients and to minimize early treatment-related mortality [4]. </w:t>
      </w:r>
    </w:p>
    <w:p w14:paraId="37D8582F" w14:textId="100A4D74" w:rsidR="00CA0A75" w:rsidRDefault="002D2DFC">
      <w:pPr>
        <w:spacing w:after="0" w:line="480" w:lineRule="auto"/>
        <w:rPr>
          <w:rFonts w:ascii="Arial" w:eastAsia="Arial" w:hAnsi="Arial" w:cs="Arial"/>
        </w:rPr>
      </w:pPr>
      <w:r>
        <w:rPr>
          <w:rFonts w:ascii="Arial" w:eastAsia="Arial" w:hAnsi="Arial" w:cs="Arial"/>
        </w:rPr>
        <w:t xml:space="preserve">The National Comprehensive Cancer Network (NCCN) guidelines recommend the use of systemic chemotherapy in </w:t>
      </w:r>
      <w:r w:rsidR="005035C8">
        <w:rPr>
          <w:rFonts w:ascii="Arial" w:eastAsia="Arial" w:hAnsi="Arial" w:cs="Arial"/>
        </w:rPr>
        <w:t xml:space="preserve">patients with </w:t>
      </w:r>
      <w:r>
        <w:rPr>
          <w:rFonts w:ascii="Arial" w:eastAsia="Arial" w:hAnsi="Arial" w:cs="Arial"/>
        </w:rPr>
        <w:t xml:space="preserve">SCLC with PS 3 or 4, if the poor PS </w:t>
      </w:r>
      <w:r w:rsidR="00887FD0">
        <w:rPr>
          <w:rFonts w:ascii="Arial" w:eastAsia="Arial" w:hAnsi="Arial" w:cs="Arial"/>
        </w:rPr>
        <w:t>is because of</w:t>
      </w:r>
      <w:r>
        <w:rPr>
          <w:rFonts w:ascii="Arial" w:eastAsia="Arial" w:hAnsi="Arial" w:cs="Arial"/>
        </w:rPr>
        <w:t xml:space="preserve"> </w:t>
      </w:r>
      <w:r w:rsidR="00AC5CBC">
        <w:rPr>
          <w:rFonts w:ascii="Arial" w:eastAsia="Arial" w:hAnsi="Arial" w:cs="Arial"/>
        </w:rPr>
        <w:t xml:space="preserve">the </w:t>
      </w:r>
      <w:r>
        <w:rPr>
          <w:rFonts w:ascii="Arial" w:eastAsia="Arial" w:hAnsi="Arial" w:cs="Arial"/>
        </w:rPr>
        <w:t xml:space="preserve">disease, </w:t>
      </w:r>
      <w:r w:rsidR="00591BF4">
        <w:rPr>
          <w:rFonts w:ascii="Arial" w:eastAsia="Arial" w:hAnsi="Arial" w:cs="Arial"/>
        </w:rPr>
        <w:t>rather than secondary to</w:t>
      </w:r>
      <w:r>
        <w:rPr>
          <w:rFonts w:ascii="Arial" w:eastAsia="Arial" w:hAnsi="Arial" w:cs="Arial"/>
        </w:rPr>
        <w:t xml:space="preserve"> comorbidities [</w:t>
      </w:r>
      <w:r w:rsidR="001C01F5">
        <w:rPr>
          <w:rFonts w:ascii="Arial" w:eastAsia="Arial" w:hAnsi="Arial" w:cs="Arial"/>
        </w:rPr>
        <w:t>5</w:t>
      </w:r>
      <w:r>
        <w:rPr>
          <w:rFonts w:ascii="Arial" w:eastAsia="Arial" w:hAnsi="Arial" w:cs="Arial"/>
        </w:rPr>
        <w:t xml:space="preserve">], however to the best of our knowledge, there is no </w:t>
      </w:r>
      <w:r w:rsidR="00407F62">
        <w:rPr>
          <w:rFonts w:ascii="Arial" w:eastAsia="Arial" w:hAnsi="Arial" w:cs="Arial"/>
        </w:rPr>
        <w:t xml:space="preserve">randomized </w:t>
      </w:r>
      <w:r>
        <w:rPr>
          <w:rFonts w:ascii="Arial" w:eastAsia="Arial" w:hAnsi="Arial" w:cs="Arial"/>
        </w:rPr>
        <w:t>study that proves th</w:t>
      </w:r>
      <w:r w:rsidR="00A84B98">
        <w:rPr>
          <w:rFonts w:ascii="Arial" w:eastAsia="Arial" w:hAnsi="Arial" w:cs="Arial"/>
        </w:rPr>
        <w:t>at</w:t>
      </w:r>
      <w:r>
        <w:rPr>
          <w:rFonts w:ascii="Arial" w:eastAsia="Arial" w:hAnsi="Arial" w:cs="Arial"/>
        </w:rPr>
        <w:t xml:space="preserve"> chemotherapy </w:t>
      </w:r>
      <w:r w:rsidR="00015FF0">
        <w:rPr>
          <w:rFonts w:ascii="Arial" w:eastAsia="Arial" w:hAnsi="Arial" w:cs="Arial"/>
        </w:rPr>
        <w:t>prolongs</w:t>
      </w:r>
      <w:r>
        <w:rPr>
          <w:rFonts w:ascii="Arial" w:eastAsia="Arial" w:hAnsi="Arial" w:cs="Arial"/>
        </w:rPr>
        <w:t xml:space="preserve"> survival in </w:t>
      </w:r>
      <w:r w:rsidR="00CC3A8F">
        <w:rPr>
          <w:rFonts w:ascii="Arial" w:eastAsia="Arial" w:hAnsi="Arial" w:cs="Arial"/>
        </w:rPr>
        <w:t xml:space="preserve">patients with </w:t>
      </w:r>
      <w:r>
        <w:rPr>
          <w:rFonts w:ascii="Arial" w:eastAsia="Arial" w:hAnsi="Arial" w:cs="Arial"/>
        </w:rPr>
        <w:t xml:space="preserve">SCLC </w:t>
      </w:r>
      <w:r w:rsidR="00CC3A8F">
        <w:rPr>
          <w:rFonts w:ascii="Arial" w:eastAsia="Arial" w:hAnsi="Arial" w:cs="Arial"/>
        </w:rPr>
        <w:t>and</w:t>
      </w:r>
      <w:r>
        <w:rPr>
          <w:rFonts w:ascii="Arial" w:eastAsia="Arial" w:hAnsi="Arial" w:cs="Arial"/>
        </w:rPr>
        <w:t xml:space="preserve"> poor PS. </w:t>
      </w:r>
      <w:r w:rsidR="00073636">
        <w:rPr>
          <w:rFonts w:ascii="Arial" w:eastAsia="Arial" w:hAnsi="Arial" w:cs="Arial"/>
        </w:rPr>
        <w:t>We therefore aimed to evaluate the optimal treatment in this poor prognosis group of patients.</w:t>
      </w:r>
    </w:p>
    <w:p w14:paraId="01BBDBB8" w14:textId="77777777" w:rsidR="00CA0A75" w:rsidRDefault="00CA0A75">
      <w:pPr>
        <w:spacing w:after="0" w:line="480" w:lineRule="auto"/>
        <w:rPr>
          <w:rFonts w:ascii="Arial" w:eastAsia="Arial" w:hAnsi="Arial" w:cs="Arial"/>
        </w:rPr>
      </w:pPr>
    </w:p>
    <w:p w14:paraId="1EE8D0C0" w14:textId="77777777" w:rsidR="00CA0A75" w:rsidRDefault="002D2DFC">
      <w:pPr>
        <w:spacing w:after="0" w:line="480" w:lineRule="auto"/>
        <w:rPr>
          <w:rFonts w:ascii="Arial" w:eastAsia="Arial" w:hAnsi="Arial" w:cs="Arial"/>
        </w:rPr>
      </w:pPr>
      <w:r>
        <w:rPr>
          <w:rFonts w:ascii="Arial" w:eastAsia="Arial" w:hAnsi="Arial" w:cs="Arial"/>
          <w:b/>
        </w:rPr>
        <w:t>Materials and methods</w:t>
      </w:r>
    </w:p>
    <w:p w14:paraId="649D245A" w14:textId="77777777" w:rsidR="00CA0A75" w:rsidRDefault="002D2DFC">
      <w:pPr>
        <w:spacing w:after="0" w:line="480" w:lineRule="auto"/>
        <w:rPr>
          <w:rFonts w:ascii="Arial" w:eastAsia="Arial" w:hAnsi="Arial" w:cs="Arial"/>
          <w:i/>
        </w:rPr>
      </w:pPr>
      <w:r>
        <w:rPr>
          <w:rFonts w:ascii="Arial" w:eastAsia="Arial" w:hAnsi="Arial" w:cs="Arial"/>
          <w:i/>
        </w:rPr>
        <w:t>Trial design and eligibility criteria</w:t>
      </w:r>
    </w:p>
    <w:p w14:paraId="7B886FED" w14:textId="764A217F" w:rsidR="00CA0A75" w:rsidRDefault="008E0CFE">
      <w:pPr>
        <w:spacing w:after="0" w:line="480" w:lineRule="auto"/>
        <w:rPr>
          <w:rFonts w:ascii="Arial" w:eastAsia="Arial" w:hAnsi="Arial" w:cs="Arial"/>
        </w:rPr>
      </w:pPr>
      <w:r>
        <w:rPr>
          <w:rFonts w:ascii="Arial" w:eastAsia="Arial" w:hAnsi="Arial" w:cs="Arial"/>
        </w:rPr>
        <w:lastRenderedPageBreak/>
        <w:t xml:space="preserve">This </w:t>
      </w:r>
      <w:r w:rsidR="00463273">
        <w:rPr>
          <w:rFonts w:ascii="Arial" w:eastAsia="Arial" w:hAnsi="Arial" w:cs="Arial"/>
        </w:rPr>
        <w:t>wa</w:t>
      </w:r>
      <w:r>
        <w:rPr>
          <w:rFonts w:ascii="Arial" w:eastAsia="Arial" w:hAnsi="Arial" w:cs="Arial"/>
        </w:rPr>
        <w:t xml:space="preserve">s a retrospective analysis of </w:t>
      </w:r>
      <w:r w:rsidR="002D2DFC">
        <w:rPr>
          <w:rFonts w:ascii="Arial" w:eastAsia="Arial" w:hAnsi="Arial" w:cs="Arial"/>
        </w:rPr>
        <w:t xml:space="preserve">an observational study </w:t>
      </w:r>
      <w:r w:rsidR="0055297E">
        <w:rPr>
          <w:rFonts w:ascii="Arial" w:eastAsia="Arial" w:hAnsi="Arial" w:cs="Arial"/>
        </w:rPr>
        <w:t xml:space="preserve">conducted </w:t>
      </w:r>
      <w:r w:rsidR="002D2DFC">
        <w:rPr>
          <w:rFonts w:ascii="Arial" w:eastAsia="Arial" w:hAnsi="Arial" w:cs="Arial"/>
        </w:rPr>
        <w:t xml:space="preserve">in the department of medical oncology at </w:t>
      </w:r>
      <w:r w:rsidR="00082AD8">
        <w:rPr>
          <w:rFonts w:ascii="Arial" w:eastAsia="Arial" w:hAnsi="Arial" w:cs="Arial"/>
        </w:rPr>
        <w:t xml:space="preserve">the </w:t>
      </w:r>
      <w:r w:rsidR="002D2DFC">
        <w:rPr>
          <w:rFonts w:ascii="Arial" w:eastAsia="Arial" w:hAnsi="Arial" w:cs="Arial"/>
        </w:rPr>
        <w:t xml:space="preserve">Tata Memorial Hospital (TMH) in Mumbai, India. From June 2010 onwards, we prospectively maintained a database of patients with SCLC and poor PS. Eligibility criteria for inclusion were a histologic or cytologic diagnosis of SCLC, ECOG PS of 3 or 4 and no prior administration of chemotherapy. The database was maintained in Microsoft Excel format. The details entered included the patient demographics, disease-related details, investigations, treatment planned, treatment delivered, symptoms, toxicity, </w:t>
      </w:r>
      <w:proofErr w:type="gramStart"/>
      <w:r w:rsidR="002D2DFC">
        <w:rPr>
          <w:rFonts w:ascii="Arial" w:eastAsia="Arial" w:hAnsi="Arial" w:cs="Arial"/>
        </w:rPr>
        <w:t>relapse</w:t>
      </w:r>
      <w:proofErr w:type="gramEnd"/>
      <w:r w:rsidR="002D2DFC">
        <w:rPr>
          <w:rFonts w:ascii="Arial" w:eastAsia="Arial" w:hAnsi="Arial" w:cs="Arial"/>
        </w:rPr>
        <w:t xml:space="preserve"> and survival information. </w:t>
      </w:r>
    </w:p>
    <w:p w14:paraId="379C1FB8" w14:textId="60C1858C" w:rsidR="00CA0A75" w:rsidRPr="002B2F59" w:rsidRDefault="002D2DFC" w:rsidP="000D3339">
      <w:pPr>
        <w:spacing w:after="0" w:line="480" w:lineRule="auto"/>
        <w:rPr>
          <w:rFonts w:ascii="Arial" w:eastAsia="Arial" w:hAnsi="Arial" w:cs="Arial"/>
        </w:rPr>
      </w:pPr>
      <w:r>
        <w:rPr>
          <w:rFonts w:ascii="Arial" w:eastAsia="Arial" w:hAnsi="Arial" w:cs="Arial"/>
        </w:rPr>
        <w:t xml:space="preserve">The study was approved by the Institutional Ethics Committee (IEC) of TMH. </w:t>
      </w:r>
      <w:r w:rsidR="00061113">
        <w:rPr>
          <w:rFonts w:ascii="Arial" w:eastAsia="Arial" w:hAnsi="Arial" w:cs="Arial"/>
        </w:rPr>
        <w:t>As this was a retrospective analysis, t</w:t>
      </w:r>
      <w:r>
        <w:rPr>
          <w:rFonts w:ascii="Arial" w:eastAsia="Arial" w:hAnsi="Arial" w:cs="Arial"/>
        </w:rPr>
        <w:t>he requirement of obtaining informed consent was waived by the IEC. The study was registered with the Clinical Trials Registry of India (</w:t>
      </w:r>
      <w:r>
        <w:rPr>
          <w:rFonts w:ascii="Arial" w:eastAsia="Arial" w:hAnsi="Arial" w:cs="Arial"/>
          <w:color w:val="222222"/>
          <w:highlight w:val="white"/>
        </w:rPr>
        <w:t>CTRI/2017/12/010918</w:t>
      </w:r>
      <w:r>
        <w:rPr>
          <w:rFonts w:ascii="Arial" w:eastAsia="Arial" w:hAnsi="Arial" w:cs="Arial"/>
        </w:rPr>
        <w:t xml:space="preserve">). The study was conducted according to the principles laid down by the International Conference on Harmonization Good Clinical Practice guidelines, </w:t>
      </w:r>
      <w:r w:rsidR="000D3339">
        <w:rPr>
          <w:rFonts w:ascii="Arial" w:eastAsia="Arial" w:hAnsi="Arial" w:cs="Arial"/>
        </w:rPr>
        <w:t xml:space="preserve">and </w:t>
      </w:r>
      <w:r>
        <w:rPr>
          <w:rFonts w:ascii="Arial" w:eastAsia="Arial" w:hAnsi="Arial" w:cs="Arial"/>
        </w:rPr>
        <w:t>the Declaration of Helsinki</w:t>
      </w:r>
      <w:r w:rsidR="000D3339">
        <w:rPr>
          <w:rFonts w:ascii="Arial" w:eastAsia="Arial" w:hAnsi="Arial" w:cs="Arial"/>
        </w:rPr>
        <w:t>.</w:t>
      </w:r>
      <w:r>
        <w:rPr>
          <w:rFonts w:ascii="Arial" w:eastAsia="Arial" w:hAnsi="Arial" w:cs="Arial"/>
        </w:rPr>
        <w:t xml:space="preserve"> </w:t>
      </w:r>
    </w:p>
    <w:p w14:paraId="498076AD" w14:textId="77777777" w:rsidR="00583581" w:rsidRDefault="00583581">
      <w:pPr>
        <w:pStyle w:val="Heading1"/>
        <w:spacing w:line="480" w:lineRule="auto"/>
        <w:rPr>
          <w:rFonts w:ascii="Arial" w:eastAsia="Arial" w:hAnsi="Arial" w:cs="Arial"/>
          <w:i/>
          <w:u w:val="none"/>
        </w:rPr>
      </w:pPr>
    </w:p>
    <w:p w14:paraId="7B79A69D" w14:textId="206122CB" w:rsidR="00CA0A75" w:rsidRDefault="002D2DFC">
      <w:pPr>
        <w:pStyle w:val="Heading1"/>
        <w:spacing w:line="480" w:lineRule="auto"/>
        <w:rPr>
          <w:rFonts w:ascii="Arial" w:eastAsia="Arial" w:hAnsi="Arial" w:cs="Arial"/>
          <w:i/>
        </w:rPr>
      </w:pPr>
      <w:r>
        <w:rPr>
          <w:rFonts w:ascii="Arial" w:eastAsia="Arial" w:hAnsi="Arial" w:cs="Arial"/>
          <w:i/>
          <w:u w:val="none"/>
        </w:rPr>
        <w:t>Study procedures</w:t>
      </w:r>
    </w:p>
    <w:p w14:paraId="04F9CDE6" w14:textId="0EC56F8C" w:rsidR="00CA0A75" w:rsidRDefault="002D2DFC">
      <w:pPr>
        <w:spacing w:after="0" w:line="480" w:lineRule="auto"/>
        <w:jc w:val="both"/>
        <w:rPr>
          <w:rFonts w:ascii="Arial" w:eastAsia="Arial" w:hAnsi="Arial" w:cs="Arial"/>
          <w:b/>
          <w:i/>
          <w:u w:val="single"/>
        </w:rPr>
      </w:pPr>
      <w:r>
        <w:rPr>
          <w:rFonts w:ascii="Arial" w:eastAsia="Arial" w:hAnsi="Arial" w:cs="Arial"/>
        </w:rPr>
        <w:t xml:space="preserve">This was an observational study; we recorded the patient-, treatment-, and outcome-related details in the database, but no changes were made in the management. Patients were evaluated in the multidisciplinary thoracic oncology disease management tumor board; investigations and therapy were decided by the treating team. All patients </w:t>
      </w:r>
      <w:r w:rsidR="00D55161">
        <w:rPr>
          <w:rFonts w:ascii="Arial" w:eastAsia="Arial" w:hAnsi="Arial" w:cs="Arial"/>
        </w:rPr>
        <w:t>underwent</w:t>
      </w:r>
      <w:r>
        <w:rPr>
          <w:rFonts w:ascii="Arial" w:eastAsia="Arial" w:hAnsi="Arial" w:cs="Arial"/>
        </w:rPr>
        <w:t xml:space="preserve"> baseline radiologic imaging using CT scan/PET</w:t>
      </w:r>
      <w:r w:rsidR="007807F0">
        <w:rPr>
          <w:rFonts w:ascii="Arial" w:eastAsia="Arial" w:hAnsi="Arial" w:cs="Arial"/>
        </w:rPr>
        <w:t>-</w:t>
      </w:r>
      <w:r>
        <w:rPr>
          <w:rFonts w:ascii="Arial" w:eastAsia="Arial" w:hAnsi="Arial" w:cs="Arial"/>
        </w:rPr>
        <w:t xml:space="preserve">CT scan and MRI/CT brain (optional). </w:t>
      </w:r>
      <w:r w:rsidR="00E96FA4" w:rsidRPr="006905CE">
        <w:rPr>
          <w:rFonts w:ascii="Arial" w:hAnsi="Arial" w:cs="Arial"/>
          <w:color w:val="000000"/>
        </w:rPr>
        <w:t xml:space="preserve">At our institution, patients with limited stage disease </w:t>
      </w:r>
      <w:r w:rsidR="00C27FCA">
        <w:rPr>
          <w:rFonts w:ascii="Arial" w:hAnsi="Arial" w:cs="Arial"/>
          <w:color w:val="000000"/>
        </w:rPr>
        <w:t>undergo</w:t>
      </w:r>
      <w:r w:rsidR="00E96FA4" w:rsidRPr="006905CE">
        <w:rPr>
          <w:rFonts w:ascii="Arial" w:hAnsi="Arial" w:cs="Arial"/>
          <w:color w:val="000000"/>
        </w:rPr>
        <w:t xml:space="preserve"> </w:t>
      </w:r>
      <w:r w:rsidR="009C383D">
        <w:rPr>
          <w:rFonts w:ascii="Arial" w:hAnsi="Arial" w:cs="Arial"/>
          <w:color w:val="000000"/>
        </w:rPr>
        <w:t xml:space="preserve">a </w:t>
      </w:r>
      <w:r w:rsidR="00E96FA4" w:rsidRPr="006905CE">
        <w:rPr>
          <w:rFonts w:ascii="Arial" w:hAnsi="Arial" w:cs="Arial"/>
          <w:color w:val="000000"/>
        </w:rPr>
        <w:t>PET</w:t>
      </w:r>
      <w:r w:rsidR="00DD4C2D">
        <w:rPr>
          <w:rFonts w:ascii="Arial" w:hAnsi="Arial" w:cs="Arial"/>
          <w:color w:val="000000"/>
        </w:rPr>
        <w:t>-</w:t>
      </w:r>
      <w:r w:rsidR="00E96FA4" w:rsidRPr="006905CE">
        <w:rPr>
          <w:rFonts w:ascii="Arial" w:hAnsi="Arial" w:cs="Arial"/>
          <w:color w:val="000000"/>
        </w:rPr>
        <w:t xml:space="preserve">CT scan to evaluate for the presence of distant metastases. Apart from this, </w:t>
      </w:r>
      <w:r w:rsidR="00D61DFF">
        <w:rPr>
          <w:rFonts w:ascii="Arial" w:hAnsi="Arial" w:cs="Arial"/>
          <w:color w:val="000000"/>
        </w:rPr>
        <w:t>some</w:t>
      </w:r>
      <w:r w:rsidR="00E96FA4" w:rsidRPr="006905CE">
        <w:rPr>
          <w:rFonts w:ascii="Arial" w:hAnsi="Arial" w:cs="Arial"/>
          <w:color w:val="000000"/>
        </w:rPr>
        <w:t xml:space="preserve"> patients are referred to our institution from outside, with a PET</w:t>
      </w:r>
      <w:r w:rsidR="00666D1D">
        <w:rPr>
          <w:rFonts w:ascii="Arial" w:hAnsi="Arial" w:cs="Arial"/>
          <w:color w:val="000000"/>
        </w:rPr>
        <w:t>-CT</w:t>
      </w:r>
      <w:r w:rsidR="00E96FA4" w:rsidRPr="006905CE">
        <w:rPr>
          <w:rFonts w:ascii="Arial" w:hAnsi="Arial" w:cs="Arial"/>
          <w:color w:val="000000"/>
        </w:rPr>
        <w:t xml:space="preserve"> scan already done. </w:t>
      </w:r>
      <w:r w:rsidR="009D3CE9">
        <w:rPr>
          <w:rFonts w:ascii="Arial" w:hAnsi="Arial" w:cs="Arial"/>
          <w:color w:val="000000"/>
        </w:rPr>
        <w:t xml:space="preserve">An </w:t>
      </w:r>
      <w:r w:rsidR="00E96FA4" w:rsidRPr="006905CE">
        <w:rPr>
          <w:rFonts w:ascii="Arial" w:hAnsi="Arial" w:cs="Arial"/>
          <w:color w:val="000000"/>
        </w:rPr>
        <w:t>MRI brain is done in patients in whom there is a suspicion of brain metastases, either on history or examination.</w:t>
      </w:r>
      <w:r w:rsidR="00F544BB">
        <w:rPr>
          <w:rFonts w:ascii="Arial" w:hAnsi="Arial" w:cs="Arial"/>
          <w:color w:val="000000"/>
        </w:rPr>
        <w:t xml:space="preserve"> </w:t>
      </w:r>
      <w:r w:rsidR="00CE7EAC">
        <w:rPr>
          <w:rFonts w:ascii="Arial" w:hAnsi="Arial" w:cs="Arial"/>
          <w:color w:val="000000"/>
        </w:rPr>
        <w:t xml:space="preserve">The decision </w:t>
      </w:r>
      <w:r w:rsidR="007B64B0">
        <w:rPr>
          <w:rFonts w:ascii="Arial" w:hAnsi="Arial" w:cs="Arial"/>
          <w:color w:val="000000"/>
        </w:rPr>
        <w:t xml:space="preserve">regarding the type of therapy to be offered to the patient </w:t>
      </w:r>
      <w:r w:rsidR="003E1934">
        <w:rPr>
          <w:rFonts w:ascii="Arial" w:hAnsi="Arial" w:cs="Arial"/>
          <w:color w:val="000000"/>
        </w:rPr>
        <w:t xml:space="preserve">was made by the treating physician. </w:t>
      </w:r>
      <w:r w:rsidR="00635BD1">
        <w:rPr>
          <w:rFonts w:ascii="Arial" w:hAnsi="Arial" w:cs="Arial"/>
          <w:color w:val="000000"/>
        </w:rPr>
        <w:t xml:space="preserve">The treating physician also decided whether to use </w:t>
      </w:r>
      <w:r w:rsidR="00172907">
        <w:rPr>
          <w:rFonts w:ascii="Arial" w:hAnsi="Arial" w:cs="Arial"/>
          <w:color w:val="000000"/>
        </w:rPr>
        <w:t xml:space="preserve">granulocyte colony stimulating factors (GCSF), </w:t>
      </w:r>
      <w:r w:rsidR="00172907">
        <w:rPr>
          <w:rFonts w:ascii="Arial" w:hAnsi="Arial" w:cs="Arial"/>
          <w:color w:val="000000"/>
        </w:rPr>
        <w:lastRenderedPageBreak/>
        <w:t xml:space="preserve">antibiotics and other supportive care measures </w:t>
      </w:r>
      <w:r w:rsidR="00617297">
        <w:rPr>
          <w:rFonts w:ascii="Arial" w:hAnsi="Arial" w:cs="Arial"/>
          <w:color w:val="000000"/>
        </w:rPr>
        <w:t xml:space="preserve">as well as </w:t>
      </w:r>
      <w:r w:rsidR="00635BD1">
        <w:rPr>
          <w:rFonts w:ascii="Arial" w:hAnsi="Arial" w:cs="Arial"/>
          <w:color w:val="000000"/>
        </w:rPr>
        <w:t>whether to administer radiotherapy</w:t>
      </w:r>
      <w:r w:rsidR="00696580">
        <w:rPr>
          <w:rFonts w:ascii="Arial" w:hAnsi="Arial" w:cs="Arial"/>
          <w:color w:val="000000"/>
        </w:rPr>
        <w:t xml:space="preserve">. </w:t>
      </w:r>
      <w:r>
        <w:rPr>
          <w:rFonts w:ascii="Arial" w:eastAsia="Arial" w:hAnsi="Arial" w:cs="Arial"/>
        </w:rPr>
        <w:t xml:space="preserve">Patients started on chemotherapy were advised restaging CT scans every </w:t>
      </w:r>
      <w:r w:rsidR="002F5761">
        <w:rPr>
          <w:rFonts w:ascii="Arial" w:eastAsia="Arial" w:hAnsi="Arial" w:cs="Arial"/>
        </w:rPr>
        <w:t>two</w:t>
      </w:r>
      <w:r>
        <w:rPr>
          <w:rFonts w:ascii="Arial" w:eastAsia="Arial" w:hAnsi="Arial" w:cs="Arial"/>
        </w:rPr>
        <w:t xml:space="preserve"> to </w:t>
      </w:r>
      <w:r w:rsidR="002F5761">
        <w:rPr>
          <w:rFonts w:ascii="Arial" w:eastAsia="Arial" w:hAnsi="Arial" w:cs="Arial"/>
        </w:rPr>
        <w:t>three</w:t>
      </w:r>
      <w:r>
        <w:rPr>
          <w:rFonts w:ascii="Arial" w:eastAsia="Arial" w:hAnsi="Arial" w:cs="Arial"/>
        </w:rPr>
        <w:t xml:space="preserve"> months. </w:t>
      </w:r>
      <w:r w:rsidR="00FD1CA3">
        <w:rPr>
          <w:rFonts w:ascii="Arial" w:eastAsia="Arial" w:hAnsi="Arial" w:cs="Arial"/>
        </w:rPr>
        <w:t xml:space="preserve">The choice of restaging scan was predominantly </w:t>
      </w:r>
      <w:r w:rsidR="00047FFA">
        <w:rPr>
          <w:rFonts w:ascii="Arial" w:eastAsia="Arial" w:hAnsi="Arial" w:cs="Arial"/>
        </w:rPr>
        <w:t xml:space="preserve">a </w:t>
      </w:r>
      <w:r w:rsidR="00C06304">
        <w:rPr>
          <w:rFonts w:ascii="Arial" w:eastAsia="Arial" w:hAnsi="Arial" w:cs="Arial"/>
        </w:rPr>
        <w:t xml:space="preserve">contrast enhanced </w:t>
      </w:r>
      <w:r w:rsidR="00FD1CA3">
        <w:rPr>
          <w:rFonts w:ascii="Arial" w:eastAsia="Arial" w:hAnsi="Arial" w:cs="Arial"/>
        </w:rPr>
        <w:t xml:space="preserve">CT thorax, but was dependent on the treating physician. </w:t>
      </w:r>
      <w:r>
        <w:rPr>
          <w:rFonts w:ascii="Arial" w:eastAsia="Arial" w:hAnsi="Arial" w:cs="Arial"/>
        </w:rPr>
        <w:t>R</w:t>
      </w:r>
      <w:r w:rsidR="00D63AB4">
        <w:rPr>
          <w:rFonts w:ascii="Arial" w:eastAsia="Arial" w:hAnsi="Arial" w:cs="Arial"/>
        </w:rPr>
        <w:t xml:space="preserve">epeat radiologic imaging was not performed to </w:t>
      </w:r>
      <w:r w:rsidR="007C1AF7">
        <w:rPr>
          <w:rFonts w:ascii="Arial" w:eastAsia="Arial" w:hAnsi="Arial" w:cs="Arial"/>
        </w:rPr>
        <w:t>confirm the responses</w:t>
      </w:r>
      <w:r>
        <w:rPr>
          <w:rFonts w:ascii="Arial" w:eastAsia="Arial" w:hAnsi="Arial" w:cs="Arial"/>
        </w:rPr>
        <w:t>. The imaging scans were read by experienced oncologic radiologists at TMH, as per the</w:t>
      </w:r>
      <w:r w:rsidR="00AA6B63">
        <w:rPr>
          <w:rFonts w:ascii="Arial" w:eastAsia="Arial" w:hAnsi="Arial" w:cs="Arial"/>
        </w:rPr>
        <w:t xml:space="preserve"> institutional</w:t>
      </w:r>
      <w:r>
        <w:rPr>
          <w:rFonts w:ascii="Arial" w:eastAsia="Arial" w:hAnsi="Arial" w:cs="Arial"/>
        </w:rPr>
        <w:t xml:space="preserve"> practice</w:t>
      </w:r>
      <w:r w:rsidR="00AA6B63">
        <w:rPr>
          <w:rFonts w:ascii="Arial" w:eastAsia="Arial" w:hAnsi="Arial" w:cs="Arial"/>
        </w:rPr>
        <w:t>.</w:t>
      </w:r>
      <w:r>
        <w:rPr>
          <w:rFonts w:ascii="Arial" w:eastAsia="Arial" w:hAnsi="Arial" w:cs="Arial"/>
        </w:rPr>
        <w:t xml:space="preserve"> </w:t>
      </w:r>
    </w:p>
    <w:p w14:paraId="7E5CA394" w14:textId="5C56D687" w:rsidR="00CA0A75" w:rsidRDefault="002D2DFC">
      <w:pPr>
        <w:spacing w:line="480" w:lineRule="auto"/>
        <w:rPr>
          <w:rFonts w:ascii="Arial" w:eastAsia="Arial" w:hAnsi="Arial" w:cs="Arial"/>
        </w:rPr>
      </w:pPr>
      <w:r>
        <w:rPr>
          <w:rFonts w:ascii="Arial" w:eastAsia="Arial" w:hAnsi="Arial" w:cs="Arial"/>
        </w:rPr>
        <w:t>At each visit of the patient to the hospital, the database was updated. If the patient did not return to the hospital for follow-up, we attempted to contact the patient telephonically. Patients who could not be contacted for over six months were considered lost-to-follow-up. The database was locked on 26</w:t>
      </w:r>
      <w:r>
        <w:rPr>
          <w:rFonts w:ascii="Arial" w:eastAsia="Arial" w:hAnsi="Arial" w:cs="Arial"/>
          <w:vertAlign w:val="superscript"/>
        </w:rPr>
        <w:t>th</w:t>
      </w:r>
      <w:r>
        <w:rPr>
          <w:rFonts w:ascii="Arial" w:eastAsia="Arial" w:hAnsi="Arial" w:cs="Arial"/>
        </w:rPr>
        <w:t xml:space="preserve"> Dec 2019.</w:t>
      </w:r>
    </w:p>
    <w:p w14:paraId="42FC595B" w14:textId="77777777" w:rsidR="00CA0A75" w:rsidRDefault="002D2DFC">
      <w:pPr>
        <w:pStyle w:val="Heading1"/>
        <w:spacing w:line="480" w:lineRule="auto"/>
        <w:rPr>
          <w:rFonts w:ascii="Arial" w:eastAsia="Arial" w:hAnsi="Arial" w:cs="Arial"/>
          <w:i/>
          <w:u w:val="none"/>
        </w:rPr>
      </w:pPr>
      <w:r>
        <w:rPr>
          <w:rFonts w:ascii="Arial" w:eastAsia="Arial" w:hAnsi="Arial" w:cs="Arial"/>
          <w:i/>
          <w:u w:val="none"/>
        </w:rPr>
        <w:t>Study endpoints</w:t>
      </w:r>
    </w:p>
    <w:p w14:paraId="65FCC3CF" w14:textId="77777777" w:rsidR="00CA0A75" w:rsidRDefault="002D2DFC">
      <w:pPr>
        <w:spacing w:after="0" w:line="480" w:lineRule="auto"/>
        <w:jc w:val="both"/>
        <w:rPr>
          <w:rFonts w:ascii="Arial" w:eastAsia="Arial" w:hAnsi="Arial" w:cs="Arial"/>
        </w:rPr>
      </w:pPr>
      <w:r>
        <w:rPr>
          <w:rFonts w:ascii="Arial" w:eastAsia="Arial" w:hAnsi="Arial" w:cs="Arial"/>
        </w:rPr>
        <w:t>The goals of the study included:</w:t>
      </w:r>
    </w:p>
    <w:p w14:paraId="2CF0CE8B" w14:textId="475504C8" w:rsidR="00CA0A75" w:rsidRDefault="002D2DFC">
      <w:pPr>
        <w:spacing w:after="0" w:line="480" w:lineRule="auto"/>
        <w:ind w:left="360"/>
        <w:jc w:val="both"/>
        <w:rPr>
          <w:rFonts w:ascii="Arial" w:eastAsia="Arial" w:hAnsi="Arial" w:cs="Arial"/>
          <w:b/>
          <w:i/>
          <w:u w:val="single"/>
        </w:rPr>
      </w:pPr>
      <w:r>
        <w:rPr>
          <w:rFonts w:ascii="Arial" w:eastAsia="Arial" w:hAnsi="Arial" w:cs="Arial"/>
        </w:rPr>
        <w:t xml:space="preserve">1. To determine the percentage of patients who had an improvement in disease-attributable symptoms: </w:t>
      </w:r>
      <w:r w:rsidR="00C439BD">
        <w:rPr>
          <w:rFonts w:ascii="Arial" w:eastAsia="Arial" w:hAnsi="Arial" w:cs="Arial"/>
        </w:rPr>
        <w:t>P</w:t>
      </w:r>
      <w:r>
        <w:rPr>
          <w:rFonts w:ascii="Arial" w:eastAsia="Arial" w:hAnsi="Arial" w:cs="Arial"/>
        </w:rPr>
        <w:t>atients were asked if they had an improvement in their symptoms (binary question, yes or no response).</w:t>
      </w:r>
      <w:r w:rsidR="00B724F1">
        <w:rPr>
          <w:rFonts w:ascii="Arial" w:eastAsia="Arial" w:hAnsi="Arial" w:cs="Arial"/>
        </w:rPr>
        <w:t xml:space="preserve"> </w:t>
      </w:r>
      <w:r w:rsidR="0086386A">
        <w:rPr>
          <w:rFonts w:ascii="Arial" w:eastAsia="Arial" w:hAnsi="Arial" w:cs="Arial"/>
        </w:rPr>
        <w:t>We did not use a pre</w:t>
      </w:r>
      <w:r w:rsidR="00664FDA">
        <w:rPr>
          <w:rFonts w:ascii="Arial" w:eastAsia="Arial" w:hAnsi="Arial" w:cs="Arial"/>
        </w:rPr>
        <w:t>specified</w:t>
      </w:r>
      <w:r w:rsidR="0086386A">
        <w:rPr>
          <w:rFonts w:ascii="Arial" w:eastAsia="Arial" w:hAnsi="Arial" w:cs="Arial"/>
        </w:rPr>
        <w:t xml:space="preserve"> list of symptoms. Patients were asked whether they had any symptoms at the time of presentation, and </w:t>
      </w:r>
      <w:r w:rsidR="00196322">
        <w:rPr>
          <w:rFonts w:ascii="Arial" w:eastAsia="Arial" w:hAnsi="Arial" w:cs="Arial"/>
        </w:rPr>
        <w:t xml:space="preserve">if so, whether the symptoms were better. </w:t>
      </w:r>
      <w:r>
        <w:rPr>
          <w:rFonts w:ascii="Arial" w:eastAsia="Arial" w:hAnsi="Arial" w:cs="Arial"/>
        </w:rPr>
        <w:t xml:space="preserve">If the response was yes, they were asked the date </w:t>
      </w:r>
      <w:r w:rsidR="00141975">
        <w:rPr>
          <w:rFonts w:ascii="Arial" w:eastAsia="Arial" w:hAnsi="Arial" w:cs="Arial"/>
        </w:rPr>
        <w:t>that</w:t>
      </w:r>
      <w:r>
        <w:rPr>
          <w:rFonts w:ascii="Arial" w:eastAsia="Arial" w:hAnsi="Arial" w:cs="Arial"/>
        </w:rPr>
        <w:t xml:space="preserve"> they first noticed </w:t>
      </w:r>
      <w:r w:rsidR="00485E24">
        <w:rPr>
          <w:rFonts w:ascii="Arial" w:eastAsia="Arial" w:hAnsi="Arial" w:cs="Arial"/>
        </w:rPr>
        <w:t>the</w:t>
      </w:r>
      <w:r>
        <w:rPr>
          <w:rFonts w:ascii="Arial" w:eastAsia="Arial" w:hAnsi="Arial" w:cs="Arial"/>
        </w:rPr>
        <w:t xml:space="preserve"> improvement, and to quantify, if possible, the degree of improvement in percentage points, considering the severity of the baseline presenting symptom to be 100%.</w:t>
      </w:r>
      <w:r w:rsidR="004324C8">
        <w:rPr>
          <w:rFonts w:ascii="Arial" w:eastAsia="Arial" w:hAnsi="Arial" w:cs="Arial"/>
        </w:rPr>
        <w:t xml:space="preserve"> </w:t>
      </w:r>
    </w:p>
    <w:p w14:paraId="2D306504" w14:textId="26EAB2E2" w:rsidR="00CA0A75" w:rsidRDefault="002D2DFC">
      <w:pPr>
        <w:spacing w:after="0" w:line="480" w:lineRule="auto"/>
        <w:ind w:left="360"/>
        <w:jc w:val="both"/>
        <w:rPr>
          <w:rFonts w:ascii="Arial" w:eastAsia="Arial" w:hAnsi="Arial" w:cs="Arial"/>
        </w:rPr>
      </w:pPr>
      <w:r>
        <w:rPr>
          <w:rFonts w:ascii="Arial" w:eastAsia="Arial" w:hAnsi="Arial" w:cs="Arial"/>
        </w:rPr>
        <w:t xml:space="preserve">2. To determine the type of therapy offered to patients </w:t>
      </w:r>
      <w:r w:rsidR="002773A4">
        <w:rPr>
          <w:rFonts w:ascii="Arial" w:eastAsia="Arial" w:hAnsi="Arial" w:cs="Arial"/>
        </w:rPr>
        <w:t xml:space="preserve">with SCLC </w:t>
      </w:r>
      <w:r>
        <w:rPr>
          <w:rFonts w:ascii="Arial" w:eastAsia="Arial" w:hAnsi="Arial" w:cs="Arial"/>
        </w:rPr>
        <w:t xml:space="preserve">with poor PS, </w:t>
      </w:r>
      <w:r w:rsidR="00997F58">
        <w:rPr>
          <w:rFonts w:ascii="Arial" w:eastAsia="Arial" w:hAnsi="Arial" w:cs="Arial"/>
        </w:rPr>
        <w:t>categorized as best supportive care</w:t>
      </w:r>
      <w:r w:rsidR="00B67E3F">
        <w:rPr>
          <w:rFonts w:ascii="Arial" w:eastAsia="Arial" w:hAnsi="Arial" w:cs="Arial"/>
        </w:rPr>
        <w:t xml:space="preserve"> (BSC)</w:t>
      </w:r>
      <w:r w:rsidR="00997F58">
        <w:rPr>
          <w:rFonts w:ascii="Arial" w:eastAsia="Arial" w:hAnsi="Arial" w:cs="Arial"/>
        </w:rPr>
        <w:t xml:space="preserve">, </w:t>
      </w:r>
      <w:r w:rsidR="0001161D">
        <w:rPr>
          <w:rFonts w:ascii="Arial" w:eastAsia="Arial" w:hAnsi="Arial" w:cs="Arial"/>
        </w:rPr>
        <w:t xml:space="preserve">attenuated chemotherapy or standard chemotherapy. We recorded </w:t>
      </w:r>
      <w:r>
        <w:rPr>
          <w:rFonts w:ascii="Arial" w:eastAsia="Arial" w:hAnsi="Arial" w:cs="Arial"/>
        </w:rPr>
        <w:t xml:space="preserve">the number of patients who were initially offered </w:t>
      </w:r>
      <w:r w:rsidR="0002013B">
        <w:rPr>
          <w:rFonts w:ascii="Arial" w:eastAsia="Arial" w:hAnsi="Arial" w:cs="Arial"/>
        </w:rPr>
        <w:t xml:space="preserve">an </w:t>
      </w:r>
      <w:r>
        <w:rPr>
          <w:rFonts w:ascii="Arial" w:eastAsia="Arial" w:hAnsi="Arial" w:cs="Arial"/>
        </w:rPr>
        <w:t xml:space="preserve">attenuated </w:t>
      </w:r>
      <w:r w:rsidR="0001161D">
        <w:rPr>
          <w:rFonts w:ascii="Arial" w:eastAsia="Arial" w:hAnsi="Arial" w:cs="Arial"/>
        </w:rPr>
        <w:t xml:space="preserve">chemotherapy regimen, and the </w:t>
      </w:r>
      <w:r w:rsidR="006867A9">
        <w:rPr>
          <w:rFonts w:ascii="Arial" w:eastAsia="Arial" w:hAnsi="Arial" w:cs="Arial"/>
        </w:rPr>
        <w:t>number</w:t>
      </w:r>
      <w:r>
        <w:rPr>
          <w:rFonts w:ascii="Arial" w:eastAsia="Arial" w:hAnsi="Arial" w:cs="Arial"/>
        </w:rPr>
        <w:t xml:space="preserve"> of patients who were able to receive subsequent standard chemotherapy. Standard chemotherapy was defined as full dose chemotherapy, as per the general practice followed in the hospital, the evidence-based guidelines of T</w:t>
      </w:r>
      <w:r w:rsidR="008A7FC5">
        <w:rPr>
          <w:rFonts w:ascii="Arial" w:eastAsia="Arial" w:hAnsi="Arial" w:cs="Arial"/>
        </w:rPr>
        <w:t>MH</w:t>
      </w:r>
      <w:r>
        <w:rPr>
          <w:rFonts w:ascii="Arial" w:eastAsia="Arial" w:hAnsi="Arial" w:cs="Arial"/>
          <w:vertAlign w:val="superscript"/>
        </w:rPr>
        <w:t xml:space="preserve"> </w:t>
      </w:r>
      <w:r>
        <w:rPr>
          <w:rFonts w:ascii="Arial" w:eastAsia="Arial" w:hAnsi="Arial" w:cs="Arial"/>
        </w:rPr>
        <w:t>[</w:t>
      </w:r>
      <w:r w:rsidR="004745C5">
        <w:rPr>
          <w:rFonts w:ascii="Arial" w:eastAsia="Arial" w:hAnsi="Arial" w:cs="Arial"/>
        </w:rPr>
        <w:t>6</w:t>
      </w:r>
      <w:r>
        <w:rPr>
          <w:rFonts w:ascii="Arial" w:eastAsia="Arial" w:hAnsi="Arial" w:cs="Arial"/>
        </w:rPr>
        <w:t>] and NCCN guidelines [</w:t>
      </w:r>
      <w:r w:rsidR="004745C5">
        <w:rPr>
          <w:rFonts w:ascii="Arial" w:eastAsia="Arial" w:hAnsi="Arial" w:cs="Arial"/>
        </w:rPr>
        <w:t>5</w:t>
      </w:r>
      <w:r>
        <w:rPr>
          <w:rFonts w:ascii="Arial" w:eastAsia="Arial" w:hAnsi="Arial" w:cs="Arial"/>
        </w:rPr>
        <w:t xml:space="preserve">]. </w:t>
      </w:r>
    </w:p>
    <w:p w14:paraId="34A01EF9" w14:textId="0B9E90C1" w:rsidR="00CA0A75" w:rsidRDefault="002D2DFC">
      <w:pPr>
        <w:spacing w:after="0" w:line="480" w:lineRule="auto"/>
        <w:ind w:left="360"/>
        <w:jc w:val="both"/>
        <w:rPr>
          <w:rFonts w:ascii="Arial" w:eastAsia="Arial" w:hAnsi="Arial" w:cs="Arial"/>
          <w:b/>
          <w:i/>
          <w:u w:val="single"/>
        </w:rPr>
      </w:pPr>
      <w:r>
        <w:rPr>
          <w:rFonts w:ascii="Arial" w:eastAsia="Arial" w:hAnsi="Arial" w:cs="Arial"/>
        </w:rPr>
        <w:lastRenderedPageBreak/>
        <w:t xml:space="preserve">3. To evaluate the toxicity of chemotherapy in patients </w:t>
      </w:r>
      <w:r w:rsidR="002773A4">
        <w:rPr>
          <w:rFonts w:ascii="Arial" w:eastAsia="Arial" w:hAnsi="Arial" w:cs="Arial"/>
        </w:rPr>
        <w:t xml:space="preserve">with SCLC </w:t>
      </w:r>
      <w:r>
        <w:rPr>
          <w:rFonts w:ascii="Arial" w:eastAsia="Arial" w:hAnsi="Arial" w:cs="Arial"/>
        </w:rPr>
        <w:t xml:space="preserve">with poor PS. Toxicity was assessed according to </w:t>
      </w:r>
      <w:r w:rsidR="00FD6E46">
        <w:rPr>
          <w:rFonts w:ascii="Arial" w:eastAsia="Arial" w:hAnsi="Arial" w:cs="Arial"/>
        </w:rPr>
        <w:t xml:space="preserve">the </w:t>
      </w:r>
      <w:r>
        <w:rPr>
          <w:rFonts w:ascii="Arial" w:eastAsia="Arial" w:hAnsi="Arial" w:cs="Arial"/>
        </w:rPr>
        <w:t>National Cancer Institute Common Terminology Criteria for Adverse Events (NCI-CTCAE), version 3.</w:t>
      </w:r>
      <w:r>
        <w:rPr>
          <w:rFonts w:ascii="Arial" w:eastAsia="Arial" w:hAnsi="Arial" w:cs="Arial"/>
          <w:b/>
          <w:i/>
          <w:u w:val="single"/>
        </w:rPr>
        <w:t xml:space="preserve"> </w:t>
      </w:r>
    </w:p>
    <w:p w14:paraId="7DD10C19" w14:textId="35FCCF0D" w:rsidR="00CA0A75" w:rsidRDefault="002D2DFC">
      <w:pPr>
        <w:spacing w:after="0" w:line="480" w:lineRule="auto"/>
        <w:ind w:left="360"/>
        <w:jc w:val="both"/>
        <w:rPr>
          <w:rFonts w:ascii="Arial" w:eastAsia="Arial" w:hAnsi="Arial" w:cs="Arial"/>
          <w:b/>
          <w:i/>
          <w:u w:val="single"/>
        </w:rPr>
      </w:pPr>
      <w:r>
        <w:rPr>
          <w:rFonts w:ascii="Arial" w:eastAsia="Arial" w:hAnsi="Arial" w:cs="Arial"/>
        </w:rPr>
        <w:t xml:space="preserve">4. To determine the response rate to first line chemotherapy. Response rate was calculated according to the new Response Evaluation Criteria in Solid Tumors: revised RECIST guideline, version 1.1. </w:t>
      </w:r>
      <w:r w:rsidR="006139B0">
        <w:rPr>
          <w:rFonts w:ascii="Arial" w:eastAsia="Arial" w:hAnsi="Arial" w:cs="Arial"/>
        </w:rPr>
        <w:t>Responses were not confirmed as the primary endpoint of the study was symptom improvement</w:t>
      </w:r>
      <w:r w:rsidR="002D477F">
        <w:rPr>
          <w:rFonts w:ascii="Arial" w:eastAsia="Arial" w:hAnsi="Arial" w:cs="Arial"/>
        </w:rPr>
        <w:t>, and this was an observational study</w:t>
      </w:r>
      <w:r w:rsidR="00FA5EA2">
        <w:rPr>
          <w:rFonts w:ascii="Arial" w:eastAsia="Arial" w:hAnsi="Arial" w:cs="Arial"/>
        </w:rPr>
        <w:t>.</w:t>
      </w:r>
    </w:p>
    <w:p w14:paraId="57CA0C86" w14:textId="221BC98A" w:rsidR="00CA0A75" w:rsidRDefault="002D2DFC">
      <w:pPr>
        <w:spacing w:after="0" w:line="480" w:lineRule="auto"/>
        <w:ind w:left="360"/>
        <w:jc w:val="both"/>
        <w:rPr>
          <w:rFonts w:ascii="Arial" w:eastAsia="Arial" w:hAnsi="Arial" w:cs="Arial"/>
          <w:b/>
          <w:i/>
          <w:u w:val="single"/>
        </w:rPr>
      </w:pPr>
      <w:r>
        <w:rPr>
          <w:rFonts w:ascii="Arial" w:eastAsia="Arial" w:hAnsi="Arial" w:cs="Arial"/>
        </w:rPr>
        <w:t xml:space="preserve">5. To determine the OS of patients with </w:t>
      </w:r>
      <w:r w:rsidR="00B90ADE">
        <w:rPr>
          <w:rFonts w:ascii="Arial" w:eastAsia="Arial" w:hAnsi="Arial" w:cs="Arial"/>
        </w:rPr>
        <w:t xml:space="preserve">SCLC </w:t>
      </w:r>
      <w:r w:rsidR="006601D6">
        <w:rPr>
          <w:rFonts w:ascii="Arial" w:eastAsia="Arial" w:hAnsi="Arial" w:cs="Arial"/>
        </w:rPr>
        <w:t>and</w:t>
      </w:r>
      <w:r w:rsidR="00B90ADE">
        <w:rPr>
          <w:rFonts w:ascii="Arial" w:eastAsia="Arial" w:hAnsi="Arial" w:cs="Arial"/>
        </w:rPr>
        <w:t xml:space="preserve"> </w:t>
      </w:r>
      <w:r>
        <w:rPr>
          <w:rFonts w:ascii="Arial" w:eastAsia="Arial" w:hAnsi="Arial" w:cs="Arial"/>
        </w:rPr>
        <w:t xml:space="preserve">poor PS. OS was calculated from the date of diagnosis to the date of death from any cause. Patients who were lost to follow-up were censored on the date that they were last known to be alive. </w:t>
      </w:r>
    </w:p>
    <w:p w14:paraId="7D4F4AD1" w14:textId="2F642360" w:rsidR="00CA0A75" w:rsidRDefault="002D2DFC">
      <w:pPr>
        <w:spacing w:after="0" w:line="480" w:lineRule="auto"/>
        <w:ind w:left="360"/>
        <w:jc w:val="both"/>
        <w:rPr>
          <w:rFonts w:ascii="Arial" w:eastAsia="Arial" w:hAnsi="Arial" w:cs="Arial"/>
          <w:b/>
          <w:i/>
          <w:u w:val="single"/>
        </w:rPr>
      </w:pPr>
      <w:r>
        <w:rPr>
          <w:rFonts w:ascii="Arial" w:eastAsia="Arial" w:hAnsi="Arial" w:cs="Arial"/>
        </w:rPr>
        <w:t xml:space="preserve">6. To </w:t>
      </w:r>
      <w:r w:rsidR="008C53F4">
        <w:rPr>
          <w:rFonts w:ascii="Arial" w:eastAsia="Arial" w:hAnsi="Arial" w:cs="Arial"/>
        </w:rPr>
        <w:t>d</w:t>
      </w:r>
      <w:r w:rsidR="00184612">
        <w:rPr>
          <w:rFonts w:ascii="Arial" w:eastAsia="Arial" w:hAnsi="Arial" w:cs="Arial"/>
        </w:rPr>
        <w:t>e</w:t>
      </w:r>
      <w:r w:rsidR="008C53F4">
        <w:rPr>
          <w:rFonts w:ascii="Arial" w:eastAsia="Arial" w:hAnsi="Arial" w:cs="Arial"/>
        </w:rPr>
        <w:t>termine</w:t>
      </w:r>
      <w:r>
        <w:rPr>
          <w:rFonts w:ascii="Arial" w:eastAsia="Arial" w:hAnsi="Arial" w:cs="Arial"/>
        </w:rPr>
        <w:t xml:space="preserve"> if there were any factors that impacted OS. The factors assessed included age (</w:t>
      </w:r>
      <w:r w:rsidR="00546B78">
        <w:rPr>
          <w:rFonts w:ascii="Arial" w:eastAsia="Arial" w:hAnsi="Arial" w:cs="Arial"/>
        </w:rPr>
        <w:t>analyzed as a continuous variable</w:t>
      </w:r>
      <w:r>
        <w:rPr>
          <w:rFonts w:ascii="Arial" w:eastAsia="Arial" w:hAnsi="Arial" w:cs="Arial"/>
        </w:rPr>
        <w:t>), baseline PS (3 versus 4), presence or absence of brain metastases, lactate dehydrogenase or LDH (normal versus elevated), comorbidities (</w:t>
      </w:r>
      <w:r w:rsidR="00982C94">
        <w:rPr>
          <w:rFonts w:ascii="Arial" w:eastAsia="Arial" w:hAnsi="Arial" w:cs="Arial"/>
        </w:rPr>
        <w:t>two</w:t>
      </w:r>
      <w:r>
        <w:rPr>
          <w:rFonts w:ascii="Arial" w:eastAsia="Arial" w:hAnsi="Arial" w:cs="Arial"/>
        </w:rPr>
        <w:t xml:space="preserve"> or more versus none or single</w:t>
      </w:r>
      <w:r w:rsidR="00941F0C">
        <w:rPr>
          <w:rFonts w:ascii="Arial" w:eastAsia="Arial" w:hAnsi="Arial" w:cs="Arial"/>
        </w:rPr>
        <w:t xml:space="preserve"> [</w:t>
      </w:r>
      <w:r w:rsidR="007D1301">
        <w:rPr>
          <w:rFonts w:ascii="Arial" w:eastAsia="Arial" w:hAnsi="Arial" w:cs="Arial"/>
        </w:rPr>
        <w:t>comorbidity assessment was from the medical history;</w:t>
      </w:r>
      <w:r w:rsidR="00941F0C">
        <w:rPr>
          <w:rFonts w:ascii="Arial" w:eastAsia="Arial" w:hAnsi="Arial" w:cs="Arial"/>
        </w:rPr>
        <w:t xml:space="preserve"> we did not use a validated tool to assess the comorbidities]</w:t>
      </w:r>
      <w:r>
        <w:rPr>
          <w:rFonts w:ascii="Arial" w:eastAsia="Arial" w:hAnsi="Arial" w:cs="Arial"/>
        </w:rPr>
        <w:t xml:space="preserve">), deranged organ function at baseline (either liver or renal dysfunction </w:t>
      </w:r>
      <w:r>
        <w:rPr>
          <w:rFonts w:ascii="Arial" w:eastAsia="Arial" w:hAnsi="Arial" w:cs="Arial"/>
          <w:u w:val="single"/>
        </w:rPr>
        <w:t>&gt;</w:t>
      </w:r>
      <w:r>
        <w:rPr>
          <w:rFonts w:ascii="Arial" w:eastAsia="Arial" w:hAnsi="Arial" w:cs="Arial"/>
        </w:rPr>
        <w:t xml:space="preserve"> 2 x upper limit of normal, versus normal values ranging to &lt; 2 x upper limit of normal values considering serum creatinine, calculated glomerular filtration rate, transaminases and serum bilirubin) and receipt of any dose of chemotherapy (yes versus no).</w:t>
      </w:r>
      <w:r w:rsidR="000610A9">
        <w:rPr>
          <w:rFonts w:ascii="Arial" w:eastAsia="Arial" w:hAnsi="Arial" w:cs="Arial"/>
        </w:rPr>
        <w:t xml:space="preserve"> </w:t>
      </w:r>
      <w:r w:rsidR="001321B9">
        <w:rPr>
          <w:rFonts w:ascii="Arial" w:eastAsia="Arial" w:hAnsi="Arial" w:cs="Arial"/>
        </w:rPr>
        <w:t>R</w:t>
      </w:r>
      <w:r w:rsidR="00585908">
        <w:rPr>
          <w:rFonts w:ascii="Arial" w:eastAsia="Arial" w:hAnsi="Arial" w:cs="Arial"/>
        </w:rPr>
        <w:t xml:space="preserve">esults of laboratory tests that were outside the range of </w:t>
      </w:r>
      <w:r w:rsidR="006C0F32">
        <w:rPr>
          <w:rFonts w:ascii="Arial" w:eastAsia="Arial" w:hAnsi="Arial" w:cs="Arial"/>
        </w:rPr>
        <w:t xml:space="preserve">the </w:t>
      </w:r>
      <w:r w:rsidR="00585908">
        <w:rPr>
          <w:rFonts w:ascii="Arial" w:eastAsia="Arial" w:hAnsi="Arial" w:cs="Arial"/>
        </w:rPr>
        <w:t xml:space="preserve">normal reference values established by the hospital laboratory were considered abnormal. </w:t>
      </w:r>
    </w:p>
    <w:p w14:paraId="65F62178" w14:textId="77777777" w:rsidR="00CA0A75" w:rsidRDefault="00CA0A75">
      <w:pPr>
        <w:spacing w:after="0" w:line="480" w:lineRule="auto"/>
        <w:jc w:val="both"/>
        <w:rPr>
          <w:rFonts w:ascii="Arial" w:eastAsia="Arial" w:hAnsi="Arial" w:cs="Arial"/>
          <w:u w:val="single"/>
        </w:rPr>
      </w:pPr>
    </w:p>
    <w:p w14:paraId="2E6EE803" w14:textId="77777777" w:rsidR="00CA0A75" w:rsidRDefault="002D2DFC">
      <w:pPr>
        <w:spacing w:after="0" w:line="480" w:lineRule="auto"/>
        <w:jc w:val="both"/>
        <w:rPr>
          <w:rFonts w:ascii="Arial" w:eastAsia="Arial" w:hAnsi="Arial" w:cs="Arial"/>
          <w:i/>
        </w:rPr>
      </w:pPr>
      <w:r>
        <w:rPr>
          <w:rFonts w:ascii="Arial" w:eastAsia="Arial" w:hAnsi="Arial" w:cs="Arial"/>
          <w:i/>
        </w:rPr>
        <w:t>Statistics</w:t>
      </w:r>
    </w:p>
    <w:p w14:paraId="6FC798BF" w14:textId="77777777" w:rsidR="00CA0A75" w:rsidRDefault="002D2DFC">
      <w:pPr>
        <w:spacing w:after="0" w:line="480" w:lineRule="auto"/>
        <w:jc w:val="both"/>
        <w:rPr>
          <w:rFonts w:ascii="Arial" w:eastAsia="Arial" w:hAnsi="Arial" w:cs="Arial"/>
          <w:u w:val="single"/>
        </w:rPr>
      </w:pPr>
      <w:r>
        <w:rPr>
          <w:rFonts w:ascii="Arial" w:eastAsia="Arial" w:hAnsi="Arial" w:cs="Arial"/>
          <w:u w:val="single"/>
        </w:rPr>
        <w:t xml:space="preserve">Sample size </w:t>
      </w:r>
    </w:p>
    <w:p w14:paraId="573BD989" w14:textId="6D3FA30A" w:rsidR="00CA0A75" w:rsidRDefault="002D2DFC">
      <w:pPr>
        <w:spacing w:after="0" w:line="480" w:lineRule="auto"/>
        <w:jc w:val="both"/>
        <w:rPr>
          <w:rFonts w:ascii="Arial" w:eastAsia="Arial" w:hAnsi="Arial" w:cs="Arial"/>
        </w:rPr>
      </w:pPr>
      <w:r>
        <w:rPr>
          <w:rFonts w:ascii="Arial" w:eastAsia="Arial" w:hAnsi="Arial" w:cs="Arial"/>
        </w:rPr>
        <w:t>Since this was an observational study with a retrospective analysis, we did not initially calculate a sample size. However, the IEC</w:t>
      </w:r>
      <w:r w:rsidR="00E72A16">
        <w:rPr>
          <w:rFonts w:ascii="Arial" w:eastAsia="Arial" w:hAnsi="Arial" w:cs="Arial"/>
        </w:rPr>
        <w:t xml:space="preserve"> requested us to</w:t>
      </w:r>
      <w:r>
        <w:rPr>
          <w:rFonts w:ascii="Arial" w:eastAsia="Arial" w:hAnsi="Arial" w:cs="Arial"/>
        </w:rPr>
        <w:t xml:space="preserve"> </w:t>
      </w:r>
      <w:bookmarkStart w:id="0" w:name="30j0zll" w:colFirst="0" w:colLast="0"/>
      <w:bookmarkStart w:id="1" w:name="gjdgxs" w:colFirst="0" w:colLast="0"/>
      <w:bookmarkEnd w:id="0"/>
      <w:bookmarkEnd w:id="1"/>
      <w:r>
        <w:rPr>
          <w:rFonts w:ascii="Arial" w:eastAsia="Arial" w:hAnsi="Arial" w:cs="Arial"/>
        </w:rPr>
        <w:t xml:space="preserve">calculate an approximate sample size. In the literature, there were scant data on the use of chemotherapy versus BSC in </w:t>
      </w:r>
      <w:r w:rsidR="00CC3A8F">
        <w:rPr>
          <w:rFonts w:ascii="Arial" w:eastAsia="Arial" w:hAnsi="Arial" w:cs="Arial"/>
        </w:rPr>
        <w:t xml:space="preserve">patients with </w:t>
      </w:r>
      <w:r>
        <w:rPr>
          <w:rFonts w:ascii="Arial" w:eastAsia="Arial" w:hAnsi="Arial" w:cs="Arial"/>
        </w:rPr>
        <w:t xml:space="preserve">SCLC </w:t>
      </w:r>
      <w:r w:rsidR="00CC3A8F">
        <w:rPr>
          <w:rFonts w:ascii="Arial" w:eastAsia="Arial" w:hAnsi="Arial" w:cs="Arial"/>
        </w:rPr>
        <w:t>and</w:t>
      </w:r>
      <w:r>
        <w:rPr>
          <w:rFonts w:ascii="Arial" w:eastAsia="Arial" w:hAnsi="Arial" w:cs="Arial"/>
        </w:rPr>
        <w:t xml:space="preserve"> poor PS. Giordano </w:t>
      </w:r>
      <w:r>
        <w:rPr>
          <w:rFonts w:ascii="Arial" w:eastAsia="Arial" w:hAnsi="Arial" w:cs="Arial"/>
          <w:i/>
        </w:rPr>
        <w:t>et al</w:t>
      </w:r>
      <w:r>
        <w:rPr>
          <w:rFonts w:ascii="Arial" w:eastAsia="Arial" w:hAnsi="Arial" w:cs="Arial"/>
        </w:rPr>
        <w:t xml:space="preserve">. reported their experience with the use of </w:t>
      </w:r>
      <w:r>
        <w:rPr>
          <w:rFonts w:ascii="Arial" w:eastAsia="Arial" w:hAnsi="Arial" w:cs="Arial"/>
        </w:rPr>
        <w:lastRenderedPageBreak/>
        <w:t xml:space="preserve">chemotherapy in </w:t>
      </w:r>
      <w:r w:rsidR="00CC3A8F">
        <w:rPr>
          <w:rFonts w:ascii="Arial" w:eastAsia="Arial" w:hAnsi="Arial" w:cs="Arial"/>
        </w:rPr>
        <w:t xml:space="preserve">patients with </w:t>
      </w:r>
      <w:r>
        <w:rPr>
          <w:rFonts w:ascii="Arial" w:eastAsia="Arial" w:hAnsi="Arial" w:cs="Arial"/>
        </w:rPr>
        <w:t xml:space="preserve">SCLC with severely deranged organ function, i.e. creatinine </w:t>
      </w:r>
      <w:r>
        <w:rPr>
          <w:rFonts w:ascii="Arial" w:eastAsia="Arial" w:hAnsi="Arial" w:cs="Arial"/>
          <w:u w:val="single"/>
        </w:rPr>
        <w:t>&gt;</w:t>
      </w:r>
      <w:r>
        <w:rPr>
          <w:rFonts w:ascii="Arial" w:eastAsia="Arial" w:hAnsi="Arial" w:cs="Arial"/>
        </w:rPr>
        <w:t xml:space="preserve"> 3 mg/dl, bilirubin </w:t>
      </w:r>
      <w:r>
        <w:rPr>
          <w:rFonts w:ascii="Arial" w:eastAsia="Arial" w:hAnsi="Arial" w:cs="Arial"/>
          <w:u w:val="single"/>
        </w:rPr>
        <w:t>&gt;</w:t>
      </w:r>
      <w:r>
        <w:rPr>
          <w:rFonts w:ascii="Arial" w:eastAsia="Arial" w:hAnsi="Arial" w:cs="Arial"/>
        </w:rPr>
        <w:t xml:space="preserve"> 3 mg/dl or platelet count </w:t>
      </w:r>
      <w:r>
        <w:rPr>
          <w:rFonts w:ascii="Arial" w:eastAsia="Arial" w:hAnsi="Arial" w:cs="Arial"/>
          <w:u w:val="single"/>
        </w:rPr>
        <w:t>&lt;</w:t>
      </w:r>
      <w:r>
        <w:rPr>
          <w:rFonts w:ascii="Arial" w:eastAsia="Arial" w:hAnsi="Arial" w:cs="Arial"/>
        </w:rPr>
        <w:t xml:space="preserve"> 50 x 10</w:t>
      </w:r>
      <w:r>
        <w:rPr>
          <w:rFonts w:ascii="Arial" w:eastAsia="Arial" w:hAnsi="Arial" w:cs="Arial"/>
          <w:vertAlign w:val="superscript"/>
        </w:rPr>
        <w:t>6</w:t>
      </w:r>
      <w:r>
        <w:rPr>
          <w:rFonts w:ascii="Arial" w:eastAsia="Arial" w:hAnsi="Arial" w:cs="Arial"/>
        </w:rPr>
        <w:t xml:space="preserve">/ml. The median OS in the patients </w:t>
      </w:r>
      <w:r w:rsidR="007F1903">
        <w:rPr>
          <w:rFonts w:ascii="Arial" w:eastAsia="Arial" w:hAnsi="Arial" w:cs="Arial"/>
        </w:rPr>
        <w:t>who received</w:t>
      </w:r>
      <w:r>
        <w:rPr>
          <w:rFonts w:ascii="Arial" w:eastAsia="Arial" w:hAnsi="Arial" w:cs="Arial"/>
        </w:rPr>
        <w:t xml:space="preserve"> chemotherapy was 150 days, </w:t>
      </w:r>
      <w:r w:rsidR="007D49ED">
        <w:rPr>
          <w:rFonts w:ascii="Arial" w:eastAsia="Arial" w:hAnsi="Arial" w:cs="Arial"/>
        </w:rPr>
        <w:t>compared to 10 days in those who</w:t>
      </w:r>
      <w:r>
        <w:rPr>
          <w:rFonts w:ascii="Arial" w:eastAsia="Arial" w:hAnsi="Arial" w:cs="Arial"/>
        </w:rPr>
        <w:t xml:space="preserve"> received BSC only with no chemotherapy</w:t>
      </w:r>
      <w:r w:rsidR="007D49ED">
        <w:rPr>
          <w:rFonts w:ascii="Arial" w:eastAsia="Arial" w:hAnsi="Arial" w:cs="Arial"/>
        </w:rPr>
        <w:t xml:space="preserve"> </w:t>
      </w:r>
      <w:r>
        <w:rPr>
          <w:rFonts w:ascii="Arial" w:eastAsia="Arial" w:hAnsi="Arial" w:cs="Arial"/>
        </w:rPr>
        <w:t>[</w:t>
      </w:r>
      <w:r w:rsidR="002476D6">
        <w:rPr>
          <w:rFonts w:ascii="Arial" w:eastAsia="Arial" w:hAnsi="Arial" w:cs="Arial"/>
        </w:rPr>
        <w:t>7</w:t>
      </w:r>
      <w:r>
        <w:rPr>
          <w:rFonts w:ascii="Arial" w:eastAsia="Arial" w:hAnsi="Arial" w:cs="Arial"/>
        </w:rPr>
        <w:t xml:space="preserve">]. Extrapolating this to our study, we expected the median OS of our </w:t>
      </w:r>
      <w:r w:rsidR="004A2F69">
        <w:rPr>
          <w:rFonts w:ascii="Arial" w:eastAsia="Arial" w:hAnsi="Arial" w:cs="Arial"/>
        </w:rPr>
        <w:t xml:space="preserve">patients with SCLC and </w:t>
      </w:r>
      <w:r>
        <w:rPr>
          <w:rFonts w:ascii="Arial" w:eastAsia="Arial" w:hAnsi="Arial" w:cs="Arial"/>
        </w:rPr>
        <w:t>poor PS</w:t>
      </w:r>
      <w:r w:rsidR="004A2F69">
        <w:rPr>
          <w:rFonts w:ascii="Arial" w:eastAsia="Arial" w:hAnsi="Arial" w:cs="Arial"/>
        </w:rPr>
        <w:t xml:space="preserve"> who </w:t>
      </w:r>
      <w:r w:rsidR="00EA6808">
        <w:rPr>
          <w:rFonts w:ascii="Arial" w:eastAsia="Arial" w:hAnsi="Arial" w:cs="Arial"/>
        </w:rPr>
        <w:t>received</w:t>
      </w:r>
      <w:r>
        <w:rPr>
          <w:rFonts w:ascii="Arial" w:eastAsia="Arial" w:hAnsi="Arial" w:cs="Arial"/>
        </w:rPr>
        <w:t xml:space="preserve"> chemotherapy to be in the range of 5 months. Thus, with an expected 5-month survival of 50% and a confidence interval of +/- 6%, we required approximately 250 patients to be included in the study. </w:t>
      </w:r>
    </w:p>
    <w:p w14:paraId="2E154A3E" w14:textId="77777777" w:rsidR="00CA0A75" w:rsidRDefault="00CA0A75">
      <w:pPr>
        <w:spacing w:after="0" w:line="480" w:lineRule="auto"/>
        <w:jc w:val="both"/>
        <w:rPr>
          <w:rFonts w:ascii="Arial" w:eastAsia="Arial" w:hAnsi="Arial" w:cs="Arial"/>
          <w:i/>
        </w:rPr>
      </w:pPr>
    </w:p>
    <w:p w14:paraId="01CDEE77" w14:textId="77777777" w:rsidR="00CA0A75" w:rsidRDefault="002D2DFC">
      <w:pPr>
        <w:spacing w:after="0" w:line="480" w:lineRule="auto"/>
        <w:jc w:val="both"/>
        <w:rPr>
          <w:rFonts w:ascii="Arial" w:eastAsia="Arial" w:hAnsi="Arial" w:cs="Arial"/>
          <w:u w:val="single"/>
        </w:rPr>
      </w:pPr>
      <w:r>
        <w:rPr>
          <w:rFonts w:ascii="Arial" w:eastAsia="Arial" w:hAnsi="Arial" w:cs="Arial"/>
          <w:u w:val="single"/>
        </w:rPr>
        <w:t>Statistical analysis</w:t>
      </w:r>
    </w:p>
    <w:p w14:paraId="5441F8B6" w14:textId="62CD9251" w:rsidR="00CA0A75" w:rsidRDefault="002D2DFC">
      <w:pPr>
        <w:pBdr>
          <w:top w:val="nil"/>
          <w:left w:val="nil"/>
          <w:bottom w:val="nil"/>
          <w:right w:val="nil"/>
          <w:between w:val="nil"/>
        </w:pBdr>
        <w:spacing w:after="0" w:line="480" w:lineRule="auto"/>
        <w:jc w:val="both"/>
        <w:rPr>
          <w:rFonts w:ascii="Arial" w:eastAsia="Arial" w:hAnsi="Arial" w:cs="Arial"/>
          <w:color w:val="000000"/>
        </w:rPr>
      </w:pPr>
      <w:r>
        <w:rPr>
          <w:rFonts w:ascii="Arial" w:eastAsia="Arial" w:hAnsi="Arial" w:cs="Arial"/>
          <w:color w:val="000000"/>
        </w:rPr>
        <w:t xml:space="preserve">Data were entered into </w:t>
      </w:r>
      <w:r w:rsidR="00F60C93">
        <w:rPr>
          <w:rFonts w:ascii="Arial" w:eastAsia="Arial" w:hAnsi="Arial" w:cs="Arial"/>
          <w:color w:val="000000"/>
        </w:rPr>
        <w:t xml:space="preserve">the </w:t>
      </w:r>
      <w:r>
        <w:rPr>
          <w:rFonts w:ascii="Arial" w:eastAsia="Arial" w:hAnsi="Arial" w:cs="Arial"/>
          <w:color w:val="000000"/>
        </w:rPr>
        <w:t>Statistical Package for the Social Sciences (SPSS), version 2</w:t>
      </w:r>
      <w:r w:rsidR="002F4DA5">
        <w:rPr>
          <w:rFonts w:ascii="Arial" w:eastAsia="Arial" w:hAnsi="Arial" w:cs="Arial"/>
          <w:color w:val="000000"/>
        </w:rPr>
        <w:t xml:space="preserve">5 and </w:t>
      </w:r>
      <w:r w:rsidR="002F4DA5">
        <w:rPr>
          <w:rFonts w:ascii="Arial" w:hAnsi="Arial" w:cs="Arial"/>
          <w:color w:val="222222"/>
          <w:shd w:val="clear" w:color="auto" w:fill="FFFFFF"/>
        </w:rPr>
        <w:t>RStudio Version 1.2.5019</w:t>
      </w:r>
      <w:r>
        <w:rPr>
          <w:rFonts w:ascii="Arial" w:eastAsia="Arial" w:hAnsi="Arial" w:cs="Arial"/>
          <w:color w:val="000000"/>
        </w:rPr>
        <w:t xml:space="preserve">. For patient demographics and baseline characteristics, descriptive statistics have been used. To compare the groups of patients who received BSC, initial attenuated chemotherapy and standard full-dose chemotherapy, Chi-square test and ANOVA test were used. </w:t>
      </w:r>
      <w:r w:rsidR="003135B4">
        <w:rPr>
          <w:rFonts w:ascii="Arial" w:eastAsia="Arial" w:hAnsi="Arial" w:cs="Arial"/>
          <w:color w:val="000000"/>
        </w:rPr>
        <w:t>The t</w:t>
      </w:r>
      <w:r>
        <w:rPr>
          <w:rFonts w:ascii="Arial" w:eastAsia="Arial" w:hAnsi="Arial" w:cs="Arial"/>
          <w:color w:val="000000"/>
        </w:rPr>
        <w:t>oxicity</w:t>
      </w:r>
      <w:r w:rsidR="000816AC">
        <w:rPr>
          <w:rFonts w:ascii="Arial" w:eastAsia="Arial" w:hAnsi="Arial" w:cs="Arial"/>
          <w:color w:val="000000"/>
        </w:rPr>
        <w:t xml:space="preserve"> data </w:t>
      </w:r>
      <w:r w:rsidR="004A6592">
        <w:rPr>
          <w:rFonts w:ascii="Arial" w:eastAsia="Arial" w:hAnsi="Arial" w:cs="Arial"/>
          <w:color w:val="000000"/>
        </w:rPr>
        <w:t>have been presented with</w:t>
      </w:r>
      <w:r>
        <w:rPr>
          <w:rFonts w:ascii="Arial" w:eastAsia="Arial" w:hAnsi="Arial" w:cs="Arial"/>
          <w:color w:val="000000"/>
        </w:rPr>
        <w:t xml:space="preserve"> absolute numbers and simple percentages. </w:t>
      </w:r>
      <w:r w:rsidR="003E4DB8">
        <w:rPr>
          <w:rFonts w:ascii="Arial" w:eastAsia="Arial" w:hAnsi="Arial" w:cs="Arial"/>
          <w:color w:val="000000"/>
        </w:rPr>
        <w:t>The r</w:t>
      </w:r>
      <w:r>
        <w:rPr>
          <w:rFonts w:ascii="Arial" w:eastAsia="Arial" w:hAnsi="Arial" w:cs="Arial"/>
          <w:color w:val="000000"/>
        </w:rPr>
        <w:t xml:space="preserve">esponse rate was calculated using simple percentages. </w:t>
      </w:r>
      <w:r w:rsidR="004632EE">
        <w:rPr>
          <w:rFonts w:ascii="Arial" w:eastAsia="Arial" w:hAnsi="Arial" w:cs="Arial"/>
          <w:color w:val="000000"/>
        </w:rPr>
        <w:t>The s</w:t>
      </w:r>
      <w:r>
        <w:rPr>
          <w:rFonts w:ascii="Arial" w:eastAsia="Arial" w:hAnsi="Arial" w:cs="Arial"/>
          <w:color w:val="000000"/>
        </w:rPr>
        <w:t>urvival analysis was done by the Kaplan-Meier method [</w:t>
      </w:r>
      <w:r w:rsidR="00C3696F">
        <w:rPr>
          <w:rFonts w:ascii="Arial" w:eastAsia="Arial" w:hAnsi="Arial" w:cs="Arial"/>
          <w:color w:val="000000"/>
        </w:rPr>
        <w:t>8</w:t>
      </w:r>
      <w:r>
        <w:rPr>
          <w:rFonts w:ascii="Arial" w:eastAsia="Arial" w:hAnsi="Arial" w:cs="Arial"/>
          <w:color w:val="000000"/>
        </w:rPr>
        <w:t>]. To evaluate the factors that affected survival, log rank test and Cox proportional hazard model were used [</w:t>
      </w:r>
      <w:r w:rsidR="00C3696F">
        <w:rPr>
          <w:rFonts w:ascii="Arial" w:eastAsia="Arial" w:hAnsi="Arial" w:cs="Arial"/>
          <w:color w:val="000000"/>
        </w:rPr>
        <w:t>9</w:t>
      </w:r>
      <w:r>
        <w:rPr>
          <w:rFonts w:ascii="Arial" w:eastAsia="Arial" w:hAnsi="Arial" w:cs="Arial"/>
          <w:color w:val="000000"/>
        </w:rPr>
        <w:t>,1</w:t>
      </w:r>
      <w:r w:rsidR="00C3696F">
        <w:rPr>
          <w:rFonts w:ascii="Arial" w:eastAsia="Arial" w:hAnsi="Arial" w:cs="Arial"/>
          <w:color w:val="000000"/>
        </w:rPr>
        <w:t>0</w:t>
      </w:r>
      <w:r>
        <w:rPr>
          <w:rFonts w:ascii="Arial" w:eastAsia="Arial" w:hAnsi="Arial" w:cs="Arial"/>
          <w:color w:val="000000"/>
        </w:rPr>
        <w:t>].</w:t>
      </w:r>
    </w:p>
    <w:p w14:paraId="01EF41C7" w14:textId="77777777" w:rsidR="00CA0A75" w:rsidRDefault="00CA0A75">
      <w:pPr>
        <w:spacing w:after="0" w:line="480" w:lineRule="auto"/>
        <w:rPr>
          <w:rFonts w:ascii="Arial" w:eastAsia="Arial" w:hAnsi="Arial" w:cs="Arial"/>
        </w:rPr>
      </w:pPr>
    </w:p>
    <w:p w14:paraId="52BB29BC" w14:textId="77777777" w:rsidR="00CA0A75" w:rsidRDefault="002D2DFC">
      <w:pPr>
        <w:spacing w:after="0" w:line="480" w:lineRule="auto"/>
        <w:rPr>
          <w:rFonts w:ascii="Arial" w:eastAsia="Arial" w:hAnsi="Arial" w:cs="Arial"/>
        </w:rPr>
      </w:pPr>
      <w:r>
        <w:rPr>
          <w:rFonts w:ascii="Arial" w:eastAsia="Arial" w:hAnsi="Arial" w:cs="Arial"/>
          <w:b/>
        </w:rPr>
        <w:t>Results</w:t>
      </w:r>
    </w:p>
    <w:p w14:paraId="6BF14A2F" w14:textId="0FBE02FE" w:rsidR="00D46273" w:rsidRDefault="002D2DFC">
      <w:pPr>
        <w:spacing w:after="0" w:line="480" w:lineRule="auto"/>
        <w:rPr>
          <w:rFonts w:ascii="Arial" w:eastAsia="Arial" w:hAnsi="Arial" w:cs="Arial"/>
        </w:rPr>
      </w:pPr>
      <w:r>
        <w:rPr>
          <w:rFonts w:ascii="Arial" w:eastAsia="Arial" w:hAnsi="Arial" w:cs="Arial"/>
        </w:rPr>
        <w:t>Between June 2010 and August 2019, we enrolled 234 patients. The flowchart of patient</w:t>
      </w:r>
      <w:r w:rsidR="00D943A2">
        <w:rPr>
          <w:rFonts w:ascii="Arial" w:eastAsia="Arial" w:hAnsi="Arial" w:cs="Arial"/>
        </w:rPr>
        <w:t xml:space="preserve"> recruitment and management</w:t>
      </w:r>
      <w:r>
        <w:rPr>
          <w:rFonts w:ascii="Arial" w:eastAsia="Arial" w:hAnsi="Arial" w:cs="Arial"/>
        </w:rPr>
        <w:t xml:space="preserve"> is provided in Fig 1. There were 185 (79%) patients </w:t>
      </w:r>
      <w:r w:rsidR="00083E35">
        <w:rPr>
          <w:rFonts w:ascii="Arial" w:eastAsia="Arial" w:hAnsi="Arial" w:cs="Arial"/>
        </w:rPr>
        <w:t xml:space="preserve">with SCLC </w:t>
      </w:r>
      <w:r w:rsidR="008A31E9">
        <w:rPr>
          <w:rFonts w:ascii="Arial" w:eastAsia="Arial" w:hAnsi="Arial" w:cs="Arial"/>
        </w:rPr>
        <w:t>and</w:t>
      </w:r>
      <w:r>
        <w:rPr>
          <w:rFonts w:ascii="Arial" w:eastAsia="Arial" w:hAnsi="Arial" w:cs="Arial"/>
        </w:rPr>
        <w:t xml:space="preserve"> PS 3</w:t>
      </w:r>
      <w:r w:rsidR="008A31E9">
        <w:rPr>
          <w:rFonts w:ascii="Arial" w:eastAsia="Arial" w:hAnsi="Arial" w:cs="Arial"/>
        </w:rPr>
        <w:t xml:space="preserve">; </w:t>
      </w:r>
      <w:r>
        <w:rPr>
          <w:rFonts w:ascii="Arial" w:eastAsia="Arial" w:hAnsi="Arial" w:cs="Arial"/>
        </w:rPr>
        <w:t xml:space="preserve">49 (21%) </w:t>
      </w:r>
      <w:r w:rsidR="008A31E9">
        <w:rPr>
          <w:rFonts w:ascii="Arial" w:eastAsia="Arial" w:hAnsi="Arial" w:cs="Arial"/>
        </w:rPr>
        <w:t xml:space="preserve">patients had a </w:t>
      </w:r>
      <w:r>
        <w:rPr>
          <w:rFonts w:ascii="Arial" w:eastAsia="Arial" w:hAnsi="Arial" w:cs="Arial"/>
        </w:rPr>
        <w:t xml:space="preserve">PS </w:t>
      </w:r>
      <w:r w:rsidR="008A31E9">
        <w:rPr>
          <w:rFonts w:ascii="Arial" w:eastAsia="Arial" w:hAnsi="Arial" w:cs="Arial"/>
        </w:rPr>
        <w:t xml:space="preserve">of </w:t>
      </w:r>
      <w:r>
        <w:rPr>
          <w:rFonts w:ascii="Arial" w:eastAsia="Arial" w:hAnsi="Arial" w:cs="Arial"/>
        </w:rPr>
        <w:t xml:space="preserve">4. Demographic details are provided in Table 1. </w:t>
      </w:r>
      <w:r w:rsidR="00D56E11">
        <w:rPr>
          <w:rFonts w:ascii="Arial" w:eastAsia="Arial" w:hAnsi="Arial" w:cs="Arial"/>
        </w:rPr>
        <w:t xml:space="preserve">Baseline staging was done </w:t>
      </w:r>
      <w:r w:rsidR="007C293E">
        <w:rPr>
          <w:rFonts w:ascii="Arial" w:eastAsia="Arial" w:hAnsi="Arial" w:cs="Arial"/>
        </w:rPr>
        <w:t xml:space="preserve">with CT scans in </w:t>
      </w:r>
      <w:r>
        <w:rPr>
          <w:rFonts w:ascii="Arial" w:eastAsia="Arial" w:hAnsi="Arial" w:cs="Arial"/>
        </w:rPr>
        <w:t xml:space="preserve">171 patients (73.1%) </w:t>
      </w:r>
      <w:r w:rsidR="007C293E">
        <w:rPr>
          <w:rFonts w:ascii="Arial" w:eastAsia="Arial" w:hAnsi="Arial" w:cs="Arial"/>
        </w:rPr>
        <w:t>and with PET-CT scans in</w:t>
      </w:r>
      <w:r>
        <w:rPr>
          <w:rFonts w:ascii="Arial" w:eastAsia="Arial" w:hAnsi="Arial" w:cs="Arial"/>
        </w:rPr>
        <w:t xml:space="preserve"> 63 (26.9%). </w:t>
      </w:r>
      <w:r w:rsidR="00D0140E">
        <w:rPr>
          <w:rFonts w:ascii="Arial" w:eastAsia="Arial" w:hAnsi="Arial" w:cs="Arial"/>
        </w:rPr>
        <w:t xml:space="preserve">A paraneoplastic syndrome was present in </w:t>
      </w:r>
      <w:r>
        <w:rPr>
          <w:rFonts w:ascii="Arial" w:eastAsia="Arial" w:hAnsi="Arial" w:cs="Arial"/>
        </w:rPr>
        <w:t>11 patients (4.7%)</w:t>
      </w:r>
      <w:r w:rsidR="00D0140E">
        <w:rPr>
          <w:rFonts w:ascii="Arial" w:eastAsia="Arial" w:hAnsi="Arial" w:cs="Arial"/>
        </w:rPr>
        <w:t xml:space="preserve"> </w:t>
      </w:r>
      <w:r>
        <w:rPr>
          <w:rFonts w:ascii="Arial" w:eastAsia="Arial" w:hAnsi="Arial" w:cs="Arial"/>
        </w:rPr>
        <w:t>at presentation</w:t>
      </w:r>
      <w:r w:rsidR="0081342B">
        <w:rPr>
          <w:rFonts w:ascii="Arial" w:eastAsia="Arial" w:hAnsi="Arial" w:cs="Arial"/>
        </w:rPr>
        <w:t xml:space="preserve">, including the </w:t>
      </w:r>
      <w:r w:rsidR="004C11C9">
        <w:rPr>
          <w:rFonts w:ascii="Arial" w:eastAsia="Arial" w:hAnsi="Arial" w:cs="Arial"/>
        </w:rPr>
        <w:t>s</w:t>
      </w:r>
      <w:r>
        <w:rPr>
          <w:rFonts w:ascii="Arial" w:eastAsia="Arial" w:hAnsi="Arial" w:cs="Arial"/>
        </w:rPr>
        <w:t>yndrome of inappropriate ADH secretion</w:t>
      </w:r>
      <w:r w:rsidR="0081342B">
        <w:rPr>
          <w:rFonts w:ascii="Arial" w:eastAsia="Arial" w:hAnsi="Arial" w:cs="Arial"/>
        </w:rPr>
        <w:t xml:space="preserve"> in </w:t>
      </w:r>
      <w:r>
        <w:rPr>
          <w:rFonts w:ascii="Arial" w:eastAsia="Arial" w:hAnsi="Arial" w:cs="Arial"/>
        </w:rPr>
        <w:t>7, polymyositis-1, dermatomyositis-1, Cushing’s syndrome-</w:t>
      </w:r>
      <w:proofErr w:type="gramStart"/>
      <w:r>
        <w:rPr>
          <w:rFonts w:ascii="Arial" w:eastAsia="Arial" w:hAnsi="Arial" w:cs="Arial"/>
        </w:rPr>
        <w:t>1</w:t>
      </w:r>
      <w:proofErr w:type="gramEnd"/>
      <w:r>
        <w:rPr>
          <w:rFonts w:ascii="Arial" w:eastAsia="Arial" w:hAnsi="Arial" w:cs="Arial"/>
        </w:rPr>
        <w:t xml:space="preserve"> and Eaton Lambert syndrome-1. </w:t>
      </w:r>
      <w:r w:rsidR="000333D1">
        <w:rPr>
          <w:rFonts w:ascii="Arial" w:eastAsia="Arial" w:hAnsi="Arial" w:cs="Arial"/>
        </w:rPr>
        <w:t xml:space="preserve">Spontaneous tumor lysis syndrome was noted in </w:t>
      </w:r>
      <w:r>
        <w:rPr>
          <w:rFonts w:ascii="Arial" w:eastAsia="Arial" w:hAnsi="Arial" w:cs="Arial"/>
        </w:rPr>
        <w:t xml:space="preserve">26 patients (11.1%). </w:t>
      </w:r>
    </w:p>
    <w:p w14:paraId="713D0536" w14:textId="405EF21A" w:rsidR="00CA0A75" w:rsidRDefault="002D2DFC">
      <w:pPr>
        <w:spacing w:after="0" w:line="480" w:lineRule="auto"/>
        <w:rPr>
          <w:rFonts w:ascii="Arial" w:eastAsia="Arial" w:hAnsi="Arial" w:cs="Arial"/>
        </w:rPr>
      </w:pPr>
      <w:r>
        <w:rPr>
          <w:rFonts w:ascii="Arial" w:eastAsia="Arial" w:hAnsi="Arial" w:cs="Arial"/>
        </w:rPr>
        <w:lastRenderedPageBreak/>
        <w:t>The details of the therapy provided are given in Table 2. Patients managed with BSC upfront appeared to have the least favorable characteristics, specifically older age, lower body weight and poorer renal function</w:t>
      </w:r>
      <w:r w:rsidR="000E72E4">
        <w:rPr>
          <w:rFonts w:ascii="Arial" w:eastAsia="Arial" w:hAnsi="Arial" w:cs="Arial"/>
        </w:rPr>
        <w:t>, as compared to the patients who received attenuated or standard chemotherapy</w:t>
      </w:r>
      <w:r>
        <w:rPr>
          <w:rFonts w:ascii="Arial" w:eastAsia="Arial" w:hAnsi="Arial" w:cs="Arial"/>
        </w:rPr>
        <w:t xml:space="preserve"> (Table 3).</w:t>
      </w:r>
    </w:p>
    <w:p w14:paraId="4CFDD962" w14:textId="5D9F8FC8" w:rsidR="00CA0A75" w:rsidRDefault="002D2DFC">
      <w:pPr>
        <w:spacing w:after="0" w:line="480" w:lineRule="auto"/>
        <w:rPr>
          <w:rFonts w:ascii="Arial" w:eastAsia="Arial" w:hAnsi="Arial" w:cs="Arial"/>
        </w:rPr>
      </w:pPr>
      <w:r>
        <w:rPr>
          <w:rFonts w:ascii="Arial" w:eastAsia="Arial" w:hAnsi="Arial" w:cs="Arial"/>
        </w:rPr>
        <w:t xml:space="preserve">Of the 154 patients who received attenuated chemotherapy initially, 65 patients (42.2%) received </w:t>
      </w:r>
      <w:r w:rsidR="001E1D32">
        <w:rPr>
          <w:rFonts w:ascii="Arial" w:eastAsia="Arial" w:hAnsi="Arial" w:cs="Arial"/>
        </w:rPr>
        <w:t>GCSF</w:t>
      </w:r>
      <w:r>
        <w:rPr>
          <w:rFonts w:ascii="Arial" w:eastAsia="Arial" w:hAnsi="Arial" w:cs="Arial"/>
        </w:rPr>
        <w:t xml:space="preserve">. The median time to the start of attenuated chemotherapy was 10 days (IQR, 6-16 days) from the date the biopsy was taken. The median number of cycles of attenuated chemotherapy was 1 (IQR, 1-2). Of the 125 patients in whom the change in symptoms </w:t>
      </w:r>
      <w:r w:rsidR="00EB066F">
        <w:rPr>
          <w:rFonts w:ascii="Arial" w:eastAsia="Arial" w:hAnsi="Arial" w:cs="Arial"/>
        </w:rPr>
        <w:t>following</w:t>
      </w:r>
      <w:r>
        <w:rPr>
          <w:rFonts w:ascii="Arial" w:eastAsia="Arial" w:hAnsi="Arial" w:cs="Arial"/>
        </w:rPr>
        <w:t xml:space="preserve"> </w:t>
      </w:r>
      <w:r w:rsidR="00142425">
        <w:rPr>
          <w:rFonts w:ascii="Arial" w:eastAsia="Arial" w:hAnsi="Arial" w:cs="Arial"/>
        </w:rPr>
        <w:t xml:space="preserve">the </w:t>
      </w:r>
      <w:r>
        <w:rPr>
          <w:rFonts w:ascii="Arial" w:eastAsia="Arial" w:hAnsi="Arial" w:cs="Arial"/>
        </w:rPr>
        <w:t xml:space="preserve">administration of chemotherapy was documented, 14 (11.2%) patients reported no improvement in symptoms; the remaining 111 (88.8%) experienced varying degrees of symptom relief. The median time from the start of attenuated chemotherapy to any degree of symptom relief was 3 days (IQR, 1-7). The toxicity of attenuated chemotherapy is detailed in Table </w:t>
      </w:r>
      <w:r w:rsidR="00951B0E">
        <w:rPr>
          <w:rFonts w:ascii="Arial" w:eastAsia="Arial" w:hAnsi="Arial" w:cs="Arial"/>
        </w:rPr>
        <w:t>S1</w:t>
      </w:r>
      <w:r>
        <w:rPr>
          <w:rFonts w:ascii="Arial" w:eastAsia="Arial" w:hAnsi="Arial" w:cs="Arial"/>
        </w:rPr>
        <w:t xml:space="preserve">. </w:t>
      </w:r>
      <w:r w:rsidR="00F71781">
        <w:rPr>
          <w:rFonts w:ascii="Arial" w:eastAsia="Arial" w:hAnsi="Arial" w:cs="Arial"/>
        </w:rPr>
        <w:t xml:space="preserve">Grade 3 and higher toxicities occurred in </w:t>
      </w:r>
      <w:r>
        <w:rPr>
          <w:rFonts w:ascii="Arial" w:eastAsia="Arial" w:hAnsi="Arial" w:cs="Arial"/>
        </w:rPr>
        <w:t xml:space="preserve">78 of 131 patients </w:t>
      </w:r>
      <w:r w:rsidR="00F71781">
        <w:rPr>
          <w:rFonts w:ascii="Arial" w:eastAsia="Arial" w:hAnsi="Arial" w:cs="Arial"/>
        </w:rPr>
        <w:t xml:space="preserve">(59.5%) </w:t>
      </w:r>
      <w:r>
        <w:rPr>
          <w:rFonts w:ascii="Arial" w:eastAsia="Arial" w:hAnsi="Arial" w:cs="Arial"/>
        </w:rPr>
        <w:t xml:space="preserve">in the attenuated chemotherapy safety set. In the 31 patients who received upfront standard chemotherapy, the median time to </w:t>
      </w:r>
      <w:r w:rsidR="00FE5AF3">
        <w:rPr>
          <w:rFonts w:ascii="Arial" w:eastAsia="Arial" w:hAnsi="Arial" w:cs="Arial"/>
        </w:rPr>
        <w:t xml:space="preserve">the </w:t>
      </w:r>
      <w:r>
        <w:rPr>
          <w:rFonts w:ascii="Arial" w:eastAsia="Arial" w:hAnsi="Arial" w:cs="Arial"/>
        </w:rPr>
        <w:t xml:space="preserve">start of chemotherapy was 8 days (IQR, 2-17). </w:t>
      </w:r>
      <w:r w:rsidR="00C91A2D">
        <w:rPr>
          <w:rFonts w:ascii="Arial" w:eastAsia="Arial" w:hAnsi="Arial" w:cs="Arial"/>
        </w:rPr>
        <w:t xml:space="preserve">Grade 3 and higher toxicities occurred in </w:t>
      </w:r>
      <w:r>
        <w:rPr>
          <w:rFonts w:ascii="Arial" w:eastAsia="Arial" w:hAnsi="Arial" w:cs="Arial"/>
        </w:rPr>
        <w:t>25 of 28 patients (89.3%) who received upfront standard chemotherapy and for whom toxicity details were available</w:t>
      </w:r>
      <w:r w:rsidR="00C91A2D">
        <w:rPr>
          <w:rFonts w:ascii="Arial" w:eastAsia="Arial" w:hAnsi="Arial" w:cs="Arial"/>
        </w:rPr>
        <w:t xml:space="preserve"> </w:t>
      </w:r>
      <w:r w:rsidR="00CD7354">
        <w:rPr>
          <w:rFonts w:ascii="Arial" w:eastAsia="Arial" w:hAnsi="Arial" w:cs="Arial"/>
        </w:rPr>
        <w:t xml:space="preserve">(Table </w:t>
      </w:r>
      <w:r w:rsidR="008510DA">
        <w:rPr>
          <w:rFonts w:ascii="Arial" w:eastAsia="Arial" w:hAnsi="Arial" w:cs="Arial"/>
        </w:rPr>
        <w:t>S</w:t>
      </w:r>
      <w:r w:rsidR="00C91A2D">
        <w:rPr>
          <w:rFonts w:ascii="Arial" w:eastAsia="Arial" w:hAnsi="Arial" w:cs="Arial"/>
        </w:rPr>
        <w:t>2</w:t>
      </w:r>
      <w:r w:rsidR="00CD7354">
        <w:rPr>
          <w:rFonts w:ascii="Arial" w:eastAsia="Arial" w:hAnsi="Arial" w:cs="Arial"/>
        </w:rPr>
        <w:t>)</w:t>
      </w:r>
      <w:r>
        <w:rPr>
          <w:rFonts w:ascii="Arial" w:eastAsia="Arial" w:hAnsi="Arial" w:cs="Arial"/>
        </w:rPr>
        <w:t xml:space="preserve">. </w:t>
      </w:r>
    </w:p>
    <w:p w14:paraId="41896CAD" w14:textId="30D883F9" w:rsidR="00CA0A75" w:rsidRDefault="002D2DFC">
      <w:pPr>
        <w:spacing w:after="0" w:line="480" w:lineRule="auto"/>
        <w:rPr>
          <w:rFonts w:ascii="Arial" w:eastAsia="Arial" w:hAnsi="Arial" w:cs="Arial"/>
        </w:rPr>
      </w:pPr>
      <w:r>
        <w:rPr>
          <w:rFonts w:ascii="Arial" w:eastAsia="Arial" w:hAnsi="Arial" w:cs="Arial"/>
        </w:rPr>
        <w:t xml:space="preserve">In the 154 patients who were started on initial attenuated chemotherapy, 74 (48.1%) patients went on to receive </w:t>
      </w:r>
      <w:r w:rsidR="00997B82">
        <w:rPr>
          <w:rFonts w:ascii="Arial" w:eastAsia="Arial" w:hAnsi="Arial" w:cs="Arial"/>
        </w:rPr>
        <w:t xml:space="preserve">standard </w:t>
      </w:r>
      <w:r>
        <w:rPr>
          <w:rFonts w:ascii="Arial" w:eastAsia="Arial" w:hAnsi="Arial" w:cs="Arial"/>
        </w:rPr>
        <w:t xml:space="preserve">full dose chemotherapy. The median time from diagnosis to the start of standard chemotherapy was 35 days (IQR, 27 to 48 days). </w:t>
      </w:r>
      <w:r w:rsidR="006C1BE3">
        <w:rPr>
          <w:rFonts w:ascii="Arial" w:eastAsia="Arial" w:hAnsi="Arial" w:cs="Arial"/>
        </w:rPr>
        <w:t xml:space="preserve">The </w:t>
      </w:r>
      <w:r>
        <w:rPr>
          <w:rFonts w:ascii="Arial" w:eastAsia="Arial" w:hAnsi="Arial" w:cs="Arial"/>
        </w:rPr>
        <w:t>PS at the start of standard chemotherapy was 0</w:t>
      </w:r>
      <w:r w:rsidR="006C1BE3">
        <w:rPr>
          <w:rFonts w:ascii="Arial" w:eastAsia="Arial" w:hAnsi="Arial" w:cs="Arial"/>
        </w:rPr>
        <w:t>-</w:t>
      </w:r>
      <w:r w:rsidR="00016555">
        <w:rPr>
          <w:rFonts w:ascii="Arial" w:eastAsia="Arial" w:hAnsi="Arial" w:cs="Arial"/>
        </w:rPr>
        <w:t xml:space="preserve">2 in </w:t>
      </w:r>
      <w:r w:rsidR="006C1BE3">
        <w:rPr>
          <w:rFonts w:ascii="Arial" w:eastAsia="Arial" w:hAnsi="Arial" w:cs="Arial"/>
        </w:rPr>
        <w:t>52 patients (</w:t>
      </w:r>
      <w:r w:rsidR="00193CF9">
        <w:rPr>
          <w:rFonts w:ascii="Arial" w:eastAsia="Arial" w:hAnsi="Arial" w:cs="Arial"/>
        </w:rPr>
        <w:t>74</w:t>
      </w:r>
      <w:r>
        <w:rPr>
          <w:rFonts w:ascii="Arial" w:eastAsia="Arial" w:hAnsi="Arial" w:cs="Arial"/>
        </w:rPr>
        <w:t xml:space="preserve">%), and </w:t>
      </w:r>
      <w:r w:rsidR="00FD0A96">
        <w:rPr>
          <w:rFonts w:ascii="Arial" w:eastAsia="Arial" w:hAnsi="Arial" w:cs="Arial"/>
        </w:rPr>
        <w:t xml:space="preserve">PS </w:t>
      </w:r>
      <w:r>
        <w:rPr>
          <w:rFonts w:ascii="Arial" w:eastAsia="Arial" w:hAnsi="Arial" w:cs="Arial"/>
        </w:rPr>
        <w:t xml:space="preserve">3 in 10 patients (13.5%). The standard chemotherapy regimen </w:t>
      </w:r>
      <w:r w:rsidR="000355F1">
        <w:rPr>
          <w:rFonts w:ascii="Arial" w:eastAsia="Arial" w:hAnsi="Arial" w:cs="Arial"/>
        </w:rPr>
        <w:t xml:space="preserve">in all patients </w:t>
      </w:r>
      <w:r>
        <w:rPr>
          <w:rFonts w:ascii="Arial" w:eastAsia="Arial" w:hAnsi="Arial" w:cs="Arial"/>
        </w:rPr>
        <w:t xml:space="preserve">was platinum and etoposide; </w:t>
      </w:r>
      <w:r w:rsidR="0080258D">
        <w:rPr>
          <w:rFonts w:ascii="Arial" w:eastAsia="Arial" w:hAnsi="Arial" w:cs="Arial"/>
        </w:rPr>
        <w:t xml:space="preserve">in </w:t>
      </w:r>
      <w:r>
        <w:rPr>
          <w:rFonts w:ascii="Arial" w:eastAsia="Arial" w:hAnsi="Arial" w:cs="Arial"/>
        </w:rPr>
        <w:t>74% patients</w:t>
      </w:r>
      <w:r w:rsidR="0080258D">
        <w:rPr>
          <w:rFonts w:ascii="Arial" w:eastAsia="Arial" w:hAnsi="Arial" w:cs="Arial"/>
        </w:rPr>
        <w:t xml:space="preserve">, the platinum </w:t>
      </w:r>
      <w:r w:rsidR="001E494F">
        <w:rPr>
          <w:rFonts w:ascii="Arial" w:eastAsia="Arial" w:hAnsi="Arial" w:cs="Arial"/>
        </w:rPr>
        <w:t xml:space="preserve">administered </w:t>
      </w:r>
      <w:r w:rsidR="0080258D">
        <w:rPr>
          <w:rFonts w:ascii="Arial" w:eastAsia="Arial" w:hAnsi="Arial" w:cs="Arial"/>
        </w:rPr>
        <w:t xml:space="preserve">was </w:t>
      </w:r>
      <w:r>
        <w:rPr>
          <w:rFonts w:ascii="Arial" w:eastAsia="Arial" w:hAnsi="Arial" w:cs="Arial"/>
        </w:rPr>
        <w:t xml:space="preserve">carboplatin. </w:t>
      </w:r>
      <w:r w:rsidR="0080258D">
        <w:rPr>
          <w:rFonts w:ascii="Arial" w:eastAsia="Arial" w:hAnsi="Arial" w:cs="Arial"/>
        </w:rPr>
        <w:t xml:space="preserve">In </w:t>
      </w:r>
      <w:r>
        <w:rPr>
          <w:rFonts w:ascii="Arial" w:eastAsia="Arial" w:hAnsi="Arial" w:cs="Arial"/>
        </w:rPr>
        <w:t>50 patients (67.6%)</w:t>
      </w:r>
      <w:r w:rsidR="0080258D">
        <w:rPr>
          <w:rFonts w:ascii="Arial" w:eastAsia="Arial" w:hAnsi="Arial" w:cs="Arial"/>
        </w:rPr>
        <w:t>, GCSF was used</w:t>
      </w:r>
      <w:r>
        <w:rPr>
          <w:rFonts w:ascii="Arial" w:eastAsia="Arial" w:hAnsi="Arial" w:cs="Arial"/>
        </w:rPr>
        <w:t xml:space="preserve">. The median number of cycles of standard chemotherapy was 4 (IQR, 2-5). 43 patients (69.4%) experienced </w:t>
      </w:r>
      <w:r>
        <w:rPr>
          <w:rFonts w:ascii="Arial" w:eastAsia="Arial" w:hAnsi="Arial" w:cs="Arial"/>
          <w:u w:val="single"/>
        </w:rPr>
        <w:t>&gt;</w:t>
      </w:r>
      <w:r>
        <w:rPr>
          <w:rFonts w:ascii="Arial" w:eastAsia="Arial" w:hAnsi="Arial" w:cs="Arial"/>
        </w:rPr>
        <w:t xml:space="preserve"> grade 3 toxicities</w:t>
      </w:r>
      <w:r w:rsidR="00D11373">
        <w:rPr>
          <w:rFonts w:ascii="Arial" w:eastAsia="Arial" w:hAnsi="Arial" w:cs="Arial"/>
        </w:rPr>
        <w:t xml:space="preserve"> from standard chemotherapy</w:t>
      </w:r>
      <w:r w:rsidR="005608A2">
        <w:rPr>
          <w:rFonts w:ascii="Arial" w:eastAsia="Arial" w:hAnsi="Arial" w:cs="Arial"/>
        </w:rPr>
        <w:t xml:space="preserve"> (Table S2)</w:t>
      </w:r>
      <w:r>
        <w:rPr>
          <w:rFonts w:ascii="Arial" w:eastAsia="Arial" w:hAnsi="Arial" w:cs="Arial"/>
        </w:rPr>
        <w:t xml:space="preserve">. </w:t>
      </w:r>
    </w:p>
    <w:p w14:paraId="15DA3A0C" w14:textId="7F44CCF1" w:rsidR="00715D2B" w:rsidRDefault="002D2DFC">
      <w:pPr>
        <w:spacing w:after="0" w:line="480" w:lineRule="auto"/>
        <w:rPr>
          <w:rFonts w:ascii="Arial" w:eastAsia="Arial" w:hAnsi="Arial" w:cs="Arial"/>
        </w:rPr>
      </w:pPr>
      <w:r>
        <w:rPr>
          <w:rFonts w:ascii="Arial" w:eastAsia="Arial" w:hAnsi="Arial" w:cs="Arial"/>
        </w:rPr>
        <w:lastRenderedPageBreak/>
        <w:t xml:space="preserve">In the 93 patients who underwent disease </w:t>
      </w:r>
      <w:r w:rsidR="00370732">
        <w:rPr>
          <w:rFonts w:ascii="Arial" w:eastAsia="Arial" w:hAnsi="Arial" w:cs="Arial"/>
        </w:rPr>
        <w:t>re-</w:t>
      </w:r>
      <w:r>
        <w:rPr>
          <w:rFonts w:ascii="Arial" w:eastAsia="Arial" w:hAnsi="Arial" w:cs="Arial"/>
        </w:rPr>
        <w:t xml:space="preserve">assessment, the response rate to chemotherapy was 77.4% (complete remission-5.4%, partial remission-72%); 9.7% had stable disease and 12.9% had progressive disease. </w:t>
      </w:r>
    </w:p>
    <w:p w14:paraId="7738AB1C" w14:textId="108583A6" w:rsidR="008B13FD" w:rsidRDefault="00BA186C" w:rsidP="00DF73A4">
      <w:pPr>
        <w:autoSpaceDE w:val="0"/>
        <w:autoSpaceDN w:val="0"/>
        <w:adjustRightInd w:val="0"/>
        <w:spacing w:after="0" w:line="480" w:lineRule="auto"/>
        <w:rPr>
          <w:rFonts w:ascii="ArialMT" w:hAnsi="ArialMT" w:cs="ArialMT"/>
          <w:color w:val="000000"/>
        </w:rPr>
      </w:pPr>
      <w:r w:rsidRPr="00EF0495">
        <w:rPr>
          <w:rFonts w:ascii="Arial" w:hAnsi="Arial" w:cs="Arial"/>
          <w:color w:val="000000"/>
        </w:rPr>
        <w:t>No</w:t>
      </w:r>
      <w:r w:rsidRPr="00DF73A4">
        <w:rPr>
          <w:rFonts w:ascii="Arial" w:hAnsi="Arial" w:cs="Arial"/>
          <w:color w:val="000000"/>
        </w:rPr>
        <w:t>ne of the</w:t>
      </w:r>
      <w:r w:rsidRPr="00B23A62">
        <w:rPr>
          <w:rFonts w:ascii="Arial" w:hAnsi="Arial" w:cs="Arial"/>
          <w:color w:val="000000"/>
        </w:rPr>
        <w:t xml:space="preserve"> </w:t>
      </w:r>
      <w:r w:rsidRPr="00403192">
        <w:rPr>
          <w:rFonts w:ascii="Arial" w:hAnsi="Arial" w:cs="Arial"/>
          <w:color w:val="000000"/>
        </w:rPr>
        <w:t>24</w:t>
      </w:r>
      <w:r w:rsidRPr="00614D76">
        <w:rPr>
          <w:rFonts w:ascii="Arial" w:hAnsi="Arial" w:cs="Arial"/>
          <w:color w:val="000000"/>
        </w:rPr>
        <w:t xml:space="preserve"> </w:t>
      </w:r>
      <w:r w:rsidRPr="00DF73A4">
        <w:rPr>
          <w:rFonts w:ascii="Arial" w:hAnsi="Arial" w:cs="Arial"/>
          <w:color w:val="000000"/>
        </w:rPr>
        <w:t>patients with limited stage disease were</w:t>
      </w:r>
      <w:r w:rsidR="00F34DB7">
        <w:rPr>
          <w:rFonts w:ascii="Arial" w:hAnsi="Arial" w:cs="Arial"/>
          <w:color w:val="000000"/>
        </w:rPr>
        <w:t xml:space="preserve"> </w:t>
      </w:r>
      <w:r w:rsidRPr="00DF73A4">
        <w:rPr>
          <w:rFonts w:ascii="Arial" w:hAnsi="Arial" w:cs="Arial"/>
          <w:color w:val="000000"/>
        </w:rPr>
        <w:t>fit for concurrent chemoradiotherapy</w:t>
      </w:r>
      <w:r w:rsidR="00F4534B">
        <w:rPr>
          <w:rFonts w:ascii="Arial" w:hAnsi="Arial" w:cs="Arial"/>
          <w:color w:val="000000"/>
        </w:rPr>
        <w:t xml:space="preserve"> at the baseline assessment,</w:t>
      </w:r>
      <w:r w:rsidRPr="00DF73A4">
        <w:rPr>
          <w:rFonts w:ascii="Arial" w:hAnsi="Arial" w:cs="Arial"/>
          <w:color w:val="000000"/>
        </w:rPr>
        <w:t xml:space="preserve"> </w:t>
      </w:r>
      <w:r w:rsidR="00B06A47" w:rsidRPr="00DF73A4">
        <w:rPr>
          <w:rFonts w:ascii="Arial" w:hAnsi="Arial" w:cs="Arial"/>
          <w:color w:val="000000"/>
        </w:rPr>
        <w:t xml:space="preserve">given their compromised PS. </w:t>
      </w:r>
      <w:r w:rsidR="00B34D6E" w:rsidRPr="00DF73A4">
        <w:rPr>
          <w:rFonts w:ascii="Arial" w:hAnsi="Arial" w:cs="Arial"/>
          <w:color w:val="000000"/>
        </w:rPr>
        <w:t xml:space="preserve">The initial therapy offered to the patients with limited stage disease was </w:t>
      </w:r>
      <w:r w:rsidR="00C22CBD">
        <w:rPr>
          <w:rFonts w:ascii="Arial" w:hAnsi="Arial" w:cs="Arial"/>
          <w:color w:val="000000"/>
        </w:rPr>
        <w:t>BSC</w:t>
      </w:r>
      <w:r w:rsidR="00B34D6E" w:rsidRPr="00DF73A4">
        <w:rPr>
          <w:rFonts w:ascii="Arial" w:hAnsi="Arial" w:cs="Arial"/>
          <w:color w:val="000000"/>
        </w:rPr>
        <w:t xml:space="preserve"> in 5, attenuated chemotherapy in 14 and </w:t>
      </w:r>
      <w:r w:rsidR="009B1FF7">
        <w:rPr>
          <w:rFonts w:ascii="Arial" w:hAnsi="Arial" w:cs="Arial"/>
          <w:color w:val="000000"/>
        </w:rPr>
        <w:t xml:space="preserve">standard </w:t>
      </w:r>
      <w:r w:rsidR="00B34D6E" w:rsidRPr="00DF73A4">
        <w:rPr>
          <w:rFonts w:ascii="Arial" w:hAnsi="Arial" w:cs="Arial"/>
          <w:color w:val="000000"/>
        </w:rPr>
        <w:t xml:space="preserve">full dose chemotherapy in 5 patients. Of the 14 patients who were started on initial attenuated chemotherapy, 9 had an improvement in their PS </w:t>
      </w:r>
      <w:r w:rsidR="009F1D87" w:rsidRPr="00DF73A4">
        <w:rPr>
          <w:rFonts w:ascii="Arial" w:hAnsi="Arial" w:cs="Arial"/>
          <w:color w:val="000000"/>
        </w:rPr>
        <w:t>to</w:t>
      </w:r>
      <w:r w:rsidR="00B34D6E" w:rsidRPr="00DF73A4">
        <w:rPr>
          <w:rFonts w:ascii="Arial" w:hAnsi="Arial" w:cs="Arial"/>
          <w:color w:val="000000"/>
        </w:rPr>
        <w:t xml:space="preserve"> 0 to 2</w:t>
      </w:r>
      <w:r w:rsidR="00222822" w:rsidRPr="00DF73A4">
        <w:rPr>
          <w:rFonts w:ascii="Arial" w:hAnsi="Arial" w:cs="Arial"/>
          <w:color w:val="000000"/>
        </w:rPr>
        <w:t xml:space="preserve"> and</w:t>
      </w:r>
      <w:r w:rsidR="00B34D6E" w:rsidRPr="00DF73A4">
        <w:rPr>
          <w:rFonts w:ascii="Arial" w:hAnsi="Arial" w:cs="Arial"/>
          <w:color w:val="000000"/>
        </w:rPr>
        <w:t xml:space="preserve"> </w:t>
      </w:r>
      <w:r w:rsidR="00C263DA" w:rsidRPr="00DF73A4">
        <w:rPr>
          <w:rFonts w:ascii="Arial" w:hAnsi="Arial" w:cs="Arial"/>
          <w:color w:val="000000"/>
        </w:rPr>
        <w:t xml:space="preserve">subsequently, </w:t>
      </w:r>
      <w:r w:rsidR="00B34D6E" w:rsidRPr="00DF73A4">
        <w:rPr>
          <w:rFonts w:ascii="Arial" w:hAnsi="Arial" w:cs="Arial"/>
          <w:color w:val="000000"/>
        </w:rPr>
        <w:t>received standard full dose chemotherapy. Of the remaining 5 patients, 2 defaulted and 3 patients</w:t>
      </w:r>
      <w:r w:rsidR="00831CF9">
        <w:rPr>
          <w:rFonts w:ascii="Arial" w:hAnsi="Arial" w:cs="Arial"/>
          <w:color w:val="000000"/>
        </w:rPr>
        <w:t xml:space="preserve"> did not experience an improvement in PS</w:t>
      </w:r>
      <w:r w:rsidR="00B34D6E" w:rsidRPr="00DF73A4">
        <w:rPr>
          <w:rFonts w:ascii="Arial" w:hAnsi="Arial" w:cs="Arial"/>
          <w:color w:val="000000"/>
        </w:rPr>
        <w:t>,</w:t>
      </w:r>
      <w:r w:rsidR="00831CF9">
        <w:rPr>
          <w:rFonts w:ascii="Arial" w:hAnsi="Arial" w:cs="Arial"/>
          <w:color w:val="000000"/>
        </w:rPr>
        <w:t xml:space="preserve"> </w:t>
      </w:r>
      <w:r w:rsidR="00B34D6E" w:rsidRPr="00DF73A4">
        <w:rPr>
          <w:rFonts w:ascii="Arial" w:hAnsi="Arial" w:cs="Arial"/>
          <w:color w:val="000000"/>
        </w:rPr>
        <w:t>and the</w:t>
      </w:r>
      <w:r w:rsidR="00831CF9">
        <w:rPr>
          <w:rFonts w:ascii="Arial" w:hAnsi="Arial" w:cs="Arial"/>
          <w:color w:val="000000"/>
        </w:rPr>
        <w:t xml:space="preserve">refore </w:t>
      </w:r>
      <w:r w:rsidR="00E935F9">
        <w:rPr>
          <w:rFonts w:ascii="Arial" w:hAnsi="Arial" w:cs="Arial"/>
          <w:color w:val="000000"/>
        </w:rPr>
        <w:t>could not</w:t>
      </w:r>
      <w:r w:rsidR="00B34D6E" w:rsidRPr="00DF73A4">
        <w:rPr>
          <w:rFonts w:ascii="Arial" w:hAnsi="Arial" w:cs="Arial"/>
          <w:color w:val="000000"/>
        </w:rPr>
        <w:t xml:space="preserve"> receive standard full dose chemotherapy</w:t>
      </w:r>
      <w:r w:rsidR="00C263DA" w:rsidRPr="00DF73A4">
        <w:rPr>
          <w:rFonts w:ascii="Arial" w:hAnsi="Arial" w:cs="Arial"/>
          <w:color w:val="000000"/>
        </w:rPr>
        <w:t>. Regarding thoracic radiation,</w:t>
      </w:r>
      <w:r w:rsidR="00C263DA">
        <w:rPr>
          <w:rFonts w:ascii="Arial" w:hAnsi="Arial" w:cs="Arial"/>
          <w:color w:val="000000"/>
          <w:sz w:val="24"/>
          <w:szCs w:val="24"/>
        </w:rPr>
        <w:t xml:space="preserve"> </w:t>
      </w:r>
      <w:r w:rsidR="0020593D">
        <w:rPr>
          <w:rFonts w:ascii="Arial" w:eastAsia="Arial" w:hAnsi="Arial" w:cs="Arial"/>
        </w:rPr>
        <w:t>3</w:t>
      </w:r>
      <w:r w:rsidR="002D2DFC">
        <w:rPr>
          <w:rFonts w:ascii="Arial" w:eastAsia="Arial" w:hAnsi="Arial" w:cs="Arial"/>
        </w:rPr>
        <w:t xml:space="preserve"> (1</w:t>
      </w:r>
      <w:r w:rsidR="00F968A1">
        <w:rPr>
          <w:rFonts w:ascii="Arial" w:eastAsia="Arial" w:hAnsi="Arial" w:cs="Arial"/>
        </w:rPr>
        <w:t>2</w:t>
      </w:r>
      <w:r w:rsidR="002D2DFC">
        <w:rPr>
          <w:rFonts w:ascii="Arial" w:eastAsia="Arial" w:hAnsi="Arial" w:cs="Arial"/>
        </w:rPr>
        <w:t>.</w:t>
      </w:r>
      <w:r w:rsidR="00F968A1">
        <w:rPr>
          <w:rFonts w:ascii="Arial" w:eastAsia="Arial" w:hAnsi="Arial" w:cs="Arial"/>
        </w:rPr>
        <w:t>5</w:t>
      </w:r>
      <w:r w:rsidR="002D2DFC">
        <w:rPr>
          <w:rFonts w:ascii="Arial" w:eastAsia="Arial" w:hAnsi="Arial" w:cs="Arial"/>
        </w:rPr>
        <w:t xml:space="preserve">%) </w:t>
      </w:r>
      <w:r w:rsidR="00CB15D3">
        <w:rPr>
          <w:rFonts w:ascii="Arial" w:eastAsia="Arial" w:hAnsi="Arial" w:cs="Arial"/>
        </w:rPr>
        <w:t xml:space="preserve">patients </w:t>
      </w:r>
      <w:r w:rsidR="002D2DFC">
        <w:rPr>
          <w:rFonts w:ascii="Arial" w:eastAsia="Arial" w:hAnsi="Arial" w:cs="Arial"/>
        </w:rPr>
        <w:t>were treated with concurrent chemoradiation</w:t>
      </w:r>
      <w:r w:rsidR="00792003">
        <w:rPr>
          <w:rFonts w:ascii="Arial" w:eastAsia="Arial" w:hAnsi="Arial" w:cs="Arial"/>
        </w:rPr>
        <w:t>,</w:t>
      </w:r>
      <w:r w:rsidR="00B85189">
        <w:rPr>
          <w:rFonts w:ascii="Arial" w:eastAsia="Arial" w:hAnsi="Arial" w:cs="Arial"/>
        </w:rPr>
        <w:t xml:space="preserve"> </w:t>
      </w:r>
      <w:r w:rsidR="002D2DFC">
        <w:rPr>
          <w:rFonts w:ascii="Arial" w:eastAsia="Arial" w:hAnsi="Arial" w:cs="Arial"/>
        </w:rPr>
        <w:t>4 (1</w:t>
      </w:r>
      <w:r w:rsidR="00013B9F">
        <w:rPr>
          <w:rFonts w:ascii="Arial" w:eastAsia="Arial" w:hAnsi="Arial" w:cs="Arial"/>
        </w:rPr>
        <w:t>6</w:t>
      </w:r>
      <w:r w:rsidR="002D2DFC">
        <w:rPr>
          <w:rFonts w:ascii="Arial" w:eastAsia="Arial" w:hAnsi="Arial" w:cs="Arial"/>
        </w:rPr>
        <w:t xml:space="preserve">.8%) received sequential curative intent </w:t>
      </w:r>
      <w:r w:rsidR="00F968A1">
        <w:rPr>
          <w:rFonts w:ascii="Arial" w:eastAsia="Arial" w:hAnsi="Arial" w:cs="Arial"/>
        </w:rPr>
        <w:t>ch</w:t>
      </w:r>
      <w:r w:rsidR="002D2DFC">
        <w:rPr>
          <w:rFonts w:ascii="Arial" w:eastAsia="Arial" w:hAnsi="Arial" w:cs="Arial"/>
        </w:rPr>
        <w:t xml:space="preserve">emotherapy and radiotherapy, and </w:t>
      </w:r>
      <w:r w:rsidR="00013B9F">
        <w:rPr>
          <w:rFonts w:ascii="Arial" w:eastAsia="Arial" w:hAnsi="Arial" w:cs="Arial"/>
        </w:rPr>
        <w:t>17</w:t>
      </w:r>
      <w:r w:rsidR="002D2DFC">
        <w:rPr>
          <w:rFonts w:ascii="Arial" w:eastAsia="Arial" w:hAnsi="Arial" w:cs="Arial"/>
        </w:rPr>
        <w:t xml:space="preserve"> patients (7</w:t>
      </w:r>
      <w:r w:rsidR="007610A7">
        <w:rPr>
          <w:rFonts w:ascii="Arial" w:eastAsia="Arial" w:hAnsi="Arial" w:cs="Arial"/>
        </w:rPr>
        <w:t>0</w:t>
      </w:r>
      <w:r w:rsidR="002D2DFC">
        <w:rPr>
          <w:rFonts w:ascii="Arial" w:eastAsia="Arial" w:hAnsi="Arial" w:cs="Arial"/>
        </w:rPr>
        <w:t>.</w:t>
      </w:r>
      <w:r w:rsidR="007610A7">
        <w:rPr>
          <w:rFonts w:ascii="Arial" w:eastAsia="Arial" w:hAnsi="Arial" w:cs="Arial"/>
        </w:rPr>
        <w:t>8</w:t>
      </w:r>
      <w:r w:rsidR="002D2DFC">
        <w:rPr>
          <w:rFonts w:ascii="Arial" w:eastAsia="Arial" w:hAnsi="Arial" w:cs="Arial"/>
        </w:rPr>
        <w:t xml:space="preserve">%) were treated with palliative intent. </w:t>
      </w:r>
      <w:r w:rsidR="00035AB8" w:rsidRPr="0066762F">
        <w:rPr>
          <w:rFonts w:ascii="ArialMT" w:hAnsi="ArialMT" w:cs="ArialMT"/>
          <w:color w:val="000000"/>
        </w:rPr>
        <w:t>The median dose of t</w:t>
      </w:r>
      <w:r w:rsidR="00035AB8">
        <w:rPr>
          <w:rFonts w:ascii="ArialMT" w:hAnsi="ArialMT" w:cs="ArialMT"/>
          <w:color w:val="000000"/>
        </w:rPr>
        <w:t>h</w:t>
      </w:r>
      <w:r w:rsidR="00035AB8" w:rsidRPr="0066762F">
        <w:rPr>
          <w:rFonts w:ascii="ArialMT" w:hAnsi="ArialMT" w:cs="ArialMT"/>
          <w:color w:val="000000"/>
        </w:rPr>
        <w:t xml:space="preserve">oracic radiation </w:t>
      </w:r>
      <w:r w:rsidR="00035AB8">
        <w:rPr>
          <w:rFonts w:ascii="ArialMT" w:hAnsi="ArialMT" w:cs="ArialMT"/>
          <w:color w:val="000000"/>
        </w:rPr>
        <w:t xml:space="preserve">in patients who were treated with radical intent </w:t>
      </w:r>
      <w:r w:rsidR="00035AB8" w:rsidRPr="0066762F">
        <w:rPr>
          <w:rFonts w:ascii="ArialMT" w:hAnsi="ArialMT" w:cs="ArialMT"/>
          <w:color w:val="000000"/>
        </w:rPr>
        <w:t>was 50 Gy (IQR, 46 to 56), in a median of 25 fractions (IQR, 25 to 28) over a median of 47 days (IQR, 37 to 52).</w:t>
      </w:r>
    </w:p>
    <w:p w14:paraId="501B0E26" w14:textId="6D1827DB" w:rsidR="00CA0A75" w:rsidRDefault="002D2DFC">
      <w:pPr>
        <w:spacing w:after="0" w:line="480" w:lineRule="auto"/>
        <w:rPr>
          <w:rFonts w:ascii="Arial" w:eastAsia="Arial" w:hAnsi="Arial" w:cs="Arial"/>
        </w:rPr>
      </w:pPr>
      <w:r>
        <w:rPr>
          <w:rFonts w:ascii="Arial" w:eastAsia="Arial" w:hAnsi="Arial" w:cs="Arial"/>
        </w:rPr>
        <w:t xml:space="preserve">The median PS at the time of completion of first line chemotherapy was 1 (IQR, 1 to 2). In terms of exposure to adequate systemic therapy, 58 (24.8%) patients received at least 4 cycles of full dose combination chemotherapy, an additional 15 (6.4%) received at least 4 cycles of combination chemotherapy of which at least 1 cycle was given </w:t>
      </w:r>
      <w:r w:rsidR="00F76C80">
        <w:rPr>
          <w:rFonts w:ascii="Arial" w:eastAsia="Arial" w:hAnsi="Arial" w:cs="Arial"/>
        </w:rPr>
        <w:t>at an</w:t>
      </w:r>
      <w:r>
        <w:rPr>
          <w:rFonts w:ascii="Arial" w:eastAsia="Arial" w:hAnsi="Arial" w:cs="Arial"/>
        </w:rPr>
        <w:t xml:space="preserve"> attenuated dose and 150 (64.1%) received less than 4 cycles of combination chemotherapy. </w:t>
      </w:r>
    </w:p>
    <w:p w14:paraId="38FAB7D3" w14:textId="294CA85E" w:rsidR="00CA0A75" w:rsidRDefault="002D2DFC">
      <w:pPr>
        <w:spacing w:after="0" w:line="480" w:lineRule="auto"/>
        <w:rPr>
          <w:rFonts w:ascii="Arial" w:eastAsia="Arial" w:hAnsi="Arial" w:cs="Arial"/>
        </w:rPr>
      </w:pPr>
      <w:r>
        <w:rPr>
          <w:rFonts w:ascii="Arial" w:eastAsia="Arial" w:hAnsi="Arial" w:cs="Arial"/>
        </w:rPr>
        <w:t xml:space="preserve">197 (84.2%) patients have died, </w:t>
      </w:r>
      <w:r w:rsidR="005A1242">
        <w:rPr>
          <w:rFonts w:ascii="Arial" w:eastAsia="Arial" w:hAnsi="Arial" w:cs="Arial"/>
        </w:rPr>
        <w:t xml:space="preserve">30 (12.8%) are lost to follow-up </w:t>
      </w:r>
      <w:r>
        <w:rPr>
          <w:rFonts w:ascii="Arial" w:eastAsia="Arial" w:hAnsi="Arial" w:cs="Arial"/>
        </w:rPr>
        <w:t xml:space="preserve">and 7 (3%) patients are alive. The median OS for the entire cohort of patients </w:t>
      </w:r>
      <w:r w:rsidR="004236E3">
        <w:rPr>
          <w:rFonts w:ascii="Arial" w:eastAsia="Arial" w:hAnsi="Arial" w:cs="Arial"/>
        </w:rPr>
        <w:t xml:space="preserve">with SCLC </w:t>
      </w:r>
      <w:r w:rsidR="00AE2ED0">
        <w:rPr>
          <w:rFonts w:ascii="Arial" w:eastAsia="Arial" w:hAnsi="Arial" w:cs="Arial"/>
        </w:rPr>
        <w:t>and</w:t>
      </w:r>
      <w:r>
        <w:rPr>
          <w:rFonts w:ascii="Arial" w:eastAsia="Arial" w:hAnsi="Arial" w:cs="Arial"/>
        </w:rPr>
        <w:t xml:space="preserve"> </w:t>
      </w:r>
      <w:r w:rsidR="00274EF3">
        <w:rPr>
          <w:rFonts w:ascii="Arial" w:eastAsia="Arial" w:hAnsi="Arial" w:cs="Arial"/>
        </w:rPr>
        <w:t>compromised PS</w:t>
      </w:r>
      <w:r>
        <w:rPr>
          <w:rFonts w:ascii="Arial" w:eastAsia="Arial" w:hAnsi="Arial" w:cs="Arial"/>
        </w:rPr>
        <w:t xml:space="preserve"> was </w:t>
      </w:r>
      <w:r w:rsidR="00B245DF">
        <w:rPr>
          <w:rFonts w:ascii="Arial" w:eastAsia="Arial" w:hAnsi="Arial" w:cs="Arial"/>
        </w:rPr>
        <w:t>5</w:t>
      </w:r>
      <w:r>
        <w:rPr>
          <w:rFonts w:ascii="Arial" w:eastAsia="Arial" w:hAnsi="Arial" w:cs="Arial"/>
        </w:rPr>
        <w:t xml:space="preserve"> months (95% CI, </w:t>
      </w:r>
      <w:r w:rsidR="00485AF4">
        <w:rPr>
          <w:rFonts w:ascii="Arial" w:eastAsia="Arial" w:hAnsi="Arial" w:cs="Arial"/>
        </w:rPr>
        <w:t>3</w:t>
      </w:r>
      <w:r>
        <w:rPr>
          <w:rFonts w:ascii="Arial" w:eastAsia="Arial" w:hAnsi="Arial" w:cs="Arial"/>
        </w:rPr>
        <w:t>.</w:t>
      </w:r>
      <w:r w:rsidR="00485AF4">
        <w:rPr>
          <w:rFonts w:ascii="Arial" w:eastAsia="Arial" w:hAnsi="Arial" w:cs="Arial"/>
        </w:rPr>
        <w:t>6</w:t>
      </w:r>
      <w:r>
        <w:rPr>
          <w:rFonts w:ascii="Arial" w:eastAsia="Arial" w:hAnsi="Arial" w:cs="Arial"/>
        </w:rPr>
        <w:t xml:space="preserve"> – </w:t>
      </w:r>
      <w:r w:rsidR="00485AF4">
        <w:rPr>
          <w:rFonts w:ascii="Arial" w:eastAsia="Arial" w:hAnsi="Arial" w:cs="Arial"/>
        </w:rPr>
        <w:t>6</w:t>
      </w:r>
      <w:r>
        <w:rPr>
          <w:rFonts w:ascii="Arial" w:eastAsia="Arial" w:hAnsi="Arial" w:cs="Arial"/>
        </w:rPr>
        <w:t>.</w:t>
      </w:r>
      <w:r w:rsidR="00EB7E30">
        <w:rPr>
          <w:rFonts w:ascii="Arial" w:eastAsia="Arial" w:hAnsi="Arial" w:cs="Arial"/>
        </w:rPr>
        <w:t>4</w:t>
      </w:r>
      <w:r>
        <w:rPr>
          <w:rFonts w:ascii="Arial" w:eastAsia="Arial" w:hAnsi="Arial" w:cs="Arial"/>
        </w:rPr>
        <w:t>). The median OS for the patients who received any chemotherapy was significantly longer at 6 months (95% CI, 4.</w:t>
      </w:r>
      <w:r w:rsidR="00930C82">
        <w:rPr>
          <w:rFonts w:ascii="Arial" w:eastAsia="Arial" w:hAnsi="Arial" w:cs="Arial"/>
        </w:rPr>
        <w:t>8</w:t>
      </w:r>
      <w:r>
        <w:rPr>
          <w:rFonts w:ascii="Arial" w:eastAsia="Arial" w:hAnsi="Arial" w:cs="Arial"/>
        </w:rPr>
        <w:t>– 7.</w:t>
      </w:r>
      <w:r w:rsidR="00930C82">
        <w:rPr>
          <w:rFonts w:ascii="Arial" w:eastAsia="Arial" w:hAnsi="Arial" w:cs="Arial"/>
        </w:rPr>
        <w:t>2</w:t>
      </w:r>
      <w:r>
        <w:rPr>
          <w:rFonts w:ascii="Arial" w:eastAsia="Arial" w:hAnsi="Arial" w:cs="Arial"/>
        </w:rPr>
        <w:t xml:space="preserve">) compared to 1 month </w:t>
      </w:r>
      <w:r w:rsidR="00930C82">
        <w:rPr>
          <w:rFonts w:ascii="Arial" w:eastAsia="Arial" w:hAnsi="Arial" w:cs="Arial"/>
        </w:rPr>
        <w:t xml:space="preserve">(95% CI, 0.4-1.6) </w:t>
      </w:r>
      <w:r>
        <w:rPr>
          <w:rFonts w:ascii="Arial" w:eastAsia="Arial" w:hAnsi="Arial" w:cs="Arial"/>
        </w:rPr>
        <w:t>in patients who were managed with BSC, P</w:t>
      </w:r>
      <w:r>
        <w:rPr>
          <w:rFonts w:ascii="Arial" w:eastAsia="Arial" w:hAnsi="Arial" w:cs="Arial"/>
          <w:i/>
        </w:rPr>
        <w:t xml:space="preserve"> </w:t>
      </w:r>
      <w:r>
        <w:rPr>
          <w:rFonts w:ascii="Arial" w:eastAsia="Arial" w:hAnsi="Arial" w:cs="Arial"/>
        </w:rPr>
        <w:t>&lt; 0.001; hazard ratio, 0.3</w:t>
      </w:r>
      <w:r w:rsidR="00CA40B5">
        <w:rPr>
          <w:rFonts w:ascii="Arial" w:eastAsia="Arial" w:hAnsi="Arial" w:cs="Arial"/>
        </w:rPr>
        <w:t>9</w:t>
      </w:r>
      <w:r>
        <w:rPr>
          <w:rFonts w:ascii="Arial" w:eastAsia="Arial" w:hAnsi="Arial" w:cs="Arial"/>
        </w:rPr>
        <w:t xml:space="preserve"> (95% CI, 0.2</w:t>
      </w:r>
      <w:r w:rsidR="00CA40B5">
        <w:rPr>
          <w:rFonts w:ascii="Arial" w:eastAsia="Arial" w:hAnsi="Arial" w:cs="Arial"/>
        </w:rPr>
        <w:t>7</w:t>
      </w:r>
      <w:r>
        <w:rPr>
          <w:rFonts w:ascii="Arial" w:eastAsia="Arial" w:hAnsi="Arial" w:cs="Arial"/>
        </w:rPr>
        <w:t xml:space="preserve"> - 0.5</w:t>
      </w:r>
      <w:r w:rsidR="00CA40B5">
        <w:rPr>
          <w:rFonts w:ascii="Arial" w:eastAsia="Arial" w:hAnsi="Arial" w:cs="Arial"/>
        </w:rPr>
        <w:t>6</w:t>
      </w:r>
      <w:r>
        <w:rPr>
          <w:rFonts w:ascii="Arial" w:eastAsia="Arial" w:hAnsi="Arial" w:cs="Arial"/>
        </w:rPr>
        <w:t>) (Figure 2). There was no significant difference in the median OS of the patients who received an initial attenuated chemotherapy regimen (median OS</w:t>
      </w:r>
      <w:r w:rsidR="00A17477">
        <w:rPr>
          <w:rFonts w:ascii="Arial" w:eastAsia="Arial" w:hAnsi="Arial" w:cs="Arial"/>
        </w:rPr>
        <w:t xml:space="preserve">, </w:t>
      </w:r>
      <w:r w:rsidR="0004784E">
        <w:rPr>
          <w:rFonts w:ascii="Arial" w:eastAsia="Arial" w:hAnsi="Arial" w:cs="Arial"/>
        </w:rPr>
        <w:t>6</w:t>
      </w:r>
      <w:r>
        <w:rPr>
          <w:rFonts w:ascii="Arial" w:eastAsia="Arial" w:hAnsi="Arial" w:cs="Arial"/>
        </w:rPr>
        <w:t xml:space="preserve"> months, 95% CI, </w:t>
      </w:r>
      <w:r w:rsidR="0004784E">
        <w:rPr>
          <w:rFonts w:ascii="Arial" w:eastAsia="Arial" w:hAnsi="Arial" w:cs="Arial"/>
        </w:rPr>
        <w:t>4</w:t>
      </w:r>
      <w:r>
        <w:rPr>
          <w:rFonts w:ascii="Arial" w:eastAsia="Arial" w:hAnsi="Arial" w:cs="Arial"/>
        </w:rPr>
        <w:t>.</w:t>
      </w:r>
      <w:r w:rsidR="0004784E">
        <w:rPr>
          <w:rFonts w:ascii="Arial" w:eastAsia="Arial" w:hAnsi="Arial" w:cs="Arial"/>
        </w:rPr>
        <w:t>5</w:t>
      </w:r>
      <w:r>
        <w:rPr>
          <w:rFonts w:ascii="Arial" w:eastAsia="Arial" w:hAnsi="Arial" w:cs="Arial"/>
        </w:rPr>
        <w:t xml:space="preserve"> to </w:t>
      </w:r>
      <w:r w:rsidR="0004784E">
        <w:rPr>
          <w:rFonts w:ascii="Arial" w:eastAsia="Arial" w:hAnsi="Arial" w:cs="Arial"/>
        </w:rPr>
        <w:t>7</w:t>
      </w:r>
      <w:r>
        <w:rPr>
          <w:rFonts w:ascii="Arial" w:eastAsia="Arial" w:hAnsi="Arial" w:cs="Arial"/>
        </w:rPr>
        <w:t>.</w:t>
      </w:r>
      <w:r w:rsidR="0004784E">
        <w:rPr>
          <w:rFonts w:ascii="Arial" w:eastAsia="Arial" w:hAnsi="Arial" w:cs="Arial"/>
        </w:rPr>
        <w:t>6</w:t>
      </w:r>
      <w:r>
        <w:rPr>
          <w:rFonts w:ascii="Arial" w:eastAsia="Arial" w:hAnsi="Arial" w:cs="Arial"/>
        </w:rPr>
        <w:t xml:space="preserve">) and those who were started on upfront full-dose chemotherapy (median </w:t>
      </w:r>
      <w:r>
        <w:rPr>
          <w:rFonts w:ascii="Arial" w:eastAsia="Arial" w:hAnsi="Arial" w:cs="Arial"/>
        </w:rPr>
        <w:lastRenderedPageBreak/>
        <w:t>OS</w:t>
      </w:r>
      <w:r w:rsidR="0016147F">
        <w:rPr>
          <w:rFonts w:ascii="Arial" w:eastAsia="Arial" w:hAnsi="Arial" w:cs="Arial"/>
        </w:rPr>
        <w:t xml:space="preserve">, </w:t>
      </w:r>
      <w:r>
        <w:rPr>
          <w:rFonts w:ascii="Arial" w:eastAsia="Arial" w:hAnsi="Arial" w:cs="Arial"/>
        </w:rPr>
        <w:t>8 months, 95% CI, 5.</w:t>
      </w:r>
      <w:r w:rsidR="00BD0697">
        <w:rPr>
          <w:rFonts w:ascii="Arial" w:eastAsia="Arial" w:hAnsi="Arial" w:cs="Arial"/>
        </w:rPr>
        <w:t>6</w:t>
      </w:r>
      <w:r>
        <w:rPr>
          <w:rFonts w:ascii="Arial" w:eastAsia="Arial" w:hAnsi="Arial" w:cs="Arial"/>
        </w:rPr>
        <w:t>-10.</w:t>
      </w:r>
      <w:r w:rsidR="00BD0697">
        <w:rPr>
          <w:rFonts w:ascii="Arial" w:eastAsia="Arial" w:hAnsi="Arial" w:cs="Arial"/>
        </w:rPr>
        <w:t>4</w:t>
      </w:r>
      <w:r>
        <w:rPr>
          <w:rFonts w:ascii="Arial" w:eastAsia="Arial" w:hAnsi="Arial" w:cs="Arial"/>
        </w:rPr>
        <w:t>), P=0.</w:t>
      </w:r>
      <w:r w:rsidR="00F75297">
        <w:rPr>
          <w:rFonts w:ascii="Arial" w:eastAsia="Arial" w:hAnsi="Arial" w:cs="Arial"/>
        </w:rPr>
        <w:t>09</w:t>
      </w:r>
      <w:r w:rsidR="006E4149">
        <w:rPr>
          <w:rFonts w:ascii="Arial" w:eastAsia="Arial" w:hAnsi="Arial" w:cs="Arial"/>
        </w:rPr>
        <w:t xml:space="preserve"> (Figure S1)</w:t>
      </w:r>
      <w:r>
        <w:rPr>
          <w:rFonts w:ascii="Arial" w:eastAsia="Arial" w:hAnsi="Arial" w:cs="Arial"/>
        </w:rPr>
        <w:t xml:space="preserve">. Patients who received at least </w:t>
      </w:r>
      <w:r w:rsidR="002D3A78">
        <w:rPr>
          <w:rFonts w:ascii="Arial" w:eastAsia="Arial" w:hAnsi="Arial" w:cs="Arial"/>
        </w:rPr>
        <w:t>4</w:t>
      </w:r>
      <w:r>
        <w:rPr>
          <w:rFonts w:ascii="Arial" w:eastAsia="Arial" w:hAnsi="Arial" w:cs="Arial"/>
        </w:rPr>
        <w:t xml:space="preserve"> cycles of combination chemotherapy had a median OS of 1</w:t>
      </w:r>
      <w:r w:rsidR="003C15A3">
        <w:rPr>
          <w:rFonts w:ascii="Arial" w:eastAsia="Arial" w:hAnsi="Arial" w:cs="Arial"/>
        </w:rPr>
        <w:t>0</w:t>
      </w:r>
      <w:r>
        <w:rPr>
          <w:rFonts w:ascii="Arial" w:eastAsia="Arial" w:hAnsi="Arial" w:cs="Arial"/>
        </w:rPr>
        <w:t xml:space="preserve"> months (95% CI, </w:t>
      </w:r>
      <w:r w:rsidR="004604F5">
        <w:rPr>
          <w:rFonts w:ascii="Arial" w:eastAsia="Arial" w:hAnsi="Arial" w:cs="Arial"/>
        </w:rPr>
        <w:t>6</w:t>
      </w:r>
      <w:r>
        <w:rPr>
          <w:rFonts w:ascii="Arial" w:eastAsia="Arial" w:hAnsi="Arial" w:cs="Arial"/>
        </w:rPr>
        <w:t>.</w:t>
      </w:r>
      <w:r w:rsidR="004604F5">
        <w:rPr>
          <w:rFonts w:ascii="Arial" w:eastAsia="Arial" w:hAnsi="Arial" w:cs="Arial"/>
        </w:rPr>
        <w:t>2</w:t>
      </w:r>
      <w:r>
        <w:rPr>
          <w:rFonts w:ascii="Arial" w:eastAsia="Arial" w:hAnsi="Arial" w:cs="Arial"/>
        </w:rPr>
        <w:t xml:space="preserve"> to 1</w:t>
      </w:r>
      <w:r w:rsidR="004604F5">
        <w:rPr>
          <w:rFonts w:ascii="Arial" w:eastAsia="Arial" w:hAnsi="Arial" w:cs="Arial"/>
        </w:rPr>
        <w:t>3</w:t>
      </w:r>
      <w:r>
        <w:rPr>
          <w:rFonts w:ascii="Arial" w:eastAsia="Arial" w:hAnsi="Arial" w:cs="Arial"/>
        </w:rPr>
        <w:t>.</w:t>
      </w:r>
      <w:r w:rsidR="004604F5">
        <w:rPr>
          <w:rFonts w:ascii="Arial" w:eastAsia="Arial" w:hAnsi="Arial" w:cs="Arial"/>
        </w:rPr>
        <w:t>8</w:t>
      </w:r>
      <w:r>
        <w:rPr>
          <w:rFonts w:ascii="Arial" w:eastAsia="Arial" w:hAnsi="Arial" w:cs="Arial"/>
        </w:rPr>
        <w:t xml:space="preserve">), while the patients who received less than </w:t>
      </w:r>
      <w:r w:rsidR="00FB4592">
        <w:rPr>
          <w:rFonts w:ascii="Arial" w:eastAsia="Arial" w:hAnsi="Arial" w:cs="Arial"/>
        </w:rPr>
        <w:t>4</w:t>
      </w:r>
      <w:r>
        <w:rPr>
          <w:rFonts w:ascii="Arial" w:eastAsia="Arial" w:hAnsi="Arial" w:cs="Arial"/>
        </w:rPr>
        <w:t xml:space="preserve"> cycles of combination chemotherapy had a median OS of </w:t>
      </w:r>
      <w:r w:rsidR="00D203CD">
        <w:rPr>
          <w:rFonts w:ascii="Arial" w:eastAsia="Arial" w:hAnsi="Arial" w:cs="Arial"/>
        </w:rPr>
        <w:t>2</w:t>
      </w:r>
      <w:r>
        <w:rPr>
          <w:rFonts w:ascii="Arial" w:eastAsia="Arial" w:hAnsi="Arial" w:cs="Arial"/>
        </w:rPr>
        <w:t xml:space="preserve"> month</w:t>
      </w:r>
      <w:r w:rsidR="00D203CD">
        <w:rPr>
          <w:rFonts w:ascii="Arial" w:eastAsia="Arial" w:hAnsi="Arial" w:cs="Arial"/>
        </w:rPr>
        <w:t>s</w:t>
      </w:r>
      <w:r>
        <w:rPr>
          <w:rFonts w:ascii="Arial" w:eastAsia="Arial" w:hAnsi="Arial" w:cs="Arial"/>
        </w:rPr>
        <w:t xml:space="preserve"> (95% CI, </w:t>
      </w:r>
      <w:r w:rsidR="00515B31">
        <w:rPr>
          <w:rFonts w:ascii="Arial" w:eastAsia="Arial" w:hAnsi="Arial" w:cs="Arial"/>
        </w:rPr>
        <w:t>1</w:t>
      </w:r>
      <w:r>
        <w:rPr>
          <w:rFonts w:ascii="Arial" w:eastAsia="Arial" w:hAnsi="Arial" w:cs="Arial"/>
        </w:rPr>
        <w:t>.</w:t>
      </w:r>
      <w:r w:rsidR="00515B31">
        <w:rPr>
          <w:rFonts w:ascii="Arial" w:eastAsia="Arial" w:hAnsi="Arial" w:cs="Arial"/>
        </w:rPr>
        <w:t>2</w:t>
      </w:r>
      <w:r>
        <w:rPr>
          <w:rFonts w:ascii="Arial" w:eastAsia="Arial" w:hAnsi="Arial" w:cs="Arial"/>
        </w:rPr>
        <w:t xml:space="preserve"> to </w:t>
      </w:r>
      <w:r w:rsidR="00515B31">
        <w:rPr>
          <w:rFonts w:ascii="Arial" w:eastAsia="Arial" w:hAnsi="Arial" w:cs="Arial"/>
        </w:rPr>
        <w:t>2</w:t>
      </w:r>
      <w:r>
        <w:rPr>
          <w:rFonts w:ascii="Arial" w:eastAsia="Arial" w:hAnsi="Arial" w:cs="Arial"/>
        </w:rPr>
        <w:t>.</w:t>
      </w:r>
      <w:r w:rsidR="00515B31">
        <w:rPr>
          <w:rFonts w:ascii="Arial" w:eastAsia="Arial" w:hAnsi="Arial" w:cs="Arial"/>
        </w:rPr>
        <w:t>8</w:t>
      </w:r>
      <w:r>
        <w:rPr>
          <w:rFonts w:ascii="Arial" w:eastAsia="Arial" w:hAnsi="Arial" w:cs="Arial"/>
        </w:rPr>
        <w:t>), P</w:t>
      </w:r>
      <w:r w:rsidR="00883FFD">
        <w:rPr>
          <w:rFonts w:ascii="Arial" w:eastAsia="Arial" w:hAnsi="Arial" w:cs="Arial"/>
        </w:rPr>
        <w:t xml:space="preserve"> </w:t>
      </w:r>
      <w:r>
        <w:rPr>
          <w:rFonts w:ascii="Arial" w:eastAsia="Arial" w:hAnsi="Arial" w:cs="Arial"/>
        </w:rPr>
        <w:t>&lt;</w:t>
      </w:r>
      <w:r w:rsidR="00883FFD">
        <w:rPr>
          <w:rFonts w:ascii="Arial" w:eastAsia="Arial" w:hAnsi="Arial" w:cs="Arial"/>
        </w:rPr>
        <w:t xml:space="preserve"> </w:t>
      </w:r>
      <w:r>
        <w:rPr>
          <w:rFonts w:ascii="Arial" w:eastAsia="Arial" w:hAnsi="Arial" w:cs="Arial"/>
        </w:rPr>
        <w:t xml:space="preserve">0.001. </w:t>
      </w:r>
      <w:r w:rsidR="00EF6BDA">
        <w:rPr>
          <w:rFonts w:ascii="Arial" w:eastAsia="Arial" w:hAnsi="Arial" w:cs="Arial"/>
        </w:rPr>
        <w:t xml:space="preserve">In all the tested subgroups, </w:t>
      </w:r>
      <w:r w:rsidR="002C662D">
        <w:rPr>
          <w:rFonts w:ascii="Arial" w:eastAsia="Arial" w:hAnsi="Arial" w:cs="Arial"/>
        </w:rPr>
        <w:t xml:space="preserve">chemotherapy led to a significant prolongation of OS (Figure </w:t>
      </w:r>
      <w:r w:rsidR="00025DF8">
        <w:rPr>
          <w:rFonts w:ascii="Arial" w:eastAsia="Arial" w:hAnsi="Arial" w:cs="Arial"/>
        </w:rPr>
        <w:t>S2</w:t>
      </w:r>
      <w:r w:rsidR="002C662D">
        <w:rPr>
          <w:rFonts w:ascii="Arial" w:eastAsia="Arial" w:hAnsi="Arial" w:cs="Arial"/>
        </w:rPr>
        <w:t xml:space="preserve">). </w:t>
      </w:r>
      <w:r>
        <w:rPr>
          <w:rFonts w:ascii="Arial" w:eastAsia="Arial" w:hAnsi="Arial" w:cs="Arial"/>
        </w:rPr>
        <w:t>On multivariate analysis, the only factors tha</w:t>
      </w:r>
      <w:r w:rsidR="00847C0E">
        <w:rPr>
          <w:rFonts w:ascii="Arial" w:eastAsia="Arial" w:hAnsi="Arial" w:cs="Arial"/>
        </w:rPr>
        <w:t xml:space="preserve">t were </w:t>
      </w:r>
      <w:r w:rsidR="009349D1">
        <w:rPr>
          <w:rFonts w:ascii="Arial" w:eastAsia="Arial" w:hAnsi="Arial" w:cs="Arial"/>
        </w:rPr>
        <w:t xml:space="preserve">significantly </w:t>
      </w:r>
      <w:r w:rsidR="00847C0E">
        <w:rPr>
          <w:rFonts w:ascii="Arial" w:eastAsia="Arial" w:hAnsi="Arial" w:cs="Arial"/>
        </w:rPr>
        <w:t xml:space="preserve">associated with </w:t>
      </w:r>
      <w:r>
        <w:rPr>
          <w:rFonts w:ascii="Arial" w:eastAsia="Arial" w:hAnsi="Arial" w:cs="Arial"/>
        </w:rPr>
        <w:t xml:space="preserve">a </w:t>
      </w:r>
      <w:r w:rsidR="009349D1">
        <w:rPr>
          <w:rFonts w:ascii="Arial" w:eastAsia="Arial" w:hAnsi="Arial" w:cs="Arial"/>
        </w:rPr>
        <w:t>better</w:t>
      </w:r>
      <w:r>
        <w:rPr>
          <w:rFonts w:ascii="Arial" w:eastAsia="Arial" w:hAnsi="Arial" w:cs="Arial"/>
        </w:rPr>
        <w:t xml:space="preserve"> OS were the baseline limited stage disease, normal LDH level and the receipt of chemotherapy. (Table S</w:t>
      </w:r>
      <w:r w:rsidR="00025DF8">
        <w:rPr>
          <w:rFonts w:ascii="Arial" w:eastAsia="Arial" w:hAnsi="Arial" w:cs="Arial"/>
        </w:rPr>
        <w:t>3</w:t>
      </w:r>
      <w:r>
        <w:rPr>
          <w:rFonts w:ascii="Arial" w:eastAsia="Arial" w:hAnsi="Arial" w:cs="Arial"/>
        </w:rPr>
        <w:t xml:space="preserve">). </w:t>
      </w:r>
    </w:p>
    <w:p w14:paraId="056AE256" w14:textId="77777777" w:rsidR="00CA0A75" w:rsidRDefault="00CA0A75">
      <w:pPr>
        <w:spacing w:after="0" w:line="480" w:lineRule="auto"/>
        <w:rPr>
          <w:rFonts w:ascii="Arial" w:eastAsia="Arial" w:hAnsi="Arial" w:cs="Arial"/>
        </w:rPr>
      </w:pPr>
    </w:p>
    <w:p w14:paraId="7079B80F" w14:textId="77777777" w:rsidR="00CA0A75" w:rsidRDefault="002D2DFC">
      <w:pPr>
        <w:spacing w:after="0" w:line="480" w:lineRule="auto"/>
        <w:rPr>
          <w:rFonts w:ascii="Arial" w:eastAsia="Arial" w:hAnsi="Arial" w:cs="Arial"/>
          <w:b/>
        </w:rPr>
      </w:pPr>
      <w:r>
        <w:rPr>
          <w:rFonts w:ascii="Arial" w:eastAsia="Arial" w:hAnsi="Arial" w:cs="Arial"/>
          <w:b/>
        </w:rPr>
        <w:t>Discussion</w:t>
      </w:r>
    </w:p>
    <w:p w14:paraId="089707D8" w14:textId="04394A0B" w:rsidR="00CA0A75" w:rsidRDefault="002D2DFC">
      <w:pPr>
        <w:spacing w:after="0" w:line="480" w:lineRule="auto"/>
        <w:rPr>
          <w:rFonts w:ascii="Arial" w:eastAsia="Arial" w:hAnsi="Arial" w:cs="Arial"/>
        </w:rPr>
      </w:pPr>
      <w:r>
        <w:rPr>
          <w:rFonts w:ascii="Arial" w:eastAsia="Arial" w:hAnsi="Arial" w:cs="Arial"/>
        </w:rPr>
        <w:t>We found that</w:t>
      </w:r>
      <w:r w:rsidR="00DB6375">
        <w:rPr>
          <w:rFonts w:ascii="Arial" w:eastAsia="Arial" w:hAnsi="Arial" w:cs="Arial"/>
        </w:rPr>
        <w:t xml:space="preserve"> in patients with SCLC and </w:t>
      </w:r>
      <w:r w:rsidR="00F84C38">
        <w:rPr>
          <w:rFonts w:ascii="Arial" w:eastAsia="Arial" w:hAnsi="Arial" w:cs="Arial"/>
        </w:rPr>
        <w:t xml:space="preserve">compromised </w:t>
      </w:r>
      <w:r w:rsidR="00DB6375">
        <w:rPr>
          <w:rFonts w:ascii="Arial" w:eastAsia="Arial" w:hAnsi="Arial" w:cs="Arial"/>
        </w:rPr>
        <w:t>PS</w:t>
      </w:r>
      <w:r w:rsidR="00F84C38">
        <w:rPr>
          <w:rFonts w:ascii="Arial" w:eastAsia="Arial" w:hAnsi="Arial" w:cs="Arial"/>
        </w:rPr>
        <w:t>, i.e. PS</w:t>
      </w:r>
      <w:r w:rsidR="00DB6375">
        <w:rPr>
          <w:rFonts w:ascii="Arial" w:eastAsia="Arial" w:hAnsi="Arial" w:cs="Arial"/>
        </w:rPr>
        <w:t xml:space="preserve"> 3 or 4 who were managed with BSC, the median OS was 1 month, compared to 6 months in patients who received any dose of chemotherapy. This was</w:t>
      </w:r>
      <w:r>
        <w:rPr>
          <w:rFonts w:ascii="Arial" w:eastAsia="Arial" w:hAnsi="Arial" w:cs="Arial"/>
        </w:rPr>
        <w:t xml:space="preserve"> both a clinically relevant and statistically significant i</w:t>
      </w:r>
      <w:r w:rsidR="00EF0E87">
        <w:rPr>
          <w:rFonts w:ascii="Arial" w:eastAsia="Arial" w:hAnsi="Arial" w:cs="Arial"/>
        </w:rPr>
        <w:t>mprovement</w:t>
      </w:r>
      <w:r>
        <w:rPr>
          <w:rFonts w:ascii="Arial" w:eastAsia="Arial" w:hAnsi="Arial" w:cs="Arial"/>
        </w:rPr>
        <w:t>. In patients</w:t>
      </w:r>
      <w:r w:rsidR="00FA656D">
        <w:rPr>
          <w:rFonts w:ascii="Arial" w:eastAsia="Arial" w:hAnsi="Arial" w:cs="Arial"/>
        </w:rPr>
        <w:t xml:space="preserve"> with SCLC</w:t>
      </w:r>
      <w:r>
        <w:rPr>
          <w:rFonts w:ascii="Arial" w:eastAsia="Arial" w:hAnsi="Arial" w:cs="Arial"/>
        </w:rPr>
        <w:t xml:space="preserve">, chemotherapy is known to </w:t>
      </w:r>
      <w:r w:rsidR="00F247D6">
        <w:rPr>
          <w:rFonts w:ascii="Arial" w:eastAsia="Arial" w:hAnsi="Arial" w:cs="Arial"/>
        </w:rPr>
        <w:t>prolong survival</w:t>
      </w:r>
      <w:r>
        <w:rPr>
          <w:rFonts w:ascii="Arial" w:eastAsia="Arial" w:hAnsi="Arial" w:cs="Arial"/>
        </w:rPr>
        <w:t xml:space="preserve"> as compared to BSC, however, these studies did not include patients with poor PS [1</w:t>
      </w:r>
      <w:r w:rsidR="00632918">
        <w:rPr>
          <w:rFonts w:ascii="Arial" w:eastAsia="Arial" w:hAnsi="Arial" w:cs="Arial"/>
        </w:rPr>
        <w:t>1</w:t>
      </w:r>
      <w:r>
        <w:rPr>
          <w:rFonts w:ascii="Arial" w:eastAsia="Arial" w:hAnsi="Arial" w:cs="Arial"/>
        </w:rPr>
        <w:t xml:space="preserve">]. To the best of our knowledge, there are no randomized studies that prove the role of chemotherapy in </w:t>
      </w:r>
      <w:r w:rsidR="00FA656D">
        <w:rPr>
          <w:rFonts w:ascii="Arial" w:eastAsia="Arial" w:hAnsi="Arial" w:cs="Arial"/>
        </w:rPr>
        <w:t>patients with</w:t>
      </w:r>
      <w:r>
        <w:rPr>
          <w:rFonts w:ascii="Arial" w:eastAsia="Arial" w:hAnsi="Arial" w:cs="Arial"/>
        </w:rPr>
        <w:t xml:space="preserve"> poor PS. </w:t>
      </w:r>
      <w:r w:rsidR="00F34AB0">
        <w:rPr>
          <w:rFonts w:ascii="Arial" w:eastAsia="Arial" w:hAnsi="Arial" w:cs="Arial"/>
        </w:rPr>
        <w:t xml:space="preserve">A similar </w:t>
      </w:r>
      <w:r w:rsidR="00BA21FC">
        <w:rPr>
          <w:rFonts w:ascii="Arial" w:eastAsia="Arial" w:hAnsi="Arial" w:cs="Arial"/>
        </w:rPr>
        <w:t xml:space="preserve">retrospective </w:t>
      </w:r>
      <w:r w:rsidR="00A530D8">
        <w:rPr>
          <w:rFonts w:ascii="Arial" w:eastAsia="Arial" w:hAnsi="Arial" w:cs="Arial"/>
        </w:rPr>
        <w:t>study</w:t>
      </w:r>
      <w:r w:rsidR="00F34AB0">
        <w:rPr>
          <w:rFonts w:ascii="Arial" w:eastAsia="Arial" w:hAnsi="Arial" w:cs="Arial"/>
        </w:rPr>
        <w:t xml:space="preserve"> by Azam </w:t>
      </w:r>
      <w:r w:rsidR="00F34AB0" w:rsidRPr="006905CE">
        <w:rPr>
          <w:rFonts w:ascii="Arial" w:eastAsia="Arial" w:hAnsi="Arial" w:cs="Arial"/>
          <w:i/>
          <w:iCs/>
        </w:rPr>
        <w:t>et al</w:t>
      </w:r>
      <w:r w:rsidR="00E134E1">
        <w:rPr>
          <w:rFonts w:ascii="Arial" w:eastAsia="Arial" w:hAnsi="Arial" w:cs="Arial"/>
          <w:i/>
          <w:iCs/>
        </w:rPr>
        <w:t xml:space="preserve">. </w:t>
      </w:r>
      <w:r w:rsidR="007A1B37">
        <w:rPr>
          <w:rFonts w:ascii="Arial" w:eastAsia="Arial" w:hAnsi="Arial" w:cs="Arial"/>
        </w:rPr>
        <w:t>in</w:t>
      </w:r>
      <w:r w:rsidR="00FF5F00">
        <w:rPr>
          <w:rFonts w:ascii="Arial" w:eastAsia="Arial" w:hAnsi="Arial" w:cs="Arial"/>
        </w:rPr>
        <w:t xml:space="preserve"> 246 patients with SCLC and PS 3 or 4</w:t>
      </w:r>
      <w:r w:rsidR="001256C7">
        <w:rPr>
          <w:rFonts w:ascii="Arial" w:eastAsia="Arial" w:hAnsi="Arial" w:cs="Arial"/>
        </w:rPr>
        <w:t xml:space="preserve"> reported that 80</w:t>
      </w:r>
      <w:r w:rsidR="00F16B13">
        <w:rPr>
          <w:rFonts w:ascii="Arial" w:eastAsia="Arial" w:hAnsi="Arial" w:cs="Arial"/>
        </w:rPr>
        <w:t xml:space="preserve"> patients (33%) received chemotherapy (</w:t>
      </w:r>
      <w:r w:rsidR="007F3524">
        <w:rPr>
          <w:rFonts w:ascii="Arial" w:eastAsia="Arial" w:hAnsi="Arial" w:cs="Arial"/>
        </w:rPr>
        <w:t>carboplatin + etoposide in 41 [</w:t>
      </w:r>
      <w:r w:rsidR="00B17FC9">
        <w:rPr>
          <w:rFonts w:ascii="Arial" w:eastAsia="Arial" w:hAnsi="Arial" w:cs="Arial"/>
        </w:rPr>
        <w:t>17%</w:t>
      </w:r>
      <w:r w:rsidR="007F3524">
        <w:rPr>
          <w:rFonts w:ascii="Arial" w:eastAsia="Arial" w:hAnsi="Arial" w:cs="Arial"/>
        </w:rPr>
        <w:t>], single agent carboplatin in 32 [</w:t>
      </w:r>
      <w:r w:rsidR="00B17FC9">
        <w:rPr>
          <w:rFonts w:ascii="Arial" w:eastAsia="Arial" w:hAnsi="Arial" w:cs="Arial"/>
        </w:rPr>
        <w:t>13%</w:t>
      </w:r>
      <w:r w:rsidR="007F3524">
        <w:rPr>
          <w:rFonts w:ascii="Arial" w:eastAsia="Arial" w:hAnsi="Arial" w:cs="Arial"/>
        </w:rPr>
        <w:t xml:space="preserve">], oral etoposide in </w:t>
      </w:r>
      <w:r w:rsidR="0007304D">
        <w:rPr>
          <w:rFonts w:ascii="Arial" w:eastAsia="Arial" w:hAnsi="Arial" w:cs="Arial"/>
        </w:rPr>
        <w:t>7 [</w:t>
      </w:r>
      <w:r w:rsidR="009F4CAD">
        <w:rPr>
          <w:rFonts w:ascii="Arial" w:eastAsia="Arial" w:hAnsi="Arial" w:cs="Arial"/>
        </w:rPr>
        <w:t>3%</w:t>
      </w:r>
      <w:r w:rsidR="0007304D">
        <w:rPr>
          <w:rFonts w:ascii="Arial" w:eastAsia="Arial" w:hAnsi="Arial" w:cs="Arial"/>
        </w:rPr>
        <w:t>])</w:t>
      </w:r>
      <w:r w:rsidR="009F4CAD">
        <w:rPr>
          <w:rFonts w:ascii="Arial" w:eastAsia="Arial" w:hAnsi="Arial" w:cs="Arial"/>
        </w:rPr>
        <w:t xml:space="preserve">; the remaining </w:t>
      </w:r>
      <w:r w:rsidR="00055B6F">
        <w:rPr>
          <w:rFonts w:ascii="Arial" w:eastAsia="Arial" w:hAnsi="Arial" w:cs="Arial"/>
        </w:rPr>
        <w:t xml:space="preserve">166 (67%) received BSC. Similar to the results of our study, the authors reported that the median OS </w:t>
      </w:r>
      <w:r w:rsidR="00A37094">
        <w:rPr>
          <w:rFonts w:ascii="Arial" w:eastAsia="Arial" w:hAnsi="Arial" w:cs="Arial"/>
        </w:rPr>
        <w:t xml:space="preserve">was 2 months </w:t>
      </w:r>
      <w:r w:rsidR="00695651">
        <w:rPr>
          <w:rFonts w:ascii="Arial" w:eastAsia="Arial" w:hAnsi="Arial" w:cs="Arial"/>
        </w:rPr>
        <w:t>(</w:t>
      </w:r>
      <w:r w:rsidR="00695651">
        <w:rPr>
          <w:rFonts w:ascii="Arial" w:hAnsi="Arial" w:cs="Arial"/>
          <w:color w:val="000000"/>
          <w:sz w:val="23"/>
          <w:szCs w:val="23"/>
        </w:rPr>
        <w:t>95% CI</w:t>
      </w:r>
      <w:r w:rsidR="002B1B5D">
        <w:rPr>
          <w:rFonts w:ascii="Arial" w:hAnsi="Arial" w:cs="Arial"/>
          <w:color w:val="000000"/>
          <w:sz w:val="23"/>
          <w:szCs w:val="23"/>
        </w:rPr>
        <w:t>,</w:t>
      </w:r>
      <w:r w:rsidR="00695651">
        <w:rPr>
          <w:rFonts w:ascii="Arial" w:hAnsi="Arial" w:cs="Arial"/>
          <w:color w:val="000000"/>
          <w:sz w:val="23"/>
          <w:szCs w:val="23"/>
        </w:rPr>
        <w:t xml:space="preserve"> 1.71-2.28) </w:t>
      </w:r>
      <w:r w:rsidR="00A37094">
        <w:rPr>
          <w:rFonts w:ascii="Arial" w:eastAsia="Arial" w:hAnsi="Arial" w:cs="Arial"/>
        </w:rPr>
        <w:t xml:space="preserve">in the patients managed with BSC, compared to </w:t>
      </w:r>
      <w:r w:rsidR="00C5663A">
        <w:rPr>
          <w:rFonts w:ascii="Arial" w:eastAsia="Arial" w:hAnsi="Arial" w:cs="Arial"/>
        </w:rPr>
        <w:t xml:space="preserve">6 months </w:t>
      </w:r>
      <w:r w:rsidR="00102596">
        <w:rPr>
          <w:rFonts w:ascii="Arial" w:eastAsia="Arial" w:hAnsi="Arial" w:cs="Arial"/>
        </w:rPr>
        <w:t>(</w:t>
      </w:r>
      <w:r w:rsidR="00C5663A">
        <w:rPr>
          <w:rFonts w:ascii="Arial" w:hAnsi="Arial" w:cs="Arial"/>
          <w:color w:val="000000"/>
          <w:sz w:val="23"/>
          <w:szCs w:val="23"/>
        </w:rPr>
        <w:t>95% CI</w:t>
      </w:r>
      <w:r w:rsidR="002B1B5D">
        <w:rPr>
          <w:rFonts w:ascii="Arial" w:hAnsi="Arial" w:cs="Arial"/>
          <w:color w:val="000000"/>
          <w:sz w:val="23"/>
          <w:szCs w:val="23"/>
        </w:rPr>
        <w:t>,</w:t>
      </w:r>
      <w:r w:rsidR="00C5663A">
        <w:rPr>
          <w:rFonts w:ascii="Arial" w:hAnsi="Arial" w:cs="Arial"/>
          <w:color w:val="000000"/>
          <w:sz w:val="23"/>
          <w:szCs w:val="23"/>
        </w:rPr>
        <w:t xml:space="preserve"> 3.70-8.29</w:t>
      </w:r>
      <w:r w:rsidR="00102596">
        <w:rPr>
          <w:rFonts w:ascii="Arial" w:hAnsi="Arial" w:cs="Arial"/>
          <w:color w:val="000000"/>
          <w:sz w:val="23"/>
          <w:szCs w:val="23"/>
        </w:rPr>
        <w:t xml:space="preserve">) </w:t>
      </w:r>
      <w:r w:rsidR="00C5663A">
        <w:rPr>
          <w:rFonts w:ascii="Arial" w:eastAsia="Arial" w:hAnsi="Arial" w:cs="Arial"/>
        </w:rPr>
        <w:t>in patients who received chemotherapy</w:t>
      </w:r>
      <w:r w:rsidR="009A5883">
        <w:rPr>
          <w:rFonts w:ascii="Arial" w:eastAsia="Arial" w:hAnsi="Arial" w:cs="Arial"/>
        </w:rPr>
        <w:t>; P&lt;0.01</w:t>
      </w:r>
      <w:r w:rsidR="002236BE">
        <w:rPr>
          <w:rFonts w:ascii="Arial" w:eastAsia="Arial" w:hAnsi="Arial" w:cs="Arial"/>
        </w:rPr>
        <w:t xml:space="preserve"> [1</w:t>
      </w:r>
      <w:r w:rsidR="001C2F04">
        <w:rPr>
          <w:rFonts w:ascii="Arial" w:eastAsia="Arial" w:hAnsi="Arial" w:cs="Arial"/>
        </w:rPr>
        <w:t>2</w:t>
      </w:r>
      <w:r w:rsidR="002236BE">
        <w:rPr>
          <w:rFonts w:ascii="Arial" w:eastAsia="Arial" w:hAnsi="Arial" w:cs="Arial"/>
        </w:rPr>
        <w:t>]</w:t>
      </w:r>
      <w:r w:rsidR="009A5883">
        <w:rPr>
          <w:rFonts w:ascii="Arial" w:eastAsia="Arial" w:hAnsi="Arial" w:cs="Arial"/>
        </w:rPr>
        <w:t xml:space="preserve">. </w:t>
      </w:r>
    </w:p>
    <w:p w14:paraId="7686B4B5" w14:textId="61485839" w:rsidR="00050B55" w:rsidRDefault="00C36735">
      <w:pPr>
        <w:spacing w:line="480" w:lineRule="auto"/>
        <w:rPr>
          <w:rFonts w:ascii="Arial" w:eastAsia="Arial" w:hAnsi="Arial" w:cs="Arial"/>
        </w:rPr>
      </w:pPr>
      <w:r w:rsidDel="00403192">
        <w:rPr>
          <w:rFonts w:ascii="Arial" w:eastAsia="Arial" w:hAnsi="Arial" w:cs="Arial"/>
        </w:rPr>
        <w:t xml:space="preserve">The Medical Research Council (MRC) Lung Cancer Working Party Group conducted two randomized trials that included patients with </w:t>
      </w:r>
      <w:r w:rsidR="004236E3">
        <w:rPr>
          <w:rFonts w:ascii="Arial" w:eastAsia="Arial" w:hAnsi="Arial" w:cs="Arial"/>
        </w:rPr>
        <w:t xml:space="preserve">SCLC with </w:t>
      </w:r>
      <w:r w:rsidDel="00403192">
        <w:rPr>
          <w:rFonts w:ascii="Arial" w:eastAsia="Arial" w:hAnsi="Arial" w:cs="Arial"/>
        </w:rPr>
        <w:t>PS 3 or 4; 75 patients in a trial that compared a 4-drug chemotherapy regimen to a 2-drug regimen</w:t>
      </w:r>
      <w:r w:rsidDel="00403192">
        <w:rPr>
          <w:rFonts w:ascii="Arial" w:eastAsia="Arial" w:hAnsi="Arial" w:cs="Arial"/>
          <w:vertAlign w:val="superscript"/>
        </w:rPr>
        <w:t xml:space="preserve"> </w:t>
      </w:r>
      <w:r w:rsidDel="00403192">
        <w:rPr>
          <w:rFonts w:ascii="Arial" w:eastAsia="Arial" w:hAnsi="Arial" w:cs="Arial"/>
        </w:rPr>
        <w:t>[</w:t>
      </w:r>
      <w:r w:rsidR="00B07168">
        <w:rPr>
          <w:rFonts w:ascii="Arial" w:eastAsia="Arial" w:hAnsi="Arial" w:cs="Arial"/>
        </w:rPr>
        <w:t>1</w:t>
      </w:r>
      <w:r w:rsidR="001C2F04">
        <w:rPr>
          <w:rFonts w:ascii="Arial" w:eastAsia="Arial" w:hAnsi="Arial" w:cs="Arial"/>
        </w:rPr>
        <w:t>3</w:t>
      </w:r>
      <w:r w:rsidDel="00403192">
        <w:rPr>
          <w:rFonts w:ascii="Arial" w:eastAsia="Arial" w:hAnsi="Arial" w:cs="Arial"/>
        </w:rPr>
        <w:t>] and 128 patients in a trial that compared intravenous to oral etoposide chemotherapy</w:t>
      </w:r>
      <w:r w:rsidDel="00403192">
        <w:rPr>
          <w:rFonts w:ascii="Arial" w:eastAsia="Arial" w:hAnsi="Arial" w:cs="Arial"/>
          <w:vertAlign w:val="superscript"/>
        </w:rPr>
        <w:t xml:space="preserve"> </w:t>
      </w:r>
      <w:r w:rsidDel="00403192">
        <w:rPr>
          <w:rFonts w:ascii="Arial" w:eastAsia="Arial" w:hAnsi="Arial" w:cs="Arial"/>
        </w:rPr>
        <w:t>[</w:t>
      </w:r>
      <w:r w:rsidR="00B07168">
        <w:rPr>
          <w:rFonts w:ascii="Arial" w:eastAsia="Arial" w:hAnsi="Arial" w:cs="Arial"/>
        </w:rPr>
        <w:t>1</w:t>
      </w:r>
      <w:r w:rsidR="001C2F04">
        <w:rPr>
          <w:rFonts w:ascii="Arial" w:eastAsia="Arial" w:hAnsi="Arial" w:cs="Arial"/>
        </w:rPr>
        <w:t>4</w:t>
      </w:r>
      <w:r w:rsidR="009D037A">
        <w:rPr>
          <w:rFonts w:ascii="Arial" w:eastAsia="Arial" w:hAnsi="Arial" w:cs="Arial"/>
        </w:rPr>
        <w:t xml:space="preserve">]. </w:t>
      </w:r>
      <w:r w:rsidR="00361C9C">
        <w:rPr>
          <w:rFonts w:ascii="Arial" w:eastAsia="Arial" w:hAnsi="Arial" w:cs="Arial"/>
        </w:rPr>
        <w:t xml:space="preserve">Hermes </w:t>
      </w:r>
      <w:r w:rsidR="00361C9C" w:rsidRPr="006905CE">
        <w:rPr>
          <w:rFonts w:ascii="Arial" w:eastAsia="Arial" w:hAnsi="Arial" w:cs="Arial"/>
          <w:i/>
          <w:iCs/>
        </w:rPr>
        <w:t>et al</w:t>
      </w:r>
      <w:r w:rsidR="00BB025A">
        <w:rPr>
          <w:rFonts w:ascii="Arial" w:eastAsia="Arial" w:hAnsi="Arial" w:cs="Arial"/>
          <w:i/>
          <w:iCs/>
        </w:rPr>
        <w:t>.</w:t>
      </w:r>
      <w:r w:rsidR="00361C9C">
        <w:rPr>
          <w:rFonts w:ascii="Arial" w:eastAsia="Arial" w:hAnsi="Arial" w:cs="Arial"/>
        </w:rPr>
        <w:t xml:space="preserve"> </w:t>
      </w:r>
      <w:r w:rsidR="00866A64">
        <w:rPr>
          <w:rFonts w:ascii="Arial" w:eastAsia="Arial" w:hAnsi="Arial" w:cs="Arial"/>
        </w:rPr>
        <w:t>conducted a randomized trial in 209 patients with extensive stage S</w:t>
      </w:r>
      <w:r w:rsidR="005A1CDE">
        <w:rPr>
          <w:rFonts w:ascii="Arial" w:eastAsia="Arial" w:hAnsi="Arial" w:cs="Arial"/>
        </w:rPr>
        <w:t>C</w:t>
      </w:r>
      <w:r w:rsidR="00866A64">
        <w:rPr>
          <w:rFonts w:ascii="Arial" w:eastAsia="Arial" w:hAnsi="Arial" w:cs="Arial"/>
        </w:rPr>
        <w:t xml:space="preserve">LC, </w:t>
      </w:r>
      <w:r w:rsidR="009E4302">
        <w:rPr>
          <w:rFonts w:ascii="Arial" w:eastAsia="Arial" w:hAnsi="Arial" w:cs="Arial"/>
        </w:rPr>
        <w:t xml:space="preserve">comparing </w:t>
      </w:r>
      <w:r w:rsidR="009E4302">
        <w:rPr>
          <w:rFonts w:ascii="Arial" w:eastAsia="Arial" w:hAnsi="Arial" w:cs="Arial"/>
        </w:rPr>
        <w:lastRenderedPageBreak/>
        <w:t>irinotecan and carboplatin with oral etoposide and carboplatin</w:t>
      </w:r>
      <w:r w:rsidR="00866A64">
        <w:rPr>
          <w:rFonts w:ascii="Arial" w:eastAsia="Arial" w:hAnsi="Arial" w:cs="Arial"/>
        </w:rPr>
        <w:t>;</w:t>
      </w:r>
      <w:r w:rsidR="00C7258F">
        <w:rPr>
          <w:rFonts w:ascii="Arial" w:eastAsia="Arial" w:hAnsi="Arial" w:cs="Arial"/>
        </w:rPr>
        <w:t xml:space="preserve"> </w:t>
      </w:r>
      <w:r w:rsidR="00361C9C">
        <w:rPr>
          <w:rFonts w:ascii="Arial" w:eastAsia="Arial" w:hAnsi="Arial" w:cs="Arial"/>
        </w:rPr>
        <w:t>t</w:t>
      </w:r>
      <w:r w:rsidR="00C7258F">
        <w:rPr>
          <w:rFonts w:ascii="Arial" w:eastAsia="Arial" w:hAnsi="Arial" w:cs="Arial"/>
        </w:rPr>
        <w:t xml:space="preserve">here was no upper age limit and no </w:t>
      </w:r>
      <w:r w:rsidR="00FF54B4">
        <w:rPr>
          <w:rFonts w:ascii="Arial" w:eastAsia="Arial" w:hAnsi="Arial" w:cs="Arial"/>
        </w:rPr>
        <w:t xml:space="preserve">PS specified as part of the inclusion criteria. </w:t>
      </w:r>
      <w:r w:rsidR="00B30EED">
        <w:rPr>
          <w:rFonts w:ascii="Arial" w:eastAsia="Arial" w:hAnsi="Arial" w:cs="Arial"/>
        </w:rPr>
        <w:t xml:space="preserve">In the 37 patients with PS 3 or 4, the median OS </w:t>
      </w:r>
      <w:r w:rsidR="00D80120">
        <w:rPr>
          <w:rFonts w:ascii="Arial" w:eastAsia="Arial" w:hAnsi="Arial" w:cs="Arial"/>
        </w:rPr>
        <w:t xml:space="preserve">was 127 days and the </w:t>
      </w:r>
      <w:r w:rsidR="00892CCA">
        <w:rPr>
          <w:rFonts w:ascii="Arial" w:eastAsia="Arial" w:hAnsi="Arial" w:cs="Arial"/>
        </w:rPr>
        <w:t>1-year survival was 19%</w:t>
      </w:r>
      <w:r w:rsidR="00955012">
        <w:rPr>
          <w:rFonts w:ascii="Arial" w:eastAsia="Arial" w:hAnsi="Arial" w:cs="Arial"/>
        </w:rPr>
        <w:t xml:space="preserve"> [1</w:t>
      </w:r>
      <w:r w:rsidR="001C2F04">
        <w:rPr>
          <w:rFonts w:ascii="Arial" w:eastAsia="Arial" w:hAnsi="Arial" w:cs="Arial"/>
        </w:rPr>
        <w:t>5</w:t>
      </w:r>
      <w:r w:rsidR="00955012">
        <w:rPr>
          <w:rFonts w:ascii="Arial" w:eastAsia="Arial" w:hAnsi="Arial" w:cs="Arial"/>
        </w:rPr>
        <w:t>]</w:t>
      </w:r>
      <w:r w:rsidR="00892CCA">
        <w:rPr>
          <w:rFonts w:ascii="Arial" w:eastAsia="Arial" w:hAnsi="Arial" w:cs="Arial"/>
        </w:rPr>
        <w:t>.</w:t>
      </w:r>
      <w:r w:rsidR="00E2323E">
        <w:rPr>
          <w:rFonts w:ascii="Arial" w:eastAsia="Arial" w:hAnsi="Arial" w:cs="Arial"/>
        </w:rPr>
        <w:t xml:space="preserve"> </w:t>
      </w:r>
      <w:r w:rsidR="009D037A">
        <w:rPr>
          <w:rFonts w:ascii="Arial" w:eastAsia="Arial" w:hAnsi="Arial" w:cs="Arial"/>
        </w:rPr>
        <w:t>N</w:t>
      </w:r>
      <w:r w:rsidR="009D037A" w:rsidDel="00403192">
        <w:rPr>
          <w:rFonts w:ascii="Arial" w:eastAsia="Arial" w:hAnsi="Arial" w:cs="Arial"/>
        </w:rPr>
        <w:t xml:space="preserve">either of these trials included a non-chemotherapy arm, thus no conclusions can be drawn regarding the role of chemotherapy in </w:t>
      </w:r>
      <w:r w:rsidR="001B0D48">
        <w:rPr>
          <w:rFonts w:ascii="Arial" w:eastAsia="Arial" w:hAnsi="Arial" w:cs="Arial"/>
        </w:rPr>
        <w:t>patients with SCLC and</w:t>
      </w:r>
      <w:r w:rsidR="009D037A" w:rsidDel="00403192">
        <w:rPr>
          <w:rFonts w:ascii="Arial" w:eastAsia="Arial" w:hAnsi="Arial" w:cs="Arial"/>
        </w:rPr>
        <w:t xml:space="preserve"> poor PS. </w:t>
      </w:r>
      <w:r w:rsidR="00FD4B5B">
        <w:rPr>
          <w:rFonts w:ascii="Arial" w:eastAsia="Arial" w:hAnsi="Arial" w:cs="Arial"/>
        </w:rPr>
        <w:t>A</w:t>
      </w:r>
      <w:r w:rsidR="004E7C16">
        <w:rPr>
          <w:rFonts w:ascii="Arial" w:eastAsia="Arial" w:hAnsi="Arial" w:cs="Arial"/>
        </w:rPr>
        <w:t>n older</w:t>
      </w:r>
      <w:r w:rsidR="00FD4B5B">
        <w:rPr>
          <w:rFonts w:ascii="Arial" w:eastAsia="Arial" w:hAnsi="Arial" w:cs="Arial"/>
        </w:rPr>
        <w:t xml:space="preserve"> </w:t>
      </w:r>
      <w:r w:rsidR="00E2323E">
        <w:rPr>
          <w:rFonts w:ascii="Arial" w:eastAsia="Arial" w:hAnsi="Arial" w:cs="Arial"/>
        </w:rPr>
        <w:t xml:space="preserve">retrospective study </w:t>
      </w:r>
      <w:r w:rsidR="00623DE2">
        <w:rPr>
          <w:rFonts w:ascii="Arial" w:eastAsia="Arial" w:hAnsi="Arial" w:cs="Arial"/>
        </w:rPr>
        <w:t xml:space="preserve">in 13 patients with SCLC and PS of 3 or 4 </w:t>
      </w:r>
      <w:r w:rsidR="00BC25D9">
        <w:rPr>
          <w:rFonts w:ascii="Arial" w:eastAsia="Arial" w:hAnsi="Arial" w:cs="Arial"/>
        </w:rPr>
        <w:t xml:space="preserve">who received chemotherapy </w:t>
      </w:r>
      <w:r w:rsidR="00E2323E">
        <w:rPr>
          <w:rFonts w:ascii="Arial" w:eastAsia="Arial" w:hAnsi="Arial" w:cs="Arial"/>
        </w:rPr>
        <w:t xml:space="preserve">reported that </w:t>
      </w:r>
      <w:r w:rsidR="007449A2">
        <w:rPr>
          <w:rFonts w:ascii="Arial" w:eastAsia="Arial" w:hAnsi="Arial" w:cs="Arial"/>
        </w:rPr>
        <w:t xml:space="preserve">the PS improved in </w:t>
      </w:r>
      <w:r w:rsidR="00D73154">
        <w:rPr>
          <w:rFonts w:ascii="Arial" w:eastAsia="Arial" w:hAnsi="Arial" w:cs="Arial"/>
        </w:rPr>
        <w:t>8 patients (</w:t>
      </w:r>
      <w:r w:rsidR="000275E7">
        <w:rPr>
          <w:rFonts w:ascii="Arial" w:eastAsia="Arial" w:hAnsi="Arial" w:cs="Arial"/>
        </w:rPr>
        <w:t>6</w:t>
      </w:r>
      <w:r w:rsidR="00352C6D">
        <w:rPr>
          <w:rFonts w:ascii="Arial" w:eastAsia="Arial" w:hAnsi="Arial" w:cs="Arial"/>
        </w:rPr>
        <w:t>2</w:t>
      </w:r>
      <w:r w:rsidR="000275E7">
        <w:rPr>
          <w:rFonts w:ascii="Arial" w:eastAsia="Arial" w:hAnsi="Arial" w:cs="Arial"/>
        </w:rPr>
        <w:t>%)</w:t>
      </w:r>
      <w:r w:rsidR="00614D76">
        <w:rPr>
          <w:rFonts w:ascii="Arial" w:eastAsia="Arial" w:hAnsi="Arial" w:cs="Arial"/>
        </w:rPr>
        <w:t xml:space="preserve">; there were 2 </w:t>
      </w:r>
      <w:r w:rsidR="00CE595B">
        <w:rPr>
          <w:rFonts w:ascii="Arial" w:eastAsia="Arial" w:hAnsi="Arial" w:cs="Arial"/>
        </w:rPr>
        <w:t>(</w:t>
      </w:r>
      <w:r w:rsidR="00352C6D">
        <w:rPr>
          <w:rFonts w:ascii="Arial" w:eastAsia="Arial" w:hAnsi="Arial" w:cs="Arial"/>
        </w:rPr>
        <w:t xml:space="preserve">16%) </w:t>
      </w:r>
      <w:r w:rsidR="00614D76">
        <w:rPr>
          <w:rFonts w:ascii="Arial" w:eastAsia="Arial" w:hAnsi="Arial" w:cs="Arial"/>
        </w:rPr>
        <w:t xml:space="preserve">treatment related deaths </w:t>
      </w:r>
      <w:r w:rsidR="000723C2">
        <w:rPr>
          <w:rFonts w:ascii="Arial" w:eastAsia="Arial" w:hAnsi="Arial" w:cs="Arial"/>
        </w:rPr>
        <w:t xml:space="preserve">from sepsis </w:t>
      </w:r>
      <w:r w:rsidR="00614D76">
        <w:rPr>
          <w:rFonts w:ascii="Arial" w:eastAsia="Arial" w:hAnsi="Arial" w:cs="Arial"/>
        </w:rPr>
        <w:t>within 1 month</w:t>
      </w:r>
      <w:r w:rsidR="00352C6D">
        <w:rPr>
          <w:rFonts w:ascii="Arial" w:eastAsia="Arial" w:hAnsi="Arial" w:cs="Arial"/>
        </w:rPr>
        <w:t xml:space="preserve">, and the median OS </w:t>
      </w:r>
      <w:r w:rsidR="0013132A">
        <w:rPr>
          <w:rFonts w:ascii="Arial" w:eastAsia="Arial" w:hAnsi="Arial" w:cs="Arial"/>
        </w:rPr>
        <w:t>were 7.8 and 8.4 months in the patients with limited stage and extensive disease respectively</w:t>
      </w:r>
      <w:r w:rsidR="00A811AD">
        <w:rPr>
          <w:rFonts w:ascii="Arial" w:eastAsia="Arial" w:hAnsi="Arial" w:cs="Arial"/>
        </w:rPr>
        <w:t xml:space="preserve"> [1</w:t>
      </w:r>
      <w:r w:rsidR="001C2F04">
        <w:rPr>
          <w:rFonts w:ascii="Arial" w:eastAsia="Arial" w:hAnsi="Arial" w:cs="Arial"/>
        </w:rPr>
        <w:t>6</w:t>
      </w:r>
      <w:r w:rsidR="00A811AD">
        <w:rPr>
          <w:rFonts w:ascii="Arial" w:eastAsia="Arial" w:hAnsi="Arial" w:cs="Arial"/>
        </w:rPr>
        <w:t>]</w:t>
      </w:r>
      <w:r w:rsidR="0013132A">
        <w:rPr>
          <w:rFonts w:ascii="Arial" w:eastAsia="Arial" w:hAnsi="Arial" w:cs="Arial"/>
        </w:rPr>
        <w:t>.</w:t>
      </w:r>
      <w:r w:rsidR="00FD4B5B">
        <w:rPr>
          <w:rFonts w:ascii="Arial" w:eastAsia="Arial" w:hAnsi="Arial" w:cs="Arial"/>
        </w:rPr>
        <w:t xml:space="preserve"> </w:t>
      </w:r>
      <w:r w:rsidR="003D4315">
        <w:rPr>
          <w:rFonts w:ascii="Arial" w:eastAsia="Arial" w:hAnsi="Arial" w:cs="Arial"/>
        </w:rPr>
        <w:t>In another</w:t>
      </w:r>
      <w:r w:rsidR="00A14C64">
        <w:rPr>
          <w:rFonts w:ascii="Arial" w:eastAsia="Arial" w:hAnsi="Arial" w:cs="Arial"/>
        </w:rPr>
        <w:t xml:space="preserve"> retrospective analysis of 18 patients with SCLC and PS of 3 or 4</w:t>
      </w:r>
      <w:r w:rsidR="00632217">
        <w:rPr>
          <w:rFonts w:ascii="Arial" w:eastAsia="Arial" w:hAnsi="Arial" w:cs="Arial"/>
        </w:rPr>
        <w:t xml:space="preserve">, 12 patients (67%) received chemotherapy and </w:t>
      </w:r>
      <w:r w:rsidR="003E381D">
        <w:rPr>
          <w:rFonts w:ascii="Arial" w:eastAsia="Arial" w:hAnsi="Arial" w:cs="Arial"/>
        </w:rPr>
        <w:t xml:space="preserve">6 (33%) received BSC alone. </w:t>
      </w:r>
      <w:r w:rsidR="00E21BC1">
        <w:rPr>
          <w:rFonts w:ascii="Arial" w:eastAsia="Arial" w:hAnsi="Arial" w:cs="Arial"/>
        </w:rPr>
        <w:t>Post-chemotherapy, t</w:t>
      </w:r>
      <w:r w:rsidR="003E381D">
        <w:rPr>
          <w:rFonts w:ascii="Arial" w:eastAsia="Arial" w:hAnsi="Arial" w:cs="Arial"/>
        </w:rPr>
        <w:t>h</w:t>
      </w:r>
      <w:r w:rsidR="00B03AAF">
        <w:rPr>
          <w:rFonts w:ascii="Arial" w:eastAsia="Arial" w:hAnsi="Arial" w:cs="Arial"/>
        </w:rPr>
        <w:t xml:space="preserve">ere was an improvement in PS in 7 patients </w:t>
      </w:r>
      <w:r w:rsidR="00E21BC1">
        <w:rPr>
          <w:rFonts w:ascii="Arial" w:eastAsia="Arial" w:hAnsi="Arial" w:cs="Arial"/>
        </w:rPr>
        <w:t>(58%),</w:t>
      </w:r>
      <w:r w:rsidR="00020B5C">
        <w:rPr>
          <w:rFonts w:ascii="Arial" w:eastAsia="Arial" w:hAnsi="Arial" w:cs="Arial"/>
        </w:rPr>
        <w:t xml:space="preserve"> </w:t>
      </w:r>
      <w:r w:rsidR="00C956AA">
        <w:rPr>
          <w:rFonts w:ascii="Arial" w:eastAsia="Arial" w:hAnsi="Arial" w:cs="Arial"/>
        </w:rPr>
        <w:t xml:space="preserve">a worsening in </w:t>
      </w:r>
      <w:r w:rsidR="003A0ED9">
        <w:rPr>
          <w:rFonts w:ascii="Arial" w:eastAsia="Arial" w:hAnsi="Arial" w:cs="Arial"/>
        </w:rPr>
        <w:t xml:space="preserve">3 (25%) and no change in </w:t>
      </w:r>
      <w:r w:rsidR="00F405BF">
        <w:rPr>
          <w:rFonts w:ascii="Arial" w:eastAsia="Arial" w:hAnsi="Arial" w:cs="Arial"/>
        </w:rPr>
        <w:t>2 (17%)</w:t>
      </w:r>
      <w:r w:rsidR="0038640E">
        <w:rPr>
          <w:rFonts w:ascii="Arial" w:eastAsia="Arial" w:hAnsi="Arial" w:cs="Arial"/>
        </w:rPr>
        <w:t xml:space="preserve">. </w:t>
      </w:r>
      <w:r w:rsidR="00CC552E">
        <w:rPr>
          <w:rFonts w:ascii="Arial" w:eastAsia="Arial" w:hAnsi="Arial" w:cs="Arial"/>
        </w:rPr>
        <w:t>The t</w:t>
      </w:r>
      <w:r w:rsidR="0038640E">
        <w:rPr>
          <w:rFonts w:ascii="Arial" w:eastAsia="Arial" w:hAnsi="Arial" w:cs="Arial"/>
        </w:rPr>
        <w:t>oxicit</w:t>
      </w:r>
      <w:r w:rsidR="00CC552E">
        <w:rPr>
          <w:rFonts w:ascii="Arial" w:eastAsia="Arial" w:hAnsi="Arial" w:cs="Arial"/>
        </w:rPr>
        <w:t>ies</w:t>
      </w:r>
      <w:r w:rsidR="0038640E">
        <w:rPr>
          <w:rFonts w:ascii="Arial" w:eastAsia="Arial" w:hAnsi="Arial" w:cs="Arial"/>
        </w:rPr>
        <w:t xml:space="preserve"> of chemotherapy included </w:t>
      </w:r>
      <w:r w:rsidR="00D40608">
        <w:rPr>
          <w:rFonts w:ascii="Arial" w:eastAsia="Arial" w:hAnsi="Arial" w:cs="Arial"/>
        </w:rPr>
        <w:t>grade 3 and higher neutropenia in 83% and febrile neutropenia in 42%</w:t>
      </w:r>
      <w:r w:rsidR="00DA0964">
        <w:rPr>
          <w:rFonts w:ascii="Arial" w:eastAsia="Arial" w:hAnsi="Arial" w:cs="Arial"/>
        </w:rPr>
        <w:t>; there was one treatment-related mortality.</w:t>
      </w:r>
      <w:r w:rsidR="00397683">
        <w:rPr>
          <w:rFonts w:ascii="Arial" w:eastAsia="Arial" w:hAnsi="Arial" w:cs="Arial"/>
        </w:rPr>
        <w:t xml:space="preserve"> The median OS was 4.9 months, and the 6-month survival was 47.9%</w:t>
      </w:r>
      <w:r w:rsidR="009B050D">
        <w:rPr>
          <w:rFonts w:ascii="Arial" w:eastAsia="Arial" w:hAnsi="Arial" w:cs="Arial"/>
        </w:rPr>
        <w:t>; the survival was comparable between patients with PS 3 or 4.</w:t>
      </w:r>
      <w:r w:rsidR="005D68AD">
        <w:rPr>
          <w:rFonts w:ascii="Arial" w:eastAsia="Arial" w:hAnsi="Arial" w:cs="Arial"/>
        </w:rPr>
        <w:t xml:space="preserve"> </w:t>
      </w:r>
      <w:r w:rsidR="00D31EE0">
        <w:rPr>
          <w:rFonts w:ascii="Arial" w:eastAsia="Arial" w:hAnsi="Arial" w:cs="Arial"/>
        </w:rPr>
        <w:t>Chemotherapy resulted in a significant survival benefit: the 6-month survival was</w:t>
      </w:r>
      <w:r w:rsidR="00875797">
        <w:rPr>
          <w:rFonts w:ascii="Arial" w:eastAsia="Arial" w:hAnsi="Arial" w:cs="Arial"/>
        </w:rPr>
        <w:t xml:space="preserve"> 66.7% in the patients who received chemotherapy, </w:t>
      </w:r>
      <w:r w:rsidR="00F835E7">
        <w:rPr>
          <w:rFonts w:ascii="Arial" w:eastAsia="Arial" w:hAnsi="Arial" w:cs="Arial"/>
        </w:rPr>
        <w:t>versus</w:t>
      </w:r>
      <w:r w:rsidR="00875797">
        <w:rPr>
          <w:rFonts w:ascii="Arial" w:eastAsia="Arial" w:hAnsi="Arial" w:cs="Arial"/>
        </w:rPr>
        <w:t xml:space="preserve"> 0 in the patients managed with BSC. All the patients who received BSC died within the first 5 months</w:t>
      </w:r>
      <w:r w:rsidR="00A811AD">
        <w:rPr>
          <w:rFonts w:ascii="Arial" w:eastAsia="Arial" w:hAnsi="Arial" w:cs="Arial"/>
        </w:rPr>
        <w:t xml:space="preserve"> [1</w:t>
      </w:r>
      <w:r w:rsidR="001C2F04">
        <w:rPr>
          <w:rFonts w:ascii="Arial" w:eastAsia="Arial" w:hAnsi="Arial" w:cs="Arial"/>
        </w:rPr>
        <w:t>7</w:t>
      </w:r>
      <w:r w:rsidR="00A811AD">
        <w:rPr>
          <w:rFonts w:ascii="Arial" w:eastAsia="Arial" w:hAnsi="Arial" w:cs="Arial"/>
        </w:rPr>
        <w:t>]</w:t>
      </w:r>
      <w:r w:rsidR="00875797">
        <w:rPr>
          <w:rFonts w:ascii="Arial" w:eastAsia="Arial" w:hAnsi="Arial" w:cs="Arial"/>
        </w:rPr>
        <w:t>.</w:t>
      </w:r>
    </w:p>
    <w:p w14:paraId="2514AEA1" w14:textId="16D99B1B" w:rsidR="00CA0A75" w:rsidRDefault="002D2DFC">
      <w:pPr>
        <w:spacing w:line="480" w:lineRule="auto"/>
        <w:rPr>
          <w:rFonts w:ascii="Arial" w:eastAsia="Arial" w:hAnsi="Arial" w:cs="Arial"/>
        </w:rPr>
      </w:pPr>
      <w:r>
        <w:rPr>
          <w:rFonts w:ascii="Arial" w:eastAsia="Arial" w:hAnsi="Arial" w:cs="Arial"/>
        </w:rPr>
        <w:t xml:space="preserve">The concern about administering chemotherapy to a patient with poor PS is excessive toxicity, i.e. the possibility of doing more harm than good. In our study, 60% of the </w:t>
      </w:r>
      <w:r w:rsidR="00CC3A8F">
        <w:rPr>
          <w:rFonts w:ascii="Arial" w:eastAsia="Arial" w:hAnsi="Arial" w:cs="Arial"/>
        </w:rPr>
        <w:t xml:space="preserve">patients with </w:t>
      </w:r>
      <w:r>
        <w:rPr>
          <w:rFonts w:ascii="Arial" w:eastAsia="Arial" w:hAnsi="Arial" w:cs="Arial"/>
        </w:rPr>
        <w:t xml:space="preserve">SCLC </w:t>
      </w:r>
      <w:r w:rsidR="00CC3A8F">
        <w:rPr>
          <w:rFonts w:ascii="Arial" w:eastAsia="Arial" w:hAnsi="Arial" w:cs="Arial"/>
        </w:rPr>
        <w:t>and</w:t>
      </w:r>
      <w:r>
        <w:rPr>
          <w:rFonts w:ascii="Arial" w:eastAsia="Arial" w:hAnsi="Arial" w:cs="Arial"/>
        </w:rPr>
        <w:t xml:space="preserve"> poor PS who were treated with attenuated chemotherapy developed severe acute toxicities, while 89% of the patients treated with upfront standard chemotherapy developed severe toxicities. This is broadly comparable to the reported toxicities in first line therapy in good PS patients with extensive stage SCLC; in the Japanese trial by Noda </w:t>
      </w:r>
      <w:r>
        <w:rPr>
          <w:rFonts w:ascii="Arial" w:eastAsia="Arial" w:hAnsi="Arial" w:cs="Arial"/>
          <w:i/>
        </w:rPr>
        <w:t>et al.</w:t>
      </w:r>
      <w:r>
        <w:rPr>
          <w:rFonts w:ascii="Arial" w:eastAsia="Arial" w:hAnsi="Arial" w:cs="Arial"/>
        </w:rPr>
        <w:t xml:space="preserve"> that included only patients </w:t>
      </w:r>
      <w:r w:rsidR="00B50901">
        <w:rPr>
          <w:rFonts w:ascii="Arial" w:eastAsia="Arial" w:hAnsi="Arial" w:cs="Arial"/>
        </w:rPr>
        <w:t xml:space="preserve">younger than 70 years with </w:t>
      </w:r>
      <w:r>
        <w:rPr>
          <w:rFonts w:ascii="Arial" w:eastAsia="Arial" w:hAnsi="Arial" w:cs="Arial"/>
        </w:rPr>
        <w:t>an ECOG PS of 0 to 2, 92.2% patients treated with cisplatin and etoposide developed grade 3 or 4 neutropenia and 29.9% patients had grade 3 or 4 anemia [1</w:t>
      </w:r>
      <w:r w:rsidR="0037022D">
        <w:rPr>
          <w:rFonts w:ascii="Arial" w:eastAsia="Arial" w:hAnsi="Arial" w:cs="Arial"/>
        </w:rPr>
        <w:t>8</w:t>
      </w:r>
      <w:r>
        <w:rPr>
          <w:rFonts w:ascii="Arial" w:eastAsia="Arial" w:hAnsi="Arial" w:cs="Arial"/>
        </w:rPr>
        <w:t xml:space="preserve">]. In our study, other than hyponatremia, the most </w:t>
      </w:r>
      <w:r>
        <w:rPr>
          <w:rFonts w:ascii="Arial" w:eastAsia="Arial" w:hAnsi="Arial" w:cs="Arial"/>
        </w:rPr>
        <w:lastRenderedPageBreak/>
        <w:t>common toxicities included neutropenia and infectious complications, and three of the four toxic deaths that occurred in the patients on attenuated chemotherapy were due to infection</w:t>
      </w:r>
      <w:r w:rsidR="003A1170">
        <w:rPr>
          <w:rFonts w:ascii="Arial" w:eastAsia="Arial" w:hAnsi="Arial" w:cs="Arial"/>
        </w:rPr>
        <w:t>s</w:t>
      </w:r>
      <w:r>
        <w:rPr>
          <w:rFonts w:ascii="Arial" w:eastAsia="Arial" w:hAnsi="Arial" w:cs="Arial"/>
        </w:rPr>
        <w:t xml:space="preserve">. A high index of suspicion, close monitoring of the post-chemotherapy blood counts, </w:t>
      </w:r>
      <w:r w:rsidR="000051E4">
        <w:rPr>
          <w:rFonts w:ascii="Arial" w:eastAsia="Arial" w:hAnsi="Arial" w:cs="Arial"/>
        </w:rPr>
        <w:t xml:space="preserve">and </w:t>
      </w:r>
      <w:r>
        <w:rPr>
          <w:rFonts w:ascii="Arial" w:eastAsia="Arial" w:hAnsi="Arial" w:cs="Arial"/>
        </w:rPr>
        <w:t xml:space="preserve">a low threshold for the primary administration of growth factors and antibiotics, may help to decrease the risk of infections and improve the therapeutic index of chemotherapy in these patients. The incidence of severe toxicities from full dose chemotherapy in our study in patients who received initial attenuated chemotherapy followed by standard full dose chemotherapy was 69%. Thus, the stepwise approach of administering attenuated doses of chemotherapy upfront, to chemically debulk the tumor, decrease the tumor-related symptoms and improve the PS, followed by full dose systemic chemotherapy when the PS has improved, may lower the toxicity of therapy. </w:t>
      </w:r>
    </w:p>
    <w:p w14:paraId="257C2311" w14:textId="1C578FF4" w:rsidR="00CA0A75" w:rsidRDefault="002D2DFC">
      <w:pPr>
        <w:pStyle w:val="Heading1"/>
        <w:shd w:val="clear" w:color="auto" w:fill="FFFFFF"/>
        <w:spacing w:before="120" w:after="120" w:line="480" w:lineRule="auto"/>
        <w:rPr>
          <w:rFonts w:ascii="Arial" w:eastAsia="Arial" w:hAnsi="Arial" w:cs="Arial"/>
          <w:u w:val="none"/>
        </w:rPr>
      </w:pPr>
      <w:r>
        <w:rPr>
          <w:rFonts w:ascii="Arial" w:eastAsia="Arial" w:hAnsi="Arial" w:cs="Arial"/>
          <w:u w:val="none"/>
        </w:rPr>
        <w:t xml:space="preserve">PS is a well-known prognostic factor in patients </w:t>
      </w:r>
      <w:r w:rsidR="004236E3">
        <w:rPr>
          <w:rFonts w:ascii="Arial" w:eastAsia="Arial" w:hAnsi="Arial" w:cs="Arial"/>
          <w:u w:val="none"/>
        </w:rPr>
        <w:t xml:space="preserve">with SCLC </w:t>
      </w:r>
      <w:r>
        <w:rPr>
          <w:rFonts w:ascii="Arial" w:eastAsia="Arial" w:hAnsi="Arial" w:cs="Arial"/>
          <w:u w:val="none"/>
        </w:rPr>
        <w:t>[1</w:t>
      </w:r>
      <w:r w:rsidR="00043838">
        <w:rPr>
          <w:rFonts w:ascii="Arial" w:eastAsia="Arial" w:hAnsi="Arial" w:cs="Arial"/>
          <w:u w:val="none"/>
        </w:rPr>
        <w:t>9</w:t>
      </w:r>
      <w:r>
        <w:rPr>
          <w:rFonts w:ascii="Arial" w:eastAsia="Arial" w:hAnsi="Arial" w:cs="Arial"/>
          <w:u w:val="none"/>
        </w:rPr>
        <w:t>-</w:t>
      </w:r>
      <w:r w:rsidR="00043838">
        <w:rPr>
          <w:rFonts w:ascii="Arial" w:eastAsia="Arial" w:hAnsi="Arial" w:cs="Arial"/>
          <w:u w:val="none"/>
        </w:rPr>
        <w:t>21</w:t>
      </w:r>
      <w:r>
        <w:rPr>
          <w:rFonts w:ascii="Arial" w:eastAsia="Arial" w:hAnsi="Arial" w:cs="Arial"/>
          <w:u w:val="none"/>
        </w:rPr>
        <w:t xml:space="preserve">]. In our study, the response rate to first line chemotherapy in patients </w:t>
      </w:r>
      <w:r w:rsidR="004236E3">
        <w:rPr>
          <w:rFonts w:ascii="Arial" w:eastAsia="Arial" w:hAnsi="Arial" w:cs="Arial"/>
          <w:u w:val="none"/>
        </w:rPr>
        <w:t xml:space="preserve">with SCLC </w:t>
      </w:r>
      <w:r w:rsidR="00640FB7">
        <w:rPr>
          <w:rFonts w:ascii="Arial" w:eastAsia="Arial" w:hAnsi="Arial" w:cs="Arial"/>
          <w:u w:val="none"/>
        </w:rPr>
        <w:t>and</w:t>
      </w:r>
      <w:r>
        <w:rPr>
          <w:rFonts w:ascii="Arial" w:eastAsia="Arial" w:hAnsi="Arial" w:cs="Arial"/>
          <w:u w:val="none"/>
        </w:rPr>
        <w:t xml:space="preserve"> poor PS was 77% and the median OS in patients who received some form of chemotherapy was 6 months. In the literature, the expected response rate to systemic chemotherapy </w:t>
      </w:r>
      <w:r w:rsidR="00AF1247">
        <w:rPr>
          <w:rFonts w:ascii="Arial" w:eastAsia="Arial" w:hAnsi="Arial" w:cs="Arial"/>
          <w:u w:val="none"/>
        </w:rPr>
        <w:t>ranges from</w:t>
      </w:r>
      <w:r>
        <w:rPr>
          <w:rFonts w:ascii="Arial" w:eastAsia="Arial" w:hAnsi="Arial" w:cs="Arial"/>
          <w:u w:val="none"/>
        </w:rPr>
        <w:t xml:space="preserve"> 70 to 90% and the expected median OS of patients with extensive stage SCLC who are treated with systemic chemotherapy ranges from 8 to 13 months [</w:t>
      </w:r>
      <w:r w:rsidR="007C26A7">
        <w:rPr>
          <w:rFonts w:ascii="Arial" w:eastAsia="Arial" w:hAnsi="Arial" w:cs="Arial"/>
          <w:u w:val="none"/>
        </w:rPr>
        <w:t>22</w:t>
      </w:r>
      <w:r>
        <w:rPr>
          <w:rFonts w:ascii="Arial" w:eastAsia="Arial" w:hAnsi="Arial" w:cs="Arial"/>
          <w:u w:val="none"/>
        </w:rPr>
        <w:t xml:space="preserve">]. Thus, our cohort of patients did appear to have a </w:t>
      </w:r>
      <w:r w:rsidR="00BB291A">
        <w:rPr>
          <w:rFonts w:ascii="Arial" w:eastAsia="Arial" w:hAnsi="Arial" w:cs="Arial"/>
          <w:u w:val="none"/>
        </w:rPr>
        <w:t>shorter</w:t>
      </w:r>
      <w:r>
        <w:rPr>
          <w:rFonts w:ascii="Arial" w:eastAsia="Arial" w:hAnsi="Arial" w:cs="Arial"/>
          <w:u w:val="none"/>
        </w:rPr>
        <w:t xml:space="preserve"> OS than what is described in the literature, reiterating that poor PS is a powerful prognostic marker in SCLC. Within the group of poor PS patients, a PS of 3 versus 4 did not appear to carry </w:t>
      </w:r>
      <w:r w:rsidR="00B44EF4">
        <w:rPr>
          <w:rFonts w:ascii="Arial" w:eastAsia="Arial" w:hAnsi="Arial" w:cs="Arial"/>
          <w:u w:val="none"/>
        </w:rPr>
        <w:t xml:space="preserve">additional </w:t>
      </w:r>
      <w:r>
        <w:rPr>
          <w:rFonts w:ascii="Arial" w:eastAsia="Arial" w:hAnsi="Arial" w:cs="Arial"/>
          <w:u w:val="none"/>
        </w:rPr>
        <w:t xml:space="preserve">prognostic value. </w:t>
      </w:r>
    </w:p>
    <w:p w14:paraId="3BC92F39" w14:textId="43D5FB54" w:rsidR="00A10E6F" w:rsidRPr="006905CE" w:rsidRDefault="002D2DFC" w:rsidP="006905CE">
      <w:pPr>
        <w:autoSpaceDE w:val="0"/>
        <w:autoSpaceDN w:val="0"/>
        <w:adjustRightInd w:val="0"/>
        <w:spacing w:after="0" w:line="480" w:lineRule="auto"/>
        <w:rPr>
          <w:rFonts w:ascii="Arial" w:hAnsi="Arial" w:cs="Arial"/>
          <w:color w:val="000000"/>
        </w:rPr>
      </w:pPr>
      <w:bookmarkStart w:id="2" w:name="_1fob9te" w:colFirst="0" w:colLast="0"/>
      <w:bookmarkEnd w:id="2"/>
      <w:r>
        <w:rPr>
          <w:rFonts w:ascii="Arial" w:eastAsia="Arial" w:hAnsi="Arial" w:cs="Arial"/>
        </w:rPr>
        <w:t xml:space="preserve">Our study consisted of a relatively homogenous patient cohort, i.e. we included all patients </w:t>
      </w:r>
      <w:r w:rsidR="00143527">
        <w:rPr>
          <w:rFonts w:ascii="Arial" w:eastAsia="Arial" w:hAnsi="Arial" w:cs="Arial"/>
        </w:rPr>
        <w:t xml:space="preserve">with SCLC </w:t>
      </w:r>
      <w:r w:rsidR="00C5638B">
        <w:rPr>
          <w:rFonts w:ascii="Arial" w:eastAsia="Arial" w:hAnsi="Arial" w:cs="Arial"/>
        </w:rPr>
        <w:t>and</w:t>
      </w:r>
      <w:r>
        <w:rPr>
          <w:rFonts w:ascii="Arial" w:eastAsia="Arial" w:hAnsi="Arial" w:cs="Arial"/>
        </w:rPr>
        <w:t xml:space="preserve"> PS 3 or 4, and our patient cohort represented the real-world scenario in the clinic; two patients were in the intensive care unit, on mechanical ventilation and pressor support and 6% patients had stridor with impending respiratory failure. The management of the patients in the study was decided in the multidisciplinary thoracic oncology clinic and the therapy planned was relatively uniform. The overall outcomes of the patients </w:t>
      </w:r>
      <w:r w:rsidR="008265F4">
        <w:rPr>
          <w:rFonts w:ascii="Arial" w:eastAsia="Arial" w:hAnsi="Arial" w:cs="Arial"/>
        </w:rPr>
        <w:t>are</w:t>
      </w:r>
      <w:r>
        <w:rPr>
          <w:rFonts w:ascii="Arial" w:eastAsia="Arial" w:hAnsi="Arial" w:cs="Arial"/>
        </w:rPr>
        <w:t xml:space="preserve"> consistent with the data reported in the literature. As the event rate in SCLC is high, our data are </w:t>
      </w:r>
      <w:r>
        <w:rPr>
          <w:rFonts w:ascii="Arial" w:eastAsia="Arial" w:hAnsi="Arial" w:cs="Arial"/>
        </w:rPr>
        <w:lastRenderedPageBreak/>
        <w:t xml:space="preserve">mature. </w:t>
      </w:r>
      <w:r w:rsidR="003E18F3">
        <w:rPr>
          <w:rFonts w:ascii="Arial" w:eastAsia="Arial" w:hAnsi="Arial" w:cs="Arial"/>
        </w:rPr>
        <w:t>S</w:t>
      </w:r>
      <w:r w:rsidR="006705F1">
        <w:rPr>
          <w:rFonts w:ascii="Arial" w:eastAsia="Arial" w:hAnsi="Arial" w:cs="Arial"/>
        </w:rPr>
        <w:t xml:space="preserve">everal points </w:t>
      </w:r>
      <w:r w:rsidR="00A832B9">
        <w:rPr>
          <w:rFonts w:ascii="Arial" w:eastAsia="Arial" w:hAnsi="Arial" w:cs="Arial"/>
        </w:rPr>
        <w:t xml:space="preserve">need to be highlighted </w:t>
      </w:r>
      <w:r w:rsidR="006705F1">
        <w:rPr>
          <w:rFonts w:ascii="Arial" w:eastAsia="Arial" w:hAnsi="Arial" w:cs="Arial"/>
        </w:rPr>
        <w:t xml:space="preserve">about </w:t>
      </w:r>
      <w:r w:rsidR="009D0A4E">
        <w:rPr>
          <w:rFonts w:ascii="Arial" w:eastAsia="Arial" w:hAnsi="Arial" w:cs="Arial"/>
        </w:rPr>
        <w:t>our patient cohort</w:t>
      </w:r>
      <w:r w:rsidR="002A0EFF">
        <w:rPr>
          <w:rFonts w:ascii="Arial" w:eastAsia="Arial" w:hAnsi="Arial" w:cs="Arial"/>
        </w:rPr>
        <w:t xml:space="preserve">, </w:t>
      </w:r>
      <w:r w:rsidR="00D654C0">
        <w:rPr>
          <w:rFonts w:ascii="Arial" w:eastAsia="Arial" w:hAnsi="Arial" w:cs="Arial"/>
        </w:rPr>
        <w:t>including</w:t>
      </w:r>
      <w:r w:rsidR="002A0EFF">
        <w:rPr>
          <w:rFonts w:ascii="Arial" w:eastAsia="Arial" w:hAnsi="Arial" w:cs="Arial"/>
        </w:rPr>
        <w:t xml:space="preserve"> the demographics/clinical features</w:t>
      </w:r>
      <w:r w:rsidR="00095F55">
        <w:rPr>
          <w:rFonts w:ascii="Arial" w:eastAsia="Arial" w:hAnsi="Arial" w:cs="Arial"/>
        </w:rPr>
        <w:t xml:space="preserve"> and the management</w:t>
      </w:r>
      <w:r w:rsidR="00A832B9">
        <w:rPr>
          <w:rFonts w:ascii="Arial" w:eastAsia="Arial" w:hAnsi="Arial" w:cs="Arial"/>
        </w:rPr>
        <w:t>.</w:t>
      </w:r>
      <w:r w:rsidR="00095F55">
        <w:rPr>
          <w:rFonts w:ascii="Arial" w:eastAsia="Arial" w:hAnsi="Arial" w:cs="Arial"/>
        </w:rPr>
        <w:t xml:space="preserve"> </w:t>
      </w:r>
      <w:r w:rsidR="00522398">
        <w:rPr>
          <w:rFonts w:ascii="Arial" w:eastAsia="Arial" w:hAnsi="Arial" w:cs="Arial"/>
        </w:rPr>
        <w:t>Almost 10% of our patients were never-smokers, which is unusually high</w:t>
      </w:r>
      <w:r w:rsidR="00B84800">
        <w:rPr>
          <w:rFonts w:ascii="Arial" w:eastAsia="Arial" w:hAnsi="Arial" w:cs="Arial"/>
        </w:rPr>
        <w:t xml:space="preserve"> for a</w:t>
      </w:r>
      <w:r w:rsidR="00802FDE">
        <w:rPr>
          <w:rFonts w:ascii="Arial" w:eastAsia="Arial" w:hAnsi="Arial" w:cs="Arial"/>
        </w:rPr>
        <w:t>n</w:t>
      </w:r>
      <w:r w:rsidR="00B84800">
        <w:rPr>
          <w:rFonts w:ascii="Arial" w:eastAsia="Arial" w:hAnsi="Arial" w:cs="Arial"/>
        </w:rPr>
        <w:t xml:space="preserve"> SCLC cohort</w:t>
      </w:r>
      <w:r w:rsidR="00003F1B">
        <w:rPr>
          <w:rFonts w:ascii="Arial" w:eastAsia="Arial" w:hAnsi="Arial" w:cs="Arial"/>
        </w:rPr>
        <w:t xml:space="preserve">; </w:t>
      </w:r>
      <w:r w:rsidR="006100E3">
        <w:rPr>
          <w:rFonts w:ascii="Arial" w:eastAsia="Arial" w:hAnsi="Arial" w:cs="Arial"/>
        </w:rPr>
        <w:t>3% of the patients in the IMpower133 study</w:t>
      </w:r>
      <w:r w:rsidR="005D22C4">
        <w:rPr>
          <w:rFonts w:ascii="Arial" w:eastAsia="Arial" w:hAnsi="Arial" w:cs="Arial"/>
        </w:rPr>
        <w:t xml:space="preserve"> </w:t>
      </w:r>
      <w:r w:rsidR="00DC2639">
        <w:rPr>
          <w:rFonts w:ascii="Arial" w:eastAsia="Arial" w:hAnsi="Arial" w:cs="Arial"/>
        </w:rPr>
        <w:t xml:space="preserve">and </w:t>
      </w:r>
      <w:r w:rsidR="00B02E50">
        <w:rPr>
          <w:rFonts w:ascii="Arial" w:eastAsia="Arial" w:hAnsi="Arial" w:cs="Arial"/>
        </w:rPr>
        <w:t xml:space="preserve">1.3% of the patients in the </w:t>
      </w:r>
      <w:r w:rsidR="008402F5">
        <w:rPr>
          <w:rFonts w:ascii="Arial" w:eastAsia="Arial" w:hAnsi="Arial" w:cs="Arial"/>
        </w:rPr>
        <w:t xml:space="preserve">CONVERT trial </w:t>
      </w:r>
      <w:r w:rsidR="00DC2639">
        <w:rPr>
          <w:rFonts w:ascii="Arial" w:eastAsia="Arial" w:hAnsi="Arial" w:cs="Arial"/>
        </w:rPr>
        <w:t>were never-smokers</w:t>
      </w:r>
      <w:r w:rsidR="005D22C4">
        <w:rPr>
          <w:rFonts w:ascii="Arial" w:eastAsia="Arial" w:hAnsi="Arial" w:cs="Arial"/>
        </w:rPr>
        <w:t xml:space="preserve"> [23,24]</w:t>
      </w:r>
      <w:r w:rsidR="00522398">
        <w:rPr>
          <w:rFonts w:ascii="Arial" w:eastAsia="Arial" w:hAnsi="Arial" w:cs="Arial"/>
        </w:rPr>
        <w:t xml:space="preserve">. </w:t>
      </w:r>
      <w:r w:rsidR="004D2620" w:rsidRPr="006905CE">
        <w:rPr>
          <w:rFonts w:ascii="Arial" w:hAnsi="Arial" w:cs="Arial"/>
          <w:color w:val="000000"/>
        </w:rPr>
        <w:t xml:space="preserve">Smoking is </w:t>
      </w:r>
      <w:r w:rsidR="00D75CE4">
        <w:rPr>
          <w:rFonts w:ascii="Arial" w:hAnsi="Arial" w:cs="Arial"/>
          <w:color w:val="000000"/>
        </w:rPr>
        <w:t>uncommon</w:t>
      </w:r>
      <w:r w:rsidR="004D2620" w:rsidRPr="006905CE">
        <w:rPr>
          <w:rFonts w:ascii="Arial" w:hAnsi="Arial" w:cs="Arial"/>
          <w:color w:val="000000"/>
        </w:rPr>
        <w:t xml:space="preserve"> in India</w:t>
      </w:r>
      <w:r w:rsidR="00E77058">
        <w:rPr>
          <w:rFonts w:ascii="Arial" w:hAnsi="Arial" w:cs="Arial"/>
          <w:color w:val="000000"/>
        </w:rPr>
        <w:t>:</w:t>
      </w:r>
      <w:r w:rsidR="004D2620" w:rsidRPr="006905CE">
        <w:rPr>
          <w:rFonts w:ascii="Arial" w:hAnsi="Arial" w:cs="Arial"/>
          <w:color w:val="000000"/>
        </w:rPr>
        <w:t xml:space="preserve"> 19% of men</w:t>
      </w:r>
      <w:r w:rsidR="00A924CB">
        <w:rPr>
          <w:rFonts w:ascii="Arial" w:hAnsi="Arial" w:cs="Arial"/>
          <w:color w:val="000000"/>
        </w:rPr>
        <w:t xml:space="preserve"> and</w:t>
      </w:r>
      <w:r w:rsidR="004D2620" w:rsidRPr="006905CE">
        <w:rPr>
          <w:rFonts w:ascii="Arial" w:hAnsi="Arial" w:cs="Arial"/>
          <w:color w:val="000000"/>
        </w:rPr>
        <w:t xml:space="preserve"> 2% of women smoke tobacco.</w:t>
      </w:r>
      <w:r w:rsidR="00BA474C">
        <w:rPr>
          <w:rFonts w:ascii="Arial" w:hAnsi="Arial" w:cs="Arial"/>
          <w:color w:val="000000"/>
        </w:rPr>
        <w:t>[25]</w:t>
      </w:r>
      <w:r w:rsidR="004D2620" w:rsidRPr="006905CE">
        <w:rPr>
          <w:rFonts w:ascii="Arial" w:hAnsi="Arial" w:cs="Arial"/>
          <w:color w:val="000000"/>
        </w:rPr>
        <w:t xml:space="preserve"> In our </w:t>
      </w:r>
      <w:r w:rsidR="00BD2D6B">
        <w:rPr>
          <w:rFonts w:ascii="Arial" w:hAnsi="Arial" w:cs="Arial"/>
          <w:color w:val="000000"/>
        </w:rPr>
        <w:t>earlier studies</w:t>
      </w:r>
      <w:r w:rsidR="004D2620" w:rsidRPr="006905CE">
        <w:rPr>
          <w:rFonts w:ascii="Arial" w:hAnsi="Arial" w:cs="Arial"/>
          <w:color w:val="000000"/>
        </w:rPr>
        <w:t>, 55% of our patients with lung cancer</w:t>
      </w:r>
      <w:r w:rsidR="00BD2D6B">
        <w:rPr>
          <w:rFonts w:ascii="Arial" w:hAnsi="Arial" w:cs="Arial"/>
          <w:color w:val="000000"/>
        </w:rPr>
        <w:t xml:space="preserve"> and 15% of our patients with SCLC were non-</w:t>
      </w:r>
      <w:proofErr w:type="gramStart"/>
      <w:r w:rsidR="00BD2D6B">
        <w:rPr>
          <w:rFonts w:ascii="Arial" w:hAnsi="Arial" w:cs="Arial"/>
          <w:color w:val="000000"/>
        </w:rPr>
        <w:t>smokers</w:t>
      </w:r>
      <w:r w:rsidR="004D2620" w:rsidRPr="006905CE">
        <w:rPr>
          <w:rFonts w:ascii="Arial" w:hAnsi="Arial" w:cs="Arial"/>
          <w:color w:val="000000"/>
        </w:rPr>
        <w:t>.</w:t>
      </w:r>
      <w:r w:rsidR="001138C2">
        <w:rPr>
          <w:rFonts w:ascii="Arial" w:hAnsi="Arial" w:cs="Arial"/>
          <w:color w:val="000000"/>
        </w:rPr>
        <w:t>[</w:t>
      </w:r>
      <w:proofErr w:type="gramEnd"/>
      <w:r w:rsidR="001138C2">
        <w:rPr>
          <w:rFonts w:ascii="Arial" w:hAnsi="Arial" w:cs="Arial"/>
          <w:color w:val="000000"/>
        </w:rPr>
        <w:t>26</w:t>
      </w:r>
      <w:r w:rsidR="00BD2D6B">
        <w:rPr>
          <w:rFonts w:ascii="Arial" w:hAnsi="Arial" w:cs="Arial"/>
          <w:color w:val="000000"/>
        </w:rPr>
        <w:t>,27</w:t>
      </w:r>
      <w:r w:rsidR="001138C2">
        <w:rPr>
          <w:rFonts w:ascii="Arial" w:hAnsi="Arial" w:cs="Arial"/>
          <w:color w:val="000000"/>
        </w:rPr>
        <w:t>]</w:t>
      </w:r>
      <w:r w:rsidR="004D2620" w:rsidRPr="006905CE">
        <w:rPr>
          <w:rFonts w:ascii="Arial" w:hAnsi="Arial" w:cs="Arial"/>
          <w:color w:val="000000"/>
        </w:rPr>
        <w:t>.</w:t>
      </w:r>
      <w:r w:rsidR="00D4038E">
        <w:rPr>
          <w:rFonts w:ascii="Arial" w:hAnsi="Arial" w:cs="Arial"/>
          <w:color w:val="000000"/>
        </w:rPr>
        <w:t xml:space="preserve"> </w:t>
      </w:r>
      <w:r w:rsidR="006072C0">
        <w:rPr>
          <w:rFonts w:ascii="Arial" w:eastAsia="Arial" w:hAnsi="Arial" w:cs="Arial"/>
        </w:rPr>
        <w:t xml:space="preserve">Only 17% of the patients </w:t>
      </w:r>
      <w:r w:rsidR="00E10BB6">
        <w:rPr>
          <w:rFonts w:ascii="Arial" w:eastAsia="Arial" w:hAnsi="Arial" w:cs="Arial"/>
        </w:rPr>
        <w:t xml:space="preserve">in the current study </w:t>
      </w:r>
      <w:r w:rsidR="006072C0">
        <w:rPr>
          <w:rFonts w:ascii="Arial" w:eastAsia="Arial" w:hAnsi="Arial" w:cs="Arial"/>
        </w:rPr>
        <w:t>were women, which is lower than</w:t>
      </w:r>
      <w:r w:rsidR="00A577D2">
        <w:rPr>
          <w:rFonts w:ascii="Arial" w:eastAsia="Arial" w:hAnsi="Arial" w:cs="Arial"/>
        </w:rPr>
        <w:t xml:space="preserve"> that reported from the pivotal trials: </w:t>
      </w:r>
      <w:r w:rsidR="00775C60">
        <w:rPr>
          <w:rFonts w:ascii="Arial" w:eastAsia="Arial" w:hAnsi="Arial" w:cs="Arial"/>
        </w:rPr>
        <w:t>35% of the patients in the I</w:t>
      </w:r>
      <w:r w:rsidR="00FE68E6">
        <w:rPr>
          <w:rFonts w:ascii="Arial" w:eastAsia="Arial" w:hAnsi="Arial" w:cs="Arial"/>
        </w:rPr>
        <w:t>mpower133</w:t>
      </w:r>
      <w:r w:rsidR="00FC4DF5">
        <w:rPr>
          <w:rFonts w:ascii="Arial" w:eastAsia="Arial" w:hAnsi="Arial" w:cs="Arial"/>
        </w:rPr>
        <w:t xml:space="preserve"> and 46% of the patients in the CONVERT trial were women</w:t>
      </w:r>
      <w:r w:rsidR="00472C34">
        <w:rPr>
          <w:rFonts w:ascii="Arial" w:eastAsia="Arial" w:hAnsi="Arial" w:cs="Arial"/>
        </w:rPr>
        <w:t xml:space="preserve"> [23,24]</w:t>
      </w:r>
      <w:r w:rsidR="00FC4DF5">
        <w:rPr>
          <w:rFonts w:ascii="Arial" w:eastAsia="Arial" w:hAnsi="Arial" w:cs="Arial"/>
        </w:rPr>
        <w:t>.</w:t>
      </w:r>
      <w:r w:rsidR="00A10E6F">
        <w:rPr>
          <w:rFonts w:ascii="Arial" w:eastAsia="Arial" w:hAnsi="Arial" w:cs="Arial"/>
        </w:rPr>
        <w:t xml:space="preserve"> </w:t>
      </w:r>
      <w:r w:rsidR="00444CCB">
        <w:rPr>
          <w:rFonts w:ascii="Arial" w:hAnsi="Arial" w:cs="Arial"/>
          <w:color w:val="000000"/>
        </w:rPr>
        <w:t xml:space="preserve">The possible explanations include the fact that </w:t>
      </w:r>
      <w:r w:rsidR="00A10E6F" w:rsidRPr="006905CE">
        <w:rPr>
          <w:rFonts w:ascii="Arial" w:hAnsi="Arial" w:cs="Arial"/>
          <w:color w:val="000000"/>
        </w:rPr>
        <w:t xml:space="preserve">smoking is </w:t>
      </w:r>
      <w:r w:rsidR="00444CCB">
        <w:rPr>
          <w:rFonts w:ascii="Arial" w:hAnsi="Arial" w:cs="Arial"/>
          <w:color w:val="000000"/>
        </w:rPr>
        <w:t>rare</w:t>
      </w:r>
      <w:r w:rsidR="00A10E6F" w:rsidRPr="006905CE">
        <w:rPr>
          <w:rFonts w:ascii="Arial" w:hAnsi="Arial" w:cs="Arial"/>
          <w:color w:val="000000"/>
        </w:rPr>
        <w:t xml:space="preserve"> </w:t>
      </w:r>
      <w:r w:rsidR="00444CCB">
        <w:rPr>
          <w:rFonts w:ascii="Arial" w:hAnsi="Arial" w:cs="Arial"/>
          <w:color w:val="000000"/>
        </w:rPr>
        <w:t>in</w:t>
      </w:r>
      <w:r w:rsidR="00A10E6F" w:rsidRPr="006905CE">
        <w:rPr>
          <w:rFonts w:ascii="Arial" w:hAnsi="Arial" w:cs="Arial"/>
          <w:color w:val="000000"/>
        </w:rPr>
        <w:t xml:space="preserve"> Indian women</w:t>
      </w:r>
      <w:r w:rsidR="00444CCB">
        <w:rPr>
          <w:rFonts w:ascii="Arial" w:hAnsi="Arial" w:cs="Arial"/>
          <w:color w:val="000000"/>
        </w:rPr>
        <w:t>, and the</w:t>
      </w:r>
      <w:r w:rsidR="00A10E6F" w:rsidRPr="006905CE">
        <w:rPr>
          <w:rFonts w:ascii="Arial" w:hAnsi="Arial" w:cs="Arial"/>
          <w:color w:val="000000"/>
        </w:rPr>
        <w:t xml:space="preserve"> access to healthcare by </w:t>
      </w:r>
      <w:r w:rsidR="003906D5">
        <w:rPr>
          <w:rFonts w:ascii="Arial" w:hAnsi="Arial" w:cs="Arial"/>
          <w:color w:val="000000"/>
        </w:rPr>
        <w:t xml:space="preserve">Indian </w:t>
      </w:r>
      <w:r w:rsidR="00A10E6F" w:rsidRPr="006905CE">
        <w:rPr>
          <w:rFonts w:ascii="Arial" w:hAnsi="Arial" w:cs="Arial"/>
          <w:color w:val="000000"/>
        </w:rPr>
        <w:t xml:space="preserve">women is less than that of men. In our earlier </w:t>
      </w:r>
      <w:r w:rsidR="00DD717A">
        <w:rPr>
          <w:rFonts w:ascii="Arial" w:hAnsi="Arial" w:cs="Arial"/>
          <w:color w:val="000000"/>
        </w:rPr>
        <w:t>studies</w:t>
      </w:r>
      <w:r w:rsidR="00A10E6F" w:rsidRPr="006905CE">
        <w:rPr>
          <w:rFonts w:ascii="Arial" w:hAnsi="Arial" w:cs="Arial"/>
          <w:color w:val="000000"/>
        </w:rPr>
        <w:t xml:space="preserve">, </w:t>
      </w:r>
      <w:r w:rsidR="00EF4644">
        <w:rPr>
          <w:rFonts w:ascii="Arial" w:hAnsi="Arial" w:cs="Arial"/>
          <w:color w:val="000000"/>
        </w:rPr>
        <w:t xml:space="preserve">women </w:t>
      </w:r>
      <w:r w:rsidR="00094BAD">
        <w:rPr>
          <w:rFonts w:ascii="Arial" w:hAnsi="Arial" w:cs="Arial"/>
          <w:color w:val="000000"/>
        </w:rPr>
        <w:t xml:space="preserve">constituted </w:t>
      </w:r>
      <w:r w:rsidR="00A10E6F" w:rsidRPr="006905CE">
        <w:rPr>
          <w:rFonts w:ascii="Arial" w:hAnsi="Arial" w:cs="Arial"/>
          <w:color w:val="000000"/>
        </w:rPr>
        <w:t>23%</w:t>
      </w:r>
      <w:r w:rsidR="00BE79B8">
        <w:rPr>
          <w:rFonts w:ascii="Arial" w:hAnsi="Arial" w:cs="Arial"/>
          <w:color w:val="000000"/>
        </w:rPr>
        <w:t xml:space="preserve">, </w:t>
      </w:r>
      <w:r w:rsidR="00094BAD">
        <w:rPr>
          <w:rFonts w:ascii="Arial" w:hAnsi="Arial" w:cs="Arial"/>
          <w:color w:val="000000"/>
        </w:rPr>
        <w:t xml:space="preserve">11% </w:t>
      </w:r>
      <w:r w:rsidR="00BE79B8">
        <w:rPr>
          <w:rFonts w:ascii="Arial" w:hAnsi="Arial" w:cs="Arial"/>
          <w:color w:val="000000"/>
        </w:rPr>
        <w:t xml:space="preserve">and 19% </w:t>
      </w:r>
      <w:r w:rsidR="00094BAD">
        <w:rPr>
          <w:rFonts w:ascii="Arial" w:hAnsi="Arial" w:cs="Arial"/>
          <w:color w:val="000000"/>
        </w:rPr>
        <w:t>of the overall lung cancer</w:t>
      </w:r>
      <w:r w:rsidR="00BE79B8">
        <w:rPr>
          <w:rFonts w:ascii="Arial" w:hAnsi="Arial" w:cs="Arial"/>
          <w:color w:val="000000"/>
        </w:rPr>
        <w:t xml:space="preserve">, </w:t>
      </w:r>
      <w:r w:rsidR="00094BAD">
        <w:rPr>
          <w:rFonts w:ascii="Arial" w:hAnsi="Arial" w:cs="Arial"/>
          <w:color w:val="000000"/>
        </w:rPr>
        <w:t xml:space="preserve">SCLC </w:t>
      </w:r>
      <w:r w:rsidR="00BE79B8">
        <w:rPr>
          <w:rFonts w:ascii="Arial" w:hAnsi="Arial" w:cs="Arial"/>
          <w:color w:val="000000"/>
        </w:rPr>
        <w:t xml:space="preserve">and geriatric oncology </w:t>
      </w:r>
      <w:r w:rsidR="00094BAD">
        <w:rPr>
          <w:rFonts w:ascii="Arial" w:hAnsi="Arial" w:cs="Arial"/>
          <w:color w:val="000000"/>
        </w:rPr>
        <w:t xml:space="preserve">cohorts </w:t>
      </w:r>
      <w:proofErr w:type="gramStart"/>
      <w:r w:rsidR="00094BAD">
        <w:rPr>
          <w:rFonts w:ascii="Arial" w:hAnsi="Arial" w:cs="Arial"/>
          <w:color w:val="000000"/>
        </w:rPr>
        <w:t>respectively.</w:t>
      </w:r>
      <w:r w:rsidR="00E34CBB">
        <w:rPr>
          <w:rFonts w:ascii="Arial" w:hAnsi="Arial" w:cs="Arial"/>
          <w:color w:val="000000"/>
        </w:rPr>
        <w:t>[</w:t>
      </w:r>
      <w:proofErr w:type="gramEnd"/>
      <w:r w:rsidR="00E34CBB">
        <w:rPr>
          <w:rFonts w:ascii="Arial" w:hAnsi="Arial" w:cs="Arial"/>
          <w:color w:val="000000"/>
        </w:rPr>
        <w:t>26,27</w:t>
      </w:r>
      <w:r w:rsidR="006C47AD">
        <w:rPr>
          <w:rFonts w:ascii="Arial" w:hAnsi="Arial" w:cs="Arial"/>
          <w:color w:val="000000"/>
        </w:rPr>
        <w:t>,28</w:t>
      </w:r>
      <w:r w:rsidR="00E34CBB">
        <w:rPr>
          <w:rFonts w:ascii="Arial" w:hAnsi="Arial" w:cs="Arial"/>
          <w:color w:val="000000"/>
        </w:rPr>
        <w:t>]</w:t>
      </w:r>
      <w:r w:rsidR="00A10E6F" w:rsidRPr="006905CE">
        <w:rPr>
          <w:rFonts w:ascii="Arial" w:hAnsi="Arial" w:cs="Arial"/>
          <w:color w:val="000000"/>
        </w:rPr>
        <w:t>.</w:t>
      </w:r>
      <w:r w:rsidR="00E34CBB">
        <w:rPr>
          <w:rFonts w:ascii="Arial" w:hAnsi="Arial" w:cs="Arial"/>
          <w:color w:val="000000"/>
          <w:vertAlign w:val="superscript"/>
        </w:rPr>
        <w:t xml:space="preserve"> </w:t>
      </w:r>
      <w:r w:rsidR="00553791">
        <w:rPr>
          <w:rFonts w:ascii="Arial" w:hAnsi="Arial" w:cs="Arial"/>
          <w:color w:val="000000"/>
        </w:rPr>
        <w:t>The proportion of patients with comorbidities was also low</w:t>
      </w:r>
      <w:r w:rsidR="00230372">
        <w:rPr>
          <w:rFonts w:ascii="Arial" w:hAnsi="Arial" w:cs="Arial"/>
          <w:color w:val="000000"/>
        </w:rPr>
        <w:t xml:space="preserve">er than expected at </w:t>
      </w:r>
      <w:r w:rsidR="002642EB" w:rsidRPr="004057D7">
        <w:rPr>
          <w:rFonts w:ascii="Arial" w:hAnsi="Arial" w:cs="Arial"/>
          <w:color w:val="000000"/>
        </w:rPr>
        <w:t>45%</w:t>
      </w:r>
      <w:r w:rsidR="00730B71" w:rsidRPr="004057D7">
        <w:rPr>
          <w:rFonts w:ascii="Arial" w:hAnsi="Arial" w:cs="Arial"/>
          <w:color w:val="000000"/>
        </w:rPr>
        <w:t xml:space="preserve">. </w:t>
      </w:r>
      <w:r w:rsidR="005E3DF5">
        <w:rPr>
          <w:rFonts w:ascii="Arial" w:hAnsi="Arial" w:cs="Arial"/>
          <w:color w:val="000000"/>
        </w:rPr>
        <w:t xml:space="preserve">This may </w:t>
      </w:r>
      <w:r w:rsidR="00F3560F">
        <w:rPr>
          <w:rFonts w:ascii="Arial" w:hAnsi="Arial" w:cs="Arial"/>
          <w:color w:val="000000"/>
        </w:rPr>
        <w:t xml:space="preserve">have </w:t>
      </w:r>
      <w:r w:rsidR="005E3DF5">
        <w:rPr>
          <w:rFonts w:ascii="Arial" w:hAnsi="Arial" w:cs="Arial"/>
          <w:color w:val="000000"/>
        </w:rPr>
        <w:t>be</w:t>
      </w:r>
      <w:r w:rsidR="00F3560F">
        <w:rPr>
          <w:rFonts w:ascii="Arial" w:hAnsi="Arial" w:cs="Arial"/>
          <w:color w:val="000000"/>
        </w:rPr>
        <w:t>en</w:t>
      </w:r>
      <w:r w:rsidR="005E3DF5">
        <w:rPr>
          <w:rFonts w:ascii="Arial" w:hAnsi="Arial" w:cs="Arial"/>
          <w:color w:val="000000"/>
        </w:rPr>
        <w:t xml:space="preserve"> because o</w:t>
      </w:r>
      <w:r w:rsidR="00730B71" w:rsidRPr="002150AE">
        <w:rPr>
          <w:rFonts w:ascii="Arial" w:hAnsi="Arial" w:cs="Arial"/>
          <w:color w:val="000000"/>
        </w:rPr>
        <w:t>ur Indian patients are comparatively younger</w:t>
      </w:r>
      <w:r w:rsidR="005E3DF5">
        <w:rPr>
          <w:rFonts w:ascii="Arial" w:hAnsi="Arial" w:cs="Arial"/>
          <w:color w:val="000000"/>
        </w:rPr>
        <w:t>, and</w:t>
      </w:r>
      <w:r w:rsidR="00730B71" w:rsidRPr="002150AE">
        <w:rPr>
          <w:rFonts w:ascii="Arial" w:hAnsi="Arial" w:cs="Arial"/>
          <w:color w:val="000000"/>
        </w:rPr>
        <w:t xml:space="preserve"> a significant proportion do not seek routine medical care for health maintenance. In our </w:t>
      </w:r>
      <w:r w:rsidR="000A3929" w:rsidRPr="004057D7">
        <w:rPr>
          <w:rFonts w:ascii="Arial" w:hAnsi="Arial" w:cs="Arial"/>
          <w:color w:val="000000"/>
        </w:rPr>
        <w:t>c</w:t>
      </w:r>
      <w:r w:rsidR="000A3929" w:rsidRPr="00297FF4">
        <w:rPr>
          <w:rFonts w:ascii="Arial" w:hAnsi="Arial" w:cs="Arial"/>
          <w:color w:val="000000"/>
        </w:rPr>
        <w:t>o</w:t>
      </w:r>
      <w:r w:rsidR="000A3929" w:rsidRPr="004057D7">
        <w:rPr>
          <w:rFonts w:ascii="Arial" w:hAnsi="Arial" w:cs="Arial"/>
          <w:color w:val="000000"/>
        </w:rPr>
        <w:t xml:space="preserve">hort of patients with EGFR mutant </w:t>
      </w:r>
      <w:r w:rsidR="00730B71" w:rsidRPr="002150AE">
        <w:rPr>
          <w:rFonts w:ascii="Arial" w:hAnsi="Arial" w:cs="Arial"/>
          <w:color w:val="000000"/>
        </w:rPr>
        <w:t xml:space="preserve">NSCLC, </w:t>
      </w:r>
      <w:r w:rsidR="000A3929" w:rsidRPr="004057D7">
        <w:rPr>
          <w:rFonts w:ascii="Arial" w:hAnsi="Arial" w:cs="Arial"/>
          <w:color w:val="000000"/>
        </w:rPr>
        <w:t>4</w:t>
      </w:r>
      <w:r w:rsidR="000A3929" w:rsidRPr="00297FF4">
        <w:rPr>
          <w:rFonts w:ascii="Arial" w:hAnsi="Arial" w:cs="Arial"/>
          <w:color w:val="000000"/>
        </w:rPr>
        <w:t>9</w:t>
      </w:r>
      <w:r w:rsidR="00730B71" w:rsidRPr="002150AE">
        <w:rPr>
          <w:rFonts w:ascii="Arial" w:hAnsi="Arial" w:cs="Arial"/>
          <w:color w:val="000000"/>
        </w:rPr>
        <w:t xml:space="preserve">% of the patients </w:t>
      </w:r>
      <w:r w:rsidR="000A3929" w:rsidRPr="004057D7">
        <w:rPr>
          <w:rFonts w:ascii="Arial" w:hAnsi="Arial" w:cs="Arial"/>
          <w:color w:val="000000"/>
        </w:rPr>
        <w:t>h</w:t>
      </w:r>
      <w:r w:rsidR="000A3929" w:rsidRPr="00297FF4">
        <w:rPr>
          <w:rFonts w:ascii="Arial" w:hAnsi="Arial" w:cs="Arial"/>
          <w:color w:val="000000"/>
        </w:rPr>
        <w:t>a</w:t>
      </w:r>
      <w:r w:rsidR="000A3929" w:rsidRPr="004057D7">
        <w:rPr>
          <w:rFonts w:ascii="Arial" w:hAnsi="Arial" w:cs="Arial"/>
          <w:color w:val="000000"/>
        </w:rPr>
        <w:t>d</w:t>
      </w:r>
      <w:r w:rsidR="00730B71" w:rsidRPr="002150AE">
        <w:rPr>
          <w:rFonts w:ascii="Arial" w:hAnsi="Arial" w:cs="Arial"/>
          <w:color w:val="000000"/>
        </w:rPr>
        <w:t xml:space="preserve"> comorbidities</w:t>
      </w:r>
      <w:r w:rsidR="003D2463" w:rsidRPr="004057D7">
        <w:rPr>
          <w:rFonts w:ascii="Arial" w:hAnsi="Arial" w:cs="Arial"/>
          <w:color w:val="000000"/>
        </w:rPr>
        <w:t xml:space="preserve"> </w:t>
      </w:r>
      <w:r w:rsidR="003D2463" w:rsidRPr="00297FF4">
        <w:rPr>
          <w:rFonts w:ascii="Arial" w:hAnsi="Arial" w:cs="Arial"/>
          <w:color w:val="000000"/>
        </w:rPr>
        <w:t>[</w:t>
      </w:r>
      <w:r w:rsidR="003D2463" w:rsidRPr="004057D7">
        <w:rPr>
          <w:rFonts w:ascii="Arial" w:hAnsi="Arial" w:cs="Arial"/>
          <w:color w:val="000000"/>
        </w:rPr>
        <w:t>29]</w:t>
      </w:r>
      <w:r w:rsidR="00730B71" w:rsidRPr="002150AE">
        <w:rPr>
          <w:rFonts w:ascii="Arial" w:hAnsi="Arial" w:cs="Arial"/>
          <w:color w:val="000000"/>
        </w:rPr>
        <w:t>.</w:t>
      </w:r>
      <w:r w:rsidR="006467A8" w:rsidRPr="004057D7">
        <w:rPr>
          <w:rFonts w:ascii="Arial" w:hAnsi="Arial" w:cs="Arial"/>
          <w:color w:val="000000"/>
        </w:rPr>
        <w:t xml:space="preserve"> </w:t>
      </w:r>
      <w:r w:rsidR="00B81150">
        <w:rPr>
          <w:rFonts w:ascii="Arial" w:hAnsi="Arial" w:cs="Arial"/>
          <w:color w:val="000000"/>
        </w:rPr>
        <w:t>Our</w:t>
      </w:r>
      <w:r w:rsidR="001770A0">
        <w:rPr>
          <w:rFonts w:ascii="Arial" w:hAnsi="Arial" w:cs="Arial"/>
          <w:color w:val="000000"/>
          <w:vertAlign w:val="superscript"/>
        </w:rPr>
        <w:t xml:space="preserve"> </w:t>
      </w:r>
      <w:r w:rsidR="00AF754D" w:rsidRPr="006905CE">
        <w:rPr>
          <w:rFonts w:ascii="Arial" w:hAnsi="Arial" w:cs="Arial"/>
          <w:color w:val="000000"/>
        </w:rPr>
        <w:t>study was</w:t>
      </w:r>
      <w:r w:rsidR="00AF754D">
        <w:rPr>
          <w:rFonts w:ascii="Arial" w:hAnsi="Arial" w:cs="Arial"/>
          <w:color w:val="000000"/>
        </w:rPr>
        <w:t xml:space="preserve"> </w:t>
      </w:r>
      <w:r w:rsidR="00E679BA">
        <w:rPr>
          <w:rFonts w:ascii="Arial" w:hAnsi="Arial" w:cs="Arial"/>
          <w:color w:val="000000"/>
        </w:rPr>
        <w:t>purely observational</w:t>
      </w:r>
      <w:r w:rsidR="00AF754D">
        <w:rPr>
          <w:rFonts w:ascii="Arial" w:hAnsi="Arial" w:cs="Arial"/>
          <w:color w:val="000000"/>
        </w:rPr>
        <w:t xml:space="preserve">; </w:t>
      </w:r>
      <w:r w:rsidR="00E35C85">
        <w:rPr>
          <w:rFonts w:ascii="Arial" w:hAnsi="Arial" w:cs="Arial"/>
          <w:color w:val="000000"/>
        </w:rPr>
        <w:t>the workup, management plan, supportive care</w:t>
      </w:r>
      <w:r w:rsidR="00C639BA">
        <w:rPr>
          <w:rFonts w:ascii="Arial" w:hAnsi="Arial" w:cs="Arial"/>
          <w:color w:val="000000"/>
        </w:rPr>
        <w:t xml:space="preserve">, </w:t>
      </w:r>
      <w:proofErr w:type="gramStart"/>
      <w:r w:rsidR="00C639BA">
        <w:rPr>
          <w:rFonts w:ascii="Arial" w:hAnsi="Arial" w:cs="Arial"/>
          <w:color w:val="000000"/>
        </w:rPr>
        <w:t>restaging</w:t>
      </w:r>
      <w:proofErr w:type="gramEnd"/>
      <w:r w:rsidR="00C639BA">
        <w:rPr>
          <w:rFonts w:ascii="Arial" w:hAnsi="Arial" w:cs="Arial"/>
          <w:color w:val="000000"/>
        </w:rPr>
        <w:t xml:space="preserve"> and follow-up were at the discretion of the treating physician.</w:t>
      </w:r>
      <w:r w:rsidR="00645AB2">
        <w:rPr>
          <w:rFonts w:ascii="Arial" w:hAnsi="Arial" w:cs="Arial"/>
          <w:color w:val="000000"/>
        </w:rPr>
        <w:t xml:space="preserve"> </w:t>
      </w:r>
      <w:r w:rsidR="00741055">
        <w:rPr>
          <w:rFonts w:ascii="Arial" w:hAnsi="Arial" w:cs="Arial"/>
          <w:color w:val="000000"/>
        </w:rPr>
        <w:t>Our</w:t>
      </w:r>
      <w:r w:rsidR="00CA5169">
        <w:rPr>
          <w:rFonts w:ascii="Arial" w:hAnsi="Arial" w:cs="Arial"/>
          <w:color w:val="000000"/>
        </w:rPr>
        <w:t xml:space="preserve"> definition of OS was also different from </w:t>
      </w:r>
      <w:r w:rsidR="00D61BF4">
        <w:rPr>
          <w:rFonts w:ascii="Arial" w:hAnsi="Arial" w:cs="Arial"/>
          <w:color w:val="000000"/>
        </w:rPr>
        <w:t>the standard</w:t>
      </w:r>
      <w:r w:rsidR="00755285">
        <w:rPr>
          <w:rFonts w:ascii="Arial" w:hAnsi="Arial" w:cs="Arial"/>
          <w:color w:val="000000"/>
        </w:rPr>
        <w:t xml:space="preserve">. As there was a </w:t>
      </w:r>
      <w:r w:rsidR="00147F8F">
        <w:rPr>
          <w:rFonts w:ascii="Arial" w:hAnsi="Arial" w:cs="Arial"/>
          <w:color w:val="000000"/>
        </w:rPr>
        <w:t xml:space="preserve">group </w:t>
      </w:r>
      <w:r w:rsidR="00755285">
        <w:rPr>
          <w:rFonts w:ascii="Arial" w:hAnsi="Arial" w:cs="Arial"/>
          <w:color w:val="000000"/>
        </w:rPr>
        <w:t xml:space="preserve">of patients who were treated with BSC, </w:t>
      </w:r>
      <w:r w:rsidR="004D1774">
        <w:rPr>
          <w:rFonts w:ascii="Arial" w:hAnsi="Arial" w:cs="Arial"/>
          <w:color w:val="000000"/>
        </w:rPr>
        <w:t>we took the</w:t>
      </w:r>
      <w:r w:rsidR="009E10E5">
        <w:rPr>
          <w:rFonts w:ascii="Arial" w:hAnsi="Arial" w:cs="Arial"/>
          <w:color w:val="000000"/>
        </w:rPr>
        <w:t xml:space="preserve"> </w:t>
      </w:r>
      <w:r w:rsidR="004D1774">
        <w:rPr>
          <w:rFonts w:ascii="Arial" w:hAnsi="Arial" w:cs="Arial"/>
          <w:color w:val="000000"/>
        </w:rPr>
        <w:t xml:space="preserve">date of diagnosis </w:t>
      </w:r>
      <w:r w:rsidR="00FF251A">
        <w:rPr>
          <w:rFonts w:ascii="Arial" w:hAnsi="Arial" w:cs="Arial"/>
          <w:color w:val="000000"/>
        </w:rPr>
        <w:t xml:space="preserve">(rather than the date of start of therapy) </w:t>
      </w:r>
      <w:r w:rsidR="004D1774">
        <w:rPr>
          <w:rFonts w:ascii="Arial" w:hAnsi="Arial" w:cs="Arial"/>
          <w:color w:val="000000"/>
        </w:rPr>
        <w:t xml:space="preserve">as the </w:t>
      </w:r>
      <w:r w:rsidR="009E10E5">
        <w:rPr>
          <w:rFonts w:ascii="Arial" w:hAnsi="Arial" w:cs="Arial"/>
          <w:color w:val="000000"/>
        </w:rPr>
        <w:t xml:space="preserve">start date for </w:t>
      </w:r>
      <w:r w:rsidR="004D1774">
        <w:rPr>
          <w:rFonts w:ascii="Arial" w:hAnsi="Arial" w:cs="Arial"/>
          <w:color w:val="000000"/>
        </w:rPr>
        <w:t xml:space="preserve">the </w:t>
      </w:r>
      <w:r w:rsidR="009E10E5">
        <w:rPr>
          <w:rFonts w:ascii="Arial" w:hAnsi="Arial" w:cs="Arial"/>
          <w:color w:val="000000"/>
        </w:rPr>
        <w:t>OS calculation</w:t>
      </w:r>
      <w:r w:rsidR="009E10E5" w:rsidRPr="001678CC">
        <w:rPr>
          <w:rFonts w:ascii="Arial" w:hAnsi="Arial" w:cs="Arial"/>
          <w:color w:val="000000"/>
        </w:rPr>
        <w:t>.</w:t>
      </w:r>
      <w:r w:rsidR="001678CC" w:rsidRPr="001678CC">
        <w:rPr>
          <w:rFonts w:ascii="Arial" w:hAnsi="Arial" w:cs="Arial"/>
          <w:color w:val="000000"/>
        </w:rPr>
        <w:t xml:space="preserve"> </w:t>
      </w:r>
      <w:r w:rsidR="001678CC" w:rsidRPr="006905CE">
        <w:rPr>
          <w:rFonts w:ascii="Arial" w:hAnsi="Arial" w:cs="Arial"/>
          <w:color w:val="000000"/>
        </w:rPr>
        <w:t xml:space="preserve">Dosing of chemotherapy was not </w:t>
      </w:r>
      <w:r w:rsidR="001678CC">
        <w:rPr>
          <w:rFonts w:ascii="Arial" w:hAnsi="Arial" w:cs="Arial"/>
          <w:color w:val="000000"/>
        </w:rPr>
        <w:t>standard in all the patients</w:t>
      </w:r>
      <w:r w:rsidR="001678CC" w:rsidRPr="006905CE">
        <w:rPr>
          <w:rFonts w:ascii="Arial" w:hAnsi="Arial" w:cs="Arial"/>
          <w:color w:val="000000"/>
        </w:rPr>
        <w:t>. There was a cohort of patients who received dose reduced chemotherapy, and these patients had good clinical benefit. Standard doses of chemotherapy could be started in a significant proportion of patients.</w:t>
      </w:r>
    </w:p>
    <w:p w14:paraId="14D4595B" w14:textId="3A03D6C7" w:rsidR="00CA0A75" w:rsidRDefault="002D2DFC" w:rsidP="00E72444">
      <w:pPr>
        <w:autoSpaceDE w:val="0"/>
        <w:autoSpaceDN w:val="0"/>
        <w:adjustRightInd w:val="0"/>
        <w:spacing w:after="0" w:line="480" w:lineRule="auto"/>
        <w:rPr>
          <w:rFonts w:ascii="Arial" w:eastAsia="Arial" w:hAnsi="Arial" w:cs="Arial"/>
        </w:rPr>
      </w:pPr>
      <w:r>
        <w:rPr>
          <w:rFonts w:ascii="Arial" w:eastAsia="Arial" w:hAnsi="Arial" w:cs="Arial"/>
        </w:rPr>
        <w:t xml:space="preserve">The major drawback of our study is inherent in the type of the study; this was an observational study, rather than a randomized trial. The therapy decided was probably influenced by patient and physician biases, i.e. </w:t>
      </w:r>
      <w:r w:rsidR="006A246F">
        <w:rPr>
          <w:rFonts w:ascii="Arial" w:eastAsia="Arial" w:hAnsi="Arial" w:cs="Arial"/>
        </w:rPr>
        <w:t>BSC</w:t>
      </w:r>
      <w:r>
        <w:rPr>
          <w:rFonts w:ascii="Arial" w:eastAsia="Arial" w:hAnsi="Arial" w:cs="Arial"/>
        </w:rPr>
        <w:t xml:space="preserve"> for the sickest patients and full dose chemotherapy for the patients who were fittest; this is borne out by the difference</w:t>
      </w:r>
      <w:r w:rsidR="00306D1E">
        <w:rPr>
          <w:rFonts w:ascii="Arial" w:eastAsia="Arial" w:hAnsi="Arial" w:cs="Arial"/>
        </w:rPr>
        <w:t>s</w:t>
      </w:r>
      <w:r>
        <w:rPr>
          <w:rFonts w:ascii="Arial" w:eastAsia="Arial" w:hAnsi="Arial" w:cs="Arial"/>
        </w:rPr>
        <w:t xml:space="preserve"> in the </w:t>
      </w:r>
      <w:r>
        <w:rPr>
          <w:rFonts w:ascii="Arial" w:eastAsia="Arial" w:hAnsi="Arial" w:cs="Arial"/>
        </w:rPr>
        <w:lastRenderedPageBreak/>
        <w:t xml:space="preserve">demographic and disease profile between the three groups of patients (grouped according to the therapy decided at baseline). Since the poorest prognosis patients may not have received chemotherapy, the results of the study may have been skewed in favor of the patients who did receive chemotherapy. Unfortunately, a randomized controlled trial in </w:t>
      </w:r>
      <w:r w:rsidR="004236E3">
        <w:rPr>
          <w:rFonts w:ascii="Arial" w:eastAsia="Arial" w:hAnsi="Arial" w:cs="Arial"/>
        </w:rPr>
        <w:t xml:space="preserve">patients with </w:t>
      </w:r>
      <w:r>
        <w:rPr>
          <w:rFonts w:ascii="Arial" w:eastAsia="Arial" w:hAnsi="Arial" w:cs="Arial"/>
        </w:rPr>
        <w:t>SCLC to prove the role of chemotherapy in poor PS patients may not be considered ethical, even though there is no real level 1 evidence in th</w:t>
      </w:r>
      <w:r w:rsidR="008209E9">
        <w:rPr>
          <w:rFonts w:ascii="Arial" w:eastAsia="Arial" w:hAnsi="Arial" w:cs="Arial"/>
        </w:rPr>
        <w:t>is setting</w:t>
      </w:r>
      <w:r>
        <w:rPr>
          <w:rFonts w:ascii="Arial" w:eastAsia="Arial" w:hAnsi="Arial" w:cs="Arial"/>
        </w:rPr>
        <w:t>. In the absence of data from randomized controlled trials, data from large observational studies like ours provide valuable information</w:t>
      </w:r>
      <w:r w:rsidRPr="007D31D0">
        <w:rPr>
          <w:rFonts w:ascii="Arial" w:eastAsia="Arial" w:hAnsi="Arial" w:cs="Arial"/>
        </w:rPr>
        <w:t xml:space="preserve">. </w:t>
      </w:r>
      <w:r w:rsidR="00AE4125" w:rsidRPr="007D31D0">
        <w:rPr>
          <w:rFonts w:ascii="Arial" w:eastAsia="Arial" w:hAnsi="Arial" w:cs="Arial"/>
        </w:rPr>
        <w:t>I</w:t>
      </w:r>
      <w:r w:rsidR="00AE4125" w:rsidRPr="00E42D43">
        <w:rPr>
          <w:rFonts w:ascii="Arial" w:eastAsia="Arial" w:hAnsi="Arial" w:cs="Arial"/>
        </w:rPr>
        <w:t>t i</w:t>
      </w:r>
      <w:r w:rsidR="00AE4125" w:rsidRPr="0068396E">
        <w:rPr>
          <w:rFonts w:ascii="Arial" w:eastAsia="Arial" w:hAnsi="Arial" w:cs="Arial"/>
        </w:rPr>
        <w:t>s</w:t>
      </w:r>
      <w:r w:rsidR="00AE4125" w:rsidRPr="00A32CB3">
        <w:rPr>
          <w:rFonts w:ascii="Arial" w:eastAsia="Arial" w:hAnsi="Arial" w:cs="Arial"/>
        </w:rPr>
        <w:t xml:space="preserve"> possible</w:t>
      </w:r>
      <w:r w:rsidR="00AE4125" w:rsidRPr="000E678D">
        <w:rPr>
          <w:rFonts w:ascii="Arial" w:eastAsia="Arial" w:hAnsi="Arial" w:cs="Arial"/>
        </w:rPr>
        <w:t xml:space="preserve"> that </w:t>
      </w:r>
      <w:r w:rsidR="00AE4125" w:rsidRPr="00A638F5">
        <w:rPr>
          <w:rFonts w:ascii="Arial" w:eastAsia="Arial" w:hAnsi="Arial" w:cs="Arial"/>
        </w:rPr>
        <w:t>no</w:t>
      </w:r>
      <w:r w:rsidR="00AE4125" w:rsidRPr="00916351">
        <w:rPr>
          <w:rFonts w:ascii="Arial" w:eastAsia="Arial" w:hAnsi="Arial" w:cs="Arial"/>
        </w:rPr>
        <w:t>t all</w:t>
      </w:r>
      <w:r w:rsidR="00AE4125" w:rsidRPr="00172907">
        <w:rPr>
          <w:rFonts w:ascii="Arial" w:eastAsia="Arial" w:hAnsi="Arial" w:cs="Arial"/>
        </w:rPr>
        <w:t xml:space="preserve"> t</w:t>
      </w:r>
      <w:r w:rsidR="00AE4125" w:rsidRPr="00696580">
        <w:rPr>
          <w:rFonts w:ascii="Arial" w:eastAsia="Arial" w:hAnsi="Arial" w:cs="Arial"/>
        </w:rPr>
        <w:t>he</w:t>
      </w:r>
      <w:r w:rsidR="00AE4125" w:rsidRPr="00390381">
        <w:rPr>
          <w:rFonts w:ascii="Arial" w:eastAsia="Arial" w:hAnsi="Arial" w:cs="Arial"/>
        </w:rPr>
        <w:t xml:space="preserve"> p</w:t>
      </w:r>
      <w:r w:rsidR="00AE4125" w:rsidRPr="00B44D74">
        <w:rPr>
          <w:rFonts w:ascii="Arial" w:eastAsia="Arial" w:hAnsi="Arial" w:cs="Arial"/>
        </w:rPr>
        <w:t>at</w:t>
      </w:r>
      <w:r w:rsidR="00AE4125" w:rsidRPr="00E72444">
        <w:rPr>
          <w:rFonts w:ascii="Arial" w:eastAsia="Arial" w:hAnsi="Arial" w:cs="Arial"/>
        </w:rPr>
        <w:t>ients w</w:t>
      </w:r>
      <w:r w:rsidR="00AE4125" w:rsidRPr="006C1BE3">
        <w:rPr>
          <w:rFonts w:ascii="Arial" w:eastAsia="Arial" w:hAnsi="Arial" w:cs="Arial"/>
        </w:rPr>
        <w:t>it</w:t>
      </w:r>
      <w:r w:rsidR="00AE4125" w:rsidRPr="00193CF9">
        <w:rPr>
          <w:rFonts w:ascii="Arial" w:eastAsia="Arial" w:hAnsi="Arial" w:cs="Arial"/>
        </w:rPr>
        <w:t xml:space="preserve">h </w:t>
      </w:r>
      <w:r w:rsidR="00AE4125" w:rsidRPr="00181034">
        <w:rPr>
          <w:rFonts w:ascii="Arial" w:eastAsia="Arial" w:hAnsi="Arial" w:cs="Arial"/>
        </w:rPr>
        <w:t>SC</w:t>
      </w:r>
      <w:r w:rsidR="00AE4125" w:rsidRPr="007525A8">
        <w:rPr>
          <w:rFonts w:ascii="Arial" w:eastAsia="Arial" w:hAnsi="Arial" w:cs="Arial"/>
        </w:rPr>
        <w:t>LC</w:t>
      </w:r>
      <w:r w:rsidR="00AE4125" w:rsidRPr="008510DA">
        <w:rPr>
          <w:rFonts w:ascii="Arial" w:eastAsia="Arial" w:hAnsi="Arial" w:cs="Arial"/>
        </w:rPr>
        <w:t xml:space="preserve"> </w:t>
      </w:r>
      <w:r w:rsidR="002E6F09">
        <w:rPr>
          <w:rFonts w:ascii="Arial" w:eastAsia="Arial" w:hAnsi="Arial" w:cs="Arial"/>
        </w:rPr>
        <w:t xml:space="preserve">and </w:t>
      </w:r>
      <w:r w:rsidR="00AE4125" w:rsidRPr="00710218">
        <w:rPr>
          <w:rFonts w:ascii="Arial" w:eastAsia="Arial" w:hAnsi="Arial" w:cs="Arial"/>
        </w:rPr>
        <w:t>co</w:t>
      </w:r>
      <w:r w:rsidR="00AE4125" w:rsidRPr="00095F55">
        <w:rPr>
          <w:rFonts w:ascii="Arial" w:eastAsia="Arial" w:hAnsi="Arial" w:cs="Arial"/>
        </w:rPr>
        <w:t>mp</w:t>
      </w:r>
      <w:r w:rsidR="00AE4125" w:rsidRPr="006072C0">
        <w:rPr>
          <w:rFonts w:ascii="Arial" w:eastAsia="Arial" w:hAnsi="Arial" w:cs="Arial"/>
        </w:rPr>
        <w:t>r</w:t>
      </w:r>
      <w:r w:rsidR="00AE4125" w:rsidRPr="00A577D2">
        <w:rPr>
          <w:rFonts w:ascii="Arial" w:eastAsia="Arial" w:hAnsi="Arial" w:cs="Arial"/>
        </w:rPr>
        <w:t xml:space="preserve">omised PS were entered in the prospective database. </w:t>
      </w:r>
      <w:r w:rsidR="00996DE9" w:rsidRPr="00297FF4">
        <w:rPr>
          <w:rFonts w:ascii="Arial" w:hAnsi="Arial" w:cs="Arial"/>
          <w:color w:val="000000"/>
        </w:rPr>
        <w:t>A</w:t>
      </w:r>
      <w:r w:rsidR="00996DE9" w:rsidRPr="004057D7">
        <w:rPr>
          <w:rFonts w:ascii="Arial" w:hAnsi="Arial" w:cs="Arial"/>
          <w:color w:val="000000"/>
        </w:rPr>
        <w:t xml:space="preserve">s </w:t>
      </w:r>
      <w:r w:rsidR="00996DE9">
        <w:rPr>
          <w:rFonts w:ascii="Arial" w:hAnsi="Arial" w:cs="Arial"/>
          <w:color w:val="000000"/>
        </w:rPr>
        <w:t xml:space="preserve">we only maintained the </w:t>
      </w:r>
      <w:r w:rsidR="00996DE9" w:rsidRPr="004057D7">
        <w:rPr>
          <w:rFonts w:ascii="Arial" w:hAnsi="Arial" w:cs="Arial"/>
          <w:color w:val="000000"/>
        </w:rPr>
        <w:t xml:space="preserve">database </w:t>
      </w:r>
      <w:r w:rsidR="00996DE9" w:rsidRPr="00241204">
        <w:rPr>
          <w:rFonts w:ascii="Arial" w:hAnsi="Arial" w:cs="Arial"/>
          <w:color w:val="000000"/>
        </w:rPr>
        <w:t xml:space="preserve">for the patients with SCLC who had compromised </w:t>
      </w:r>
      <w:r w:rsidR="00996DE9">
        <w:rPr>
          <w:rFonts w:ascii="Arial" w:hAnsi="Arial" w:cs="Arial"/>
          <w:color w:val="000000"/>
        </w:rPr>
        <w:t>PS</w:t>
      </w:r>
      <w:r w:rsidR="00996DE9" w:rsidRPr="00241204">
        <w:rPr>
          <w:rFonts w:ascii="Arial" w:hAnsi="Arial" w:cs="Arial"/>
          <w:color w:val="000000"/>
        </w:rPr>
        <w:t xml:space="preserve">, we </w:t>
      </w:r>
      <w:r w:rsidR="002401D1">
        <w:rPr>
          <w:rFonts w:ascii="Arial" w:hAnsi="Arial" w:cs="Arial"/>
          <w:color w:val="222222"/>
          <w:shd w:val="clear" w:color="auto" w:fill="FFFFFF"/>
        </w:rPr>
        <w:t>were</w:t>
      </w:r>
      <w:r w:rsidR="00996DE9" w:rsidRPr="004057D7">
        <w:rPr>
          <w:rFonts w:ascii="Arial" w:hAnsi="Arial" w:cs="Arial"/>
          <w:color w:val="222222"/>
          <w:shd w:val="clear" w:color="auto" w:fill="FFFFFF"/>
        </w:rPr>
        <w:t xml:space="preserve"> unable to describe what proportion</w:t>
      </w:r>
      <w:r w:rsidR="00996DE9" w:rsidRPr="00241204">
        <w:rPr>
          <w:rFonts w:ascii="Arial" w:hAnsi="Arial" w:cs="Arial"/>
          <w:color w:val="222222"/>
          <w:shd w:val="clear" w:color="auto" w:fill="FFFFFF"/>
        </w:rPr>
        <w:t xml:space="preserve"> the PS 3-4 patients comprised of the entire pool of patients with SCLC.</w:t>
      </w:r>
      <w:r w:rsidR="00996DE9" w:rsidRPr="001253A9">
        <w:rPr>
          <w:rFonts w:ascii="Arial" w:hAnsi="Arial" w:cs="Arial"/>
          <w:color w:val="000000"/>
        </w:rPr>
        <w:t xml:space="preserve"> </w:t>
      </w:r>
      <w:r w:rsidR="00E42D43">
        <w:rPr>
          <w:rFonts w:ascii="Arial" w:hAnsi="Arial" w:cs="Arial"/>
          <w:color w:val="000000"/>
        </w:rPr>
        <w:t>The</w:t>
      </w:r>
      <w:r w:rsidR="007D31D0" w:rsidRPr="006905CE">
        <w:rPr>
          <w:rFonts w:ascii="Arial" w:hAnsi="Arial" w:cs="Arial"/>
          <w:color w:val="000000"/>
        </w:rPr>
        <w:t xml:space="preserve"> </w:t>
      </w:r>
      <w:r w:rsidR="0068396E">
        <w:rPr>
          <w:rFonts w:ascii="Arial" w:hAnsi="Arial" w:cs="Arial"/>
          <w:color w:val="000000"/>
        </w:rPr>
        <w:t>symptom assessment</w:t>
      </w:r>
      <w:r w:rsidR="007D31D0" w:rsidRPr="006905CE">
        <w:rPr>
          <w:rFonts w:ascii="Arial" w:hAnsi="Arial" w:cs="Arial"/>
          <w:color w:val="000000"/>
        </w:rPr>
        <w:t xml:space="preserve"> was just a “yes” or “no” answer</w:t>
      </w:r>
      <w:r w:rsidR="00E42D43">
        <w:rPr>
          <w:rFonts w:ascii="Arial" w:hAnsi="Arial" w:cs="Arial"/>
          <w:color w:val="000000"/>
        </w:rPr>
        <w:t xml:space="preserve">; </w:t>
      </w:r>
      <w:r w:rsidR="00B20A89">
        <w:rPr>
          <w:rFonts w:ascii="Arial" w:hAnsi="Arial" w:cs="Arial"/>
          <w:color w:val="000000"/>
        </w:rPr>
        <w:t xml:space="preserve">a </w:t>
      </w:r>
      <w:r w:rsidR="00E42D43">
        <w:rPr>
          <w:rFonts w:ascii="Arial" w:hAnsi="Arial" w:cs="Arial"/>
          <w:color w:val="000000"/>
        </w:rPr>
        <w:t>formal validated quality of life questionnaire w</w:t>
      </w:r>
      <w:r w:rsidR="00B20A89">
        <w:rPr>
          <w:rFonts w:ascii="Arial" w:hAnsi="Arial" w:cs="Arial"/>
          <w:color w:val="000000"/>
        </w:rPr>
        <w:t>as</w:t>
      </w:r>
      <w:r w:rsidR="00E42D43">
        <w:rPr>
          <w:rFonts w:ascii="Arial" w:hAnsi="Arial" w:cs="Arial"/>
          <w:color w:val="000000"/>
        </w:rPr>
        <w:t xml:space="preserve"> not </w:t>
      </w:r>
      <w:r w:rsidR="00B20A89">
        <w:rPr>
          <w:rFonts w:ascii="Arial" w:hAnsi="Arial" w:cs="Arial"/>
          <w:color w:val="000000"/>
        </w:rPr>
        <w:t xml:space="preserve">used. </w:t>
      </w:r>
      <w:r w:rsidRPr="007D31D0">
        <w:rPr>
          <w:rFonts w:ascii="Arial" w:eastAsia="Arial" w:hAnsi="Arial" w:cs="Arial"/>
        </w:rPr>
        <w:t>Since</w:t>
      </w:r>
      <w:r>
        <w:rPr>
          <w:rFonts w:ascii="Arial" w:eastAsia="Arial" w:hAnsi="Arial" w:cs="Arial"/>
        </w:rPr>
        <w:t xml:space="preserve"> our hospital is a referral oncology center, many patients travel from distant places to obtain management recommendations. Some of these patients return to their local hospital to receive therapy there and some do not return to our hospital. We had a 12.8% los</w:t>
      </w:r>
      <w:r w:rsidR="00CA2FA0">
        <w:rPr>
          <w:rFonts w:ascii="Arial" w:eastAsia="Arial" w:hAnsi="Arial" w:cs="Arial"/>
        </w:rPr>
        <w:t>t</w:t>
      </w:r>
      <w:r>
        <w:rPr>
          <w:rFonts w:ascii="Arial" w:eastAsia="Arial" w:hAnsi="Arial" w:cs="Arial"/>
        </w:rPr>
        <w:t xml:space="preserve"> to follow-up rate, which is relatively high. </w:t>
      </w:r>
    </w:p>
    <w:p w14:paraId="3174A6F7" w14:textId="77777777" w:rsidR="00CA0A75" w:rsidRDefault="00CA0A75">
      <w:pPr>
        <w:spacing w:after="0" w:line="480" w:lineRule="auto"/>
        <w:rPr>
          <w:rFonts w:ascii="Arial" w:eastAsia="Arial" w:hAnsi="Arial" w:cs="Arial"/>
          <w:b/>
        </w:rPr>
      </w:pPr>
    </w:p>
    <w:p w14:paraId="63362054" w14:textId="77777777" w:rsidR="00CA0A75" w:rsidRDefault="002D2DFC">
      <w:pPr>
        <w:spacing w:after="0" w:line="480" w:lineRule="auto"/>
        <w:rPr>
          <w:rFonts w:ascii="Arial" w:eastAsia="Arial" w:hAnsi="Arial" w:cs="Arial"/>
          <w:b/>
        </w:rPr>
      </w:pPr>
      <w:r>
        <w:rPr>
          <w:rFonts w:ascii="Arial" w:eastAsia="Arial" w:hAnsi="Arial" w:cs="Arial"/>
          <w:b/>
        </w:rPr>
        <w:t>Conclusion</w:t>
      </w:r>
    </w:p>
    <w:p w14:paraId="2E83251C" w14:textId="7603292B" w:rsidR="00CA0A75" w:rsidRDefault="002D2DFC">
      <w:pPr>
        <w:spacing w:after="0" w:line="480" w:lineRule="auto"/>
        <w:rPr>
          <w:rFonts w:ascii="Arial" w:eastAsia="Arial" w:hAnsi="Arial" w:cs="Arial"/>
        </w:rPr>
      </w:pPr>
      <w:r>
        <w:rPr>
          <w:rFonts w:ascii="Arial" w:eastAsia="Arial" w:hAnsi="Arial" w:cs="Arial"/>
        </w:rPr>
        <w:t xml:space="preserve">Chemotherapy prolongs survival in </w:t>
      </w:r>
      <w:r w:rsidR="0099657A">
        <w:rPr>
          <w:rFonts w:ascii="Arial" w:eastAsia="Arial" w:hAnsi="Arial" w:cs="Arial"/>
        </w:rPr>
        <w:t xml:space="preserve">patients with SCLC and </w:t>
      </w:r>
      <w:r>
        <w:rPr>
          <w:rFonts w:ascii="Arial" w:eastAsia="Arial" w:hAnsi="Arial" w:cs="Arial"/>
        </w:rPr>
        <w:t>poor PS. A stepwise approach in which an initial attenuated dose of chemotherapy is administered followed by full dose standard chemotherapy once the patient’s PS has improved may lower toxicity and improve tolerability.</w:t>
      </w:r>
    </w:p>
    <w:p w14:paraId="783380E7" w14:textId="77777777" w:rsidR="00CA0A75" w:rsidRDefault="00CA0A75">
      <w:pPr>
        <w:spacing w:after="0" w:line="480" w:lineRule="auto"/>
        <w:rPr>
          <w:rFonts w:ascii="Arial" w:eastAsia="Arial" w:hAnsi="Arial" w:cs="Arial"/>
          <w:b/>
        </w:rPr>
      </w:pPr>
    </w:p>
    <w:p w14:paraId="6AE52709" w14:textId="77777777" w:rsidR="00CA0A75" w:rsidRDefault="002D2DFC">
      <w:pPr>
        <w:spacing w:after="0" w:line="480" w:lineRule="auto"/>
        <w:rPr>
          <w:rFonts w:ascii="Arial" w:eastAsia="Arial" w:hAnsi="Arial" w:cs="Arial"/>
        </w:rPr>
      </w:pPr>
      <w:r>
        <w:rPr>
          <w:rFonts w:ascii="Arial" w:eastAsia="Arial" w:hAnsi="Arial" w:cs="Arial"/>
          <w:b/>
        </w:rPr>
        <w:t>Acknowledgements</w:t>
      </w:r>
      <w:r>
        <w:rPr>
          <w:rFonts w:ascii="Arial" w:eastAsia="Arial" w:hAnsi="Arial" w:cs="Arial"/>
        </w:rPr>
        <w:t>: None</w:t>
      </w:r>
    </w:p>
    <w:p w14:paraId="74176DB1" w14:textId="77777777" w:rsidR="00CA0A75" w:rsidRDefault="00CA0A75">
      <w:pPr>
        <w:spacing w:after="0" w:line="480" w:lineRule="auto"/>
        <w:rPr>
          <w:rFonts w:ascii="Arial" w:eastAsia="Arial" w:hAnsi="Arial" w:cs="Arial"/>
          <w:b/>
        </w:rPr>
      </w:pPr>
    </w:p>
    <w:p w14:paraId="41D80F05" w14:textId="77777777" w:rsidR="00CA0A75" w:rsidRDefault="002D2DFC">
      <w:pPr>
        <w:spacing w:after="0" w:line="480" w:lineRule="auto"/>
        <w:rPr>
          <w:rFonts w:ascii="Arial" w:eastAsia="Arial" w:hAnsi="Arial" w:cs="Arial"/>
        </w:rPr>
      </w:pPr>
      <w:r>
        <w:rPr>
          <w:rFonts w:ascii="Arial" w:eastAsia="Arial" w:hAnsi="Arial" w:cs="Arial"/>
          <w:b/>
        </w:rPr>
        <w:t>Funding</w:t>
      </w:r>
      <w:r>
        <w:rPr>
          <w:rFonts w:ascii="Arial" w:eastAsia="Arial" w:hAnsi="Arial" w:cs="Arial"/>
        </w:rPr>
        <w:t>: None declared</w:t>
      </w:r>
    </w:p>
    <w:p w14:paraId="18C50611" w14:textId="77777777" w:rsidR="00CA0A75" w:rsidRDefault="00CA0A75">
      <w:pPr>
        <w:spacing w:after="0" w:line="480" w:lineRule="auto"/>
        <w:rPr>
          <w:rFonts w:ascii="Arial" w:eastAsia="Arial" w:hAnsi="Arial" w:cs="Arial"/>
          <w:b/>
        </w:rPr>
      </w:pPr>
    </w:p>
    <w:p w14:paraId="36DA6EC0" w14:textId="77777777" w:rsidR="00310A33" w:rsidRPr="00470F06" w:rsidRDefault="002D2DFC">
      <w:pPr>
        <w:spacing w:after="0" w:line="480" w:lineRule="auto"/>
        <w:rPr>
          <w:rFonts w:ascii="Arial" w:eastAsia="Arial" w:hAnsi="Arial" w:cs="Arial"/>
        </w:rPr>
      </w:pPr>
      <w:bookmarkStart w:id="3" w:name="_3znysh7" w:colFirst="0" w:colLast="0"/>
      <w:bookmarkEnd w:id="3"/>
      <w:r w:rsidRPr="00470F06">
        <w:rPr>
          <w:rFonts w:ascii="Arial" w:eastAsia="Arial" w:hAnsi="Arial" w:cs="Arial"/>
          <w:b/>
        </w:rPr>
        <w:t>Conflicts of interest</w:t>
      </w:r>
      <w:r w:rsidRPr="00470F06">
        <w:rPr>
          <w:rFonts w:ascii="Arial" w:eastAsia="Arial" w:hAnsi="Arial" w:cs="Arial"/>
        </w:rPr>
        <w:t xml:space="preserve">: </w:t>
      </w:r>
    </w:p>
    <w:p w14:paraId="5E899C53" w14:textId="1FD93FA4" w:rsidR="009B204D" w:rsidRPr="00470F06" w:rsidRDefault="009B204D" w:rsidP="009B204D">
      <w:pPr>
        <w:autoSpaceDE w:val="0"/>
        <w:autoSpaceDN w:val="0"/>
        <w:adjustRightInd w:val="0"/>
        <w:spacing w:after="0" w:line="480" w:lineRule="auto"/>
        <w:rPr>
          <w:rFonts w:ascii="Arial" w:hAnsi="Arial" w:cs="Arial"/>
        </w:rPr>
      </w:pPr>
      <w:r w:rsidRPr="00470F06">
        <w:rPr>
          <w:rFonts w:ascii="Arial" w:hAnsi="Arial" w:cs="Arial"/>
        </w:rPr>
        <w:lastRenderedPageBreak/>
        <w:t>There was no funding for the current study.</w:t>
      </w:r>
    </w:p>
    <w:p w14:paraId="603F0B7F" w14:textId="27EFF459" w:rsidR="009B204D" w:rsidRPr="00470F06" w:rsidRDefault="009B204D" w:rsidP="009B204D">
      <w:pPr>
        <w:autoSpaceDE w:val="0"/>
        <w:autoSpaceDN w:val="0"/>
        <w:adjustRightInd w:val="0"/>
        <w:spacing w:after="0" w:line="480" w:lineRule="auto"/>
        <w:rPr>
          <w:rFonts w:ascii="Arial" w:hAnsi="Arial" w:cs="Arial"/>
          <w:color w:val="222222"/>
          <w:shd w:val="clear" w:color="auto" w:fill="FFFFFF"/>
        </w:rPr>
      </w:pPr>
      <w:r w:rsidRPr="00470F06">
        <w:rPr>
          <w:rFonts w:ascii="Arial" w:hAnsi="Arial" w:cs="Arial"/>
        </w:rPr>
        <w:t xml:space="preserve">Unrelated to the current </w:t>
      </w:r>
      <w:r w:rsidR="0001044E" w:rsidRPr="00470F06">
        <w:rPr>
          <w:rFonts w:ascii="Arial" w:hAnsi="Arial" w:cs="Arial"/>
        </w:rPr>
        <w:t>study</w:t>
      </w:r>
      <w:r w:rsidRPr="00470F06">
        <w:rPr>
          <w:rFonts w:ascii="Arial" w:hAnsi="Arial" w:cs="Arial"/>
        </w:rPr>
        <w:t xml:space="preserve">, Dr. Vanita Noronha has received research funding from Amgen, Sanofi India Ltd., Dr. Reddy’s Laboratories Inc., </w:t>
      </w:r>
      <w:proofErr w:type="spellStart"/>
      <w:r w:rsidRPr="00470F06">
        <w:rPr>
          <w:rFonts w:ascii="Arial" w:hAnsi="Arial" w:cs="Arial"/>
        </w:rPr>
        <w:t>Intas</w:t>
      </w:r>
      <w:proofErr w:type="spellEnd"/>
      <w:r w:rsidRPr="00470F06">
        <w:rPr>
          <w:rFonts w:ascii="Arial" w:hAnsi="Arial" w:cs="Arial"/>
        </w:rPr>
        <w:t xml:space="preserve"> Pharmaceuticals and Astra Zeneca Pharma India Ltd. (all research grants paid to the institution).</w:t>
      </w:r>
    </w:p>
    <w:p w14:paraId="6DA8DDD4" w14:textId="3BBB5F65" w:rsidR="009B204D" w:rsidRPr="00470F06" w:rsidRDefault="009B204D" w:rsidP="009B204D">
      <w:pPr>
        <w:autoSpaceDE w:val="0"/>
        <w:autoSpaceDN w:val="0"/>
        <w:adjustRightInd w:val="0"/>
        <w:spacing w:after="0" w:line="480" w:lineRule="auto"/>
        <w:rPr>
          <w:rFonts w:ascii="Arial" w:hAnsi="Arial" w:cs="Arial"/>
          <w:color w:val="222222"/>
          <w:shd w:val="clear" w:color="auto" w:fill="FFFFFF"/>
        </w:rPr>
      </w:pPr>
      <w:r w:rsidRPr="00470F06">
        <w:rPr>
          <w:rFonts w:ascii="Arial" w:hAnsi="Arial" w:cs="Arial"/>
        </w:rPr>
        <w:t xml:space="preserve">Unrelated to the current </w:t>
      </w:r>
      <w:r w:rsidR="00A958D6" w:rsidRPr="00470F06">
        <w:rPr>
          <w:rFonts w:ascii="Arial" w:hAnsi="Arial" w:cs="Arial"/>
        </w:rPr>
        <w:t>study</w:t>
      </w:r>
      <w:r w:rsidRPr="00470F06">
        <w:rPr>
          <w:rFonts w:ascii="Arial" w:hAnsi="Arial" w:cs="Arial"/>
        </w:rPr>
        <w:t xml:space="preserve">, Dr. Kumar </w:t>
      </w:r>
      <w:proofErr w:type="spellStart"/>
      <w:r w:rsidRPr="00470F06">
        <w:rPr>
          <w:rFonts w:ascii="Arial" w:hAnsi="Arial" w:cs="Arial"/>
        </w:rPr>
        <w:t>Prabhash</w:t>
      </w:r>
      <w:proofErr w:type="spellEnd"/>
      <w:r w:rsidRPr="00470F06">
        <w:rPr>
          <w:rFonts w:ascii="Arial" w:hAnsi="Arial" w:cs="Arial"/>
        </w:rPr>
        <w:t xml:space="preserve"> has received research funding from Dr. Reddy’s Laboratories Inc., Fresenius </w:t>
      </w:r>
      <w:proofErr w:type="spellStart"/>
      <w:r w:rsidRPr="00470F06">
        <w:rPr>
          <w:rFonts w:ascii="Arial" w:hAnsi="Arial" w:cs="Arial"/>
        </w:rPr>
        <w:t>Kabi</w:t>
      </w:r>
      <w:proofErr w:type="spellEnd"/>
      <w:r w:rsidRPr="00470F06">
        <w:rPr>
          <w:rFonts w:ascii="Arial" w:hAnsi="Arial" w:cs="Arial"/>
        </w:rPr>
        <w:t xml:space="preserve"> India Pvt. Ltd., </w:t>
      </w:r>
      <w:proofErr w:type="spellStart"/>
      <w:r w:rsidRPr="00470F06">
        <w:rPr>
          <w:rFonts w:ascii="Arial" w:hAnsi="Arial" w:cs="Arial"/>
        </w:rPr>
        <w:t>Alkem</w:t>
      </w:r>
      <w:proofErr w:type="spellEnd"/>
      <w:r w:rsidRPr="00470F06">
        <w:rPr>
          <w:rFonts w:ascii="Arial" w:hAnsi="Arial" w:cs="Arial"/>
        </w:rPr>
        <w:t xml:space="preserve"> Laboratories, </w:t>
      </w:r>
      <w:proofErr w:type="spellStart"/>
      <w:r w:rsidRPr="00470F06">
        <w:rPr>
          <w:rFonts w:ascii="Arial" w:hAnsi="Arial" w:cs="Arial"/>
        </w:rPr>
        <w:t>Natco</w:t>
      </w:r>
      <w:proofErr w:type="spellEnd"/>
      <w:r w:rsidRPr="00470F06">
        <w:rPr>
          <w:rFonts w:ascii="Arial" w:hAnsi="Arial" w:cs="Arial"/>
        </w:rPr>
        <w:t xml:space="preserve"> Pharma Ltd., BDR Pharmaceuticals Intl. Pvt. Ltd, and Roche Holding AG (all research grants paid to the institution).</w:t>
      </w:r>
    </w:p>
    <w:p w14:paraId="5227DE57" w14:textId="47588FED" w:rsidR="009B204D" w:rsidRPr="00470F06" w:rsidRDefault="00145913">
      <w:pPr>
        <w:spacing w:after="0" w:line="480" w:lineRule="auto"/>
        <w:rPr>
          <w:rFonts w:ascii="Arial" w:eastAsia="Arial" w:hAnsi="Arial" w:cs="Arial"/>
        </w:rPr>
      </w:pPr>
      <w:r>
        <w:rPr>
          <w:rFonts w:ascii="Arial" w:eastAsia="Arial" w:hAnsi="Arial" w:cs="Arial"/>
        </w:rPr>
        <w:t>All the other authors declared no conflicts of interest.</w:t>
      </w:r>
    </w:p>
    <w:p w14:paraId="14071E68" w14:textId="77777777" w:rsidR="00CA0A75" w:rsidRDefault="00CA0A75">
      <w:pPr>
        <w:spacing w:after="0" w:line="480" w:lineRule="auto"/>
        <w:rPr>
          <w:rFonts w:ascii="Arial" w:eastAsia="Arial" w:hAnsi="Arial" w:cs="Arial"/>
          <w:b/>
        </w:rPr>
      </w:pPr>
    </w:p>
    <w:p w14:paraId="70262909" w14:textId="724F41C4" w:rsidR="00CA0A75" w:rsidRDefault="002D2DFC">
      <w:pPr>
        <w:spacing w:after="0" w:line="480" w:lineRule="auto"/>
        <w:rPr>
          <w:rFonts w:ascii="Arial" w:eastAsia="Arial" w:hAnsi="Arial" w:cs="Arial"/>
        </w:rPr>
      </w:pPr>
      <w:r>
        <w:rPr>
          <w:rFonts w:ascii="Arial" w:eastAsia="Arial" w:hAnsi="Arial" w:cs="Arial"/>
          <w:b/>
        </w:rPr>
        <w:t>Appendix Tables S1</w:t>
      </w:r>
      <w:r w:rsidR="00CD1819">
        <w:rPr>
          <w:rFonts w:ascii="Arial" w:eastAsia="Arial" w:hAnsi="Arial" w:cs="Arial"/>
          <w:b/>
        </w:rPr>
        <w:t xml:space="preserve">, </w:t>
      </w:r>
      <w:r>
        <w:rPr>
          <w:rFonts w:ascii="Arial" w:eastAsia="Arial" w:hAnsi="Arial" w:cs="Arial"/>
          <w:b/>
        </w:rPr>
        <w:t>S2,</w:t>
      </w:r>
      <w:r w:rsidR="00CD1819">
        <w:rPr>
          <w:rFonts w:ascii="Arial" w:eastAsia="Arial" w:hAnsi="Arial" w:cs="Arial"/>
          <w:b/>
        </w:rPr>
        <w:t xml:space="preserve"> S3</w:t>
      </w:r>
      <w:r>
        <w:rPr>
          <w:rFonts w:ascii="Arial" w:eastAsia="Arial" w:hAnsi="Arial" w:cs="Arial"/>
          <w:b/>
        </w:rPr>
        <w:t xml:space="preserve"> </w:t>
      </w:r>
      <w:r w:rsidR="00CD1819">
        <w:rPr>
          <w:rFonts w:ascii="Arial" w:eastAsia="Arial" w:hAnsi="Arial" w:cs="Arial"/>
          <w:b/>
        </w:rPr>
        <w:t xml:space="preserve">and </w:t>
      </w:r>
      <w:r>
        <w:rPr>
          <w:rFonts w:ascii="Arial" w:eastAsia="Arial" w:hAnsi="Arial" w:cs="Arial"/>
          <w:b/>
        </w:rPr>
        <w:t>Fig</w:t>
      </w:r>
      <w:r w:rsidR="00CD1819">
        <w:rPr>
          <w:rFonts w:ascii="Arial" w:eastAsia="Arial" w:hAnsi="Arial" w:cs="Arial"/>
          <w:b/>
        </w:rPr>
        <w:t>ures</w:t>
      </w:r>
      <w:r>
        <w:rPr>
          <w:rFonts w:ascii="Arial" w:eastAsia="Arial" w:hAnsi="Arial" w:cs="Arial"/>
          <w:b/>
        </w:rPr>
        <w:t xml:space="preserve"> S1</w:t>
      </w:r>
      <w:r w:rsidR="00CD1819">
        <w:rPr>
          <w:rFonts w:ascii="Arial" w:eastAsia="Arial" w:hAnsi="Arial" w:cs="Arial"/>
          <w:b/>
        </w:rPr>
        <w:t xml:space="preserve"> and S2</w:t>
      </w:r>
      <w:r>
        <w:rPr>
          <w:rFonts w:ascii="Arial" w:eastAsia="Arial" w:hAnsi="Arial" w:cs="Arial"/>
        </w:rPr>
        <w:t>: Supplementary data associated with this article can be found in the online version of the article.</w:t>
      </w:r>
    </w:p>
    <w:p w14:paraId="03013363" w14:textId="77777777" w:rsidR="00CA0A75" w:rsidRDefault="00CA0A75">
      <w:pPr>
        <w:spacing w:after="0" w:line="480" w:lineRule="auto"/>
        <w:rPr>
          <w:rFonts w:ascii="Arial" w:eastAsia="Arial" w:hAnsi="Arial" w:cs="Arial"/>
          <w:b/>
        </w:rPr>
      </w:pPr>
    </w:p>
    <w:p w14:paraId="601D0CD8" w14:textId="77777777" w:rsidR="00CA0A75" w:rsidRDefault="002D2DFC">
      <w:pPr>
        <w:spacing w:after="0" w:line="480" w:lineRule="auto"/>
        <w:rPr>
          <w:rFonts w:ascii="Arial" w:eastAsia="Arial" w:hAnsi="Arial" w:cs="Arial"/>
        </w:rPr>
      </w:pPr>
      <w:r>
        <w:rPr>
          <w:rFonts w:ascii="Arial" w:eastAsia="Arial" w:hAnsi="Arial" w:cs="Arial"/>
          <w:b/>
        </w:rPr>
        <w:t>References</w:t>
      </w:r>
      <w:r>
        <w:rPr>
          <w:rFonts w:ascii="Arial" w:eastAsia="Arial" w:hAnsi="Arial" w:cs="Arial"/>
        </w:rPr>
        <w:t>:</w:t>
      </w:r>
    </w:p>
    <w:p w14:paraId="558296EE" w14:textId="77777777" w:rsidR="00CA0A75" w:rsidRDefault="002D2DFC">
      <w:pPr>
        <w:numPr>
          <w:ilvl w:val="0"/>
          <w:numId w:val="5"/>
        </w:numPr>
        <w:pBdr>
          <w:top w:val="nil"/>
          <w:left w:val="nil"/>
          <w:bottom w:val="nil"/>
          <w:right w:val="nil"/>
          <w:between w:val="nil"/>
        </w:pBdr>
        <w:spacing w:after="0" w:line="480" w:lineRule="auto"/>
        <w:rPr>
          <w:rFonts w:ascii="Arial" w:eastAsia="Arial" w:hAnsi="Arial" w:cs="Arial"/>
          <w:color w:val="000000"/>
        </w:rPr>
      </w:pPr>
      <w:r>
        <w:rPr>
          <w:rFonts w:ascii="Arial" w:eastAsia="Arial" w:hAnsi="Arial" w:cs="Arial"/>
          <w:color w:val="000000"/>
          <w:highlight w:val="white"/>
        </w:rPr>
        <w:t>Sundstrom S, Bremnes RM, </w:t>
      </w:r>
      <w:proofErr w:type="spellStart"/>
      <w:r>
        <w:rPr>
          <w:rFonts w:ascii="Arial" w:eastAsia="Arial" w:hAnsi="Arial" w:cs="Arial"/>
          <w:color w:val="000000"/>
          <w:highlight w:val="white"/>
        </w:rPr>
        <w:t>Kaasa</w:t>
      </w:r>
      <w:proofErr w:type="spellEnd"/>
      <w:r>
        <w:rPr>
          <w:rFonts w:ascii="Arial" w:eastAsia="Arial" w:hAnsi="Arial" w:cs="Arial"/>
          <w:color w:val="000000"/>
          <w:highlight w:val="white"/>
        </w:rPr>
        <w:t xml:space="preserve"> S et al. Cisplatin and etoposide regimen is superior to cyclophosphamide, </w:t>
      </w:r>
      <w:proofErr w:type="spellStart"/>
      <w:r>
        <w:rPr>
          <w:rFonts w:ascii="Arial" w:eastAsia="Arial" w:hAnsi="Arial" w:cs="Arial"/>
          <w:color w:val="000000"/>
          <w:highlight w:val="white"/>
        </w:rPr>
        <w:t>epirubicin</w:t>
      </w:r>
      <w:proofErr w:type="spellEnd"/>
      <w:r>
        <w:rPr>
          <w:rFonts w:ascii="Arial" w:eastAsia="Arial" w:hAnsi="Arial" w:cs="Arial"/>
          <w:color w:val="000000"/>
          <w:highlight w:val="white"/>
        </w:rPr>
        <w:t xml:space="preserve">, and vincristine regimen in small-cell lung cancer: results from a randomized phase III trial with 5 years' follow-up. J Clin Oncol. </w:t>
      </w:r>
      <w:proofErr w:type="gramStart"/>
      <w:r>
        <w:rPr>
          <w:rFonts w:ascii="Arial" w:eastAsia="Arial" w:hAnsi="Arial" w:cs="Arial"/>
          <w:color w:val="000000"/>
          <w:highlight w:val="white"/>
        </w:rPr>
        <w:t>2002;20:4665</w:t>
      </w:r>
      <w:proofErr w:type="gramEnd"/>
      <w:r>
        <w:rPr>
          <w:rFonts w:ascii="Arial" w:eastAsia="Arial" w:hAnsi="Arial" w:cs="Arial"/>
          <w:color w:val="000000"/>
          <w:highlight w:val="white"/>
        </w:rPr>
        <w:t>-4672.</w:t>
      </w:r>
    </w:p>
    <w:p w14:paraId="0DE51EDA" w14:textId="77777777" w:rsidR="00CA0A75" w:rsidRDefault="002D2DFC">
      <w:pPr>
        <w:numPr>
          <w:ilvl w:val="0"/>
          <w:numId w:val="5"/>
        </w:numPr>
        <w:pBdr>
          <w:top w:val="nil"/>
          <w:left w:val="nil"/>
          <w:bottom w:val="nil"/>
          <w:right w:val="nil"/>
          <w:between w:val="nil"/>
        </w:pBdr>
        <w:spacing w:after="0" w:line="480" w:lineRule="auto"/>
        <w:rPr>
          <w:rFonts w:ascii="Arial" w:eastAsia="Arial" w:hAnsi="Arial" w:cs="Arial"/>
          <w:color w:val="000000"/>
        </w:rPr>
      </w:pPr>
      <w:proofErr w:type="spellStart"/>
      <w:r>
        <w:rPr>
          <w:rFonts w:ascii="Arial" w:eastAsia="Arial" w:hAnsi="Arial" w:cs="Arial"/>
          <w:color w:val="000000"/>
          <w:highlight w:val="white"/>
        </w:rPr>
        <w:t>Faivre</w:t>
      </w:r>
      <w:proofErr w:type="spellEnd"/>
      <w:r>
        <w:rPr>
          <w:rFonts w:ascii="Arial" w:eastAsia="Arial" w:hAnsi="Arial" w:cs="Arial"/>
          <w:color w:val="000000"/>
          <w:highlight w:val="white"/>
        </w:rPr>
        <w:t>-Finn C, </w:t>
      </w:r>
      <w:proofErr w:type="spellStart"/>
      <w:r>
        <w:rPr>
          <w:rFonts w:ascii="Arial" w:eastAsia="Arial" w:hAnsi="Arial" w:cs="Arial"/>
          <w:color w:val="000000"/>
          <w:highlight w:val="white"/>
        </w:rPr>
        <w:t>Snee</w:t>
      </w:r>
      <w:proofErr w:type="spellEnd"/>
      <w:r>
        <w:rPr>
          <w:rFonts w:ascii="Arial" w:eastAsia="Arial" w:hAnsi="Arial" w:cs="Arial"/>
          <w:color w:val="000000"/>
          <w:highlight w:val="white"/>
        </w:rPr>
        <w:t> M, Ashcroft L et al.</w:t>
      </w:r>
      <w:r>
        <w:rPr>
          <w:rFonts w:ascii="Arial" w:eastAsia="Arial" w:hAnsi="Arial" w:cs="Arial"/>
          <w:color w:val="000000"/>
        </w:rPr>
        <w:t xml:space="preserve"> </w:t>
      </w:r>
      <w:r>
        <w:rPr>
          <w:rFonts w:ascii="Arial" w:eastAsia="Arial" w:hAnsi="Arial" w:cs="Arial"/>
          <w:color w:val="000000"/>
          <w:highlight w:val="white"/>
        </w:rPr>
        <w:t xml:space="preserve">Concurrent once-daily versus twice-daily chemoradiotherapy in patients with limited-stage small-cell lung cancer (CONVERT): an open-label, phase 3, </w:t>
      </w:r>
      <w:proofErr w:type="spellStart"/>
      <w:r>
        <w:rPr>
          <w:rFonts w:ascii="Arial" w:eastAsia="Arial" w:hAnsi="Arial" w:cs="Arial"/>
          <w:color w:val="000000"/>
          <w:highlight w:val="white"/>
        </w:rPr>
        <w:t>randomised</w:t>
      </w:r>
      <w:proofErr w:type="spellEnd"/>
      <w:r>
        <w:rPr>
          <w:rFonts w:ascii="Arial" w:eastAsia="Arial" w:hAnsi="Arial" w:cs="Arial"/>
          <w:color w:val="000000"/>
          <w:highlight w:val="white"/>
        </w:rPr>
        <w:t xml:space="preserve">, superiority trial. Lancet Oncol. </w:t>
      </w:r>
      <w:proofErr w:type="gramStart"/>
      <w:r>
        <w:rPr>
          <w:rFonts w:ascii="Arial" w:eastAsia="Arial" w:hAnsi="Arial" w:cs="Arial"/>
          <w:color w:val="000000"/>
          <w:highlight w:val="white"/>
        </w:rPr>
        <w:t>2017;18:1116</w:t>
      </w:r>
      <w:proofErr w:type="gramEnd"/>
      <w:r>
        <w:rPr>
          <w:rFonts w:ascii="Arial" w:eastAsia="Arial" w:hAnsi="Arial" w:cs="Arial"/>
          <w:color w:val="000000"/>
          <w:highlight w:val="white"/>
        </w:rPr>
        <w:t>-1125.</w:t>
      </w:r>
    </w:p>
    <w:p w14:paraId="29DD445F" w14:textId="77777777" w:rsidR="00CA0A75" w:rsidRDefault="002D2DFC">
      <w:pPr>
        <w:numPr>
          <w:ilvl w:val="0"/>
          <w:numId w:val="5"/>
        </w:numPr>
        <w:pBdr>
          <w:top w:val="nil"/>
          <w:left w:val="nil"/>
          <w:bottom w:val="nil"/>
          <w:right w:val="nil"/>
          <w:between w:val="nil"/>
        </w:pBdr>
        <w:spacing w:after="0" w:line="480" w:lineRule="auto"/>
        <w:rPr>
          <w:rFonts w:ascii="Arial" w:eastAsia="Arial" w:hAnsi="Arial" w:cs="Arial"/>
          <w:color w:val="000000"/>
        </w:rPr>
      </w:pPr>
      <w:r>
        <w:rPr>
          <w:rFonts w:ascii="Arial" w:eastAsia="Arial" w:hAnsi="Arial" w:cs="Arial"/>
          <w:color w:val="000000"/>
          <w:highlight w:val="white"/>
        </w:rPr>
        <w:t>Lara PN Jr, Natale R, Crowley J et al.</w:t>
      </w:r>
      <w:r>
        <w:rPr>
          <w:rFonts w:ascii="Arial" w:eastAsia="Arial" w:hAnsi="Arial" w:cs="Arial"/>
          <w:color w:val="000000"/>
        </w:rPr>
        <w:t xml:space="preserve"> </w:t>
      </w:r>
      <w:r>
        <w:rPr>
          <w:rFonts w:ascii="Arial" w:eastAsia="Arial" w:hAnsi="Arial" w:cs="Arial"/>
          <w:color w:val="000000"/>
          <w:highlight w:val="white"/>
        </w:rPr>
        <w:t xml:space="preserve">Phase III trial of irinotecan/cisplatin compared with etoposide/cisplatin in extensive-stage small-cell lung cancer: clinical and pharmacogenomic results from SWOG S0124. J Clin Oncol. </w:t>
      </w:r>
      <w:proofErr w:type="gramStart"/>
      <w:r>
        <w:rPr>
          <w:rFonts w:ascii="Arial" w:eastAsia="Arial" w:hAnsi="Arial" w:cs="Arial"/>
          <w:color w:val="000000"/>
          <w:highlight w:val="white"/>
        </w:rPr>
        <w:t>2009;27:2530</w:t>
      </w:r>
      <w:proofErr w:type="gramEnd"/>
      <w:r>
        <w:rPr>
          <w:rFonts w:ascii="Arial" w:eastAsia="Arial" w:hAnsi="Arial" w:cs="Arial"/>
          <w:color w:val="000000"/>
          <w:highlight w:val="white"/>
        </w:rPr>
        <w:t>-2535.</w:t>
      </w:r>
    </w:p>
    <w:p w14:paraId="2894CCAD" w14:textId="77777777" w:rsidR="00CA0A75" w:rsidRDefault="002D2DFC">
      <w:pPr>
        <w:numPr>
          <w:ilvl w:val="0"/>
          <w:numId w:val="5"/>
        </w:numPr>
        <w:pBdr>
          <w:top w:val="nil"/>
          <w:left w:val="nil"/>
          <w:bottom w:val="nil"/>
          <w:right w:val="nil"/>
          <w:between w:val="nil"/>
        </w:pBdr>
        <w:spacing w:after="0" w:line="480" w:lineRule="auto"/>
        <w:rPr>
          <w:rFonts w:ascii="Arial" w:eastAsia="Arial" w:hAnsi="Arial" w:cs="Arial"/>
          <w:color w:val="000000"/>
        </w:rPr>
      </w:pPr>
      <w:proofErr w:type="spellStart"/>
      <w:r>
        <w:rPr>
          <w:rFonts w:ascii="Arial" w:eastAsia="Arial" w:hAnsi="Arial" w:cs="Arial"/>
          <w:color w:val="000000"/>
          <w:highlight w:val="white"/>
        </w:rPr>
        <w:t>Baldotto</w:t>
      </w:r>
      <w:proofErr w:type="spellEnd"/>
      <w:r>
        <w:rPr>
          <w:rFonts w:ascii="Arial" w:eastAsia="Arial" w:hAnsi="Arial" w:cs="Arial"/>
          <w:color w:val="000000"/>
          <w:highlight w:val="white"/>
        </w:rPr>
        <w:t xml:space="preserve"> CS, </w:t>
      </w:r>
      <w:proofErr w:type="spellStart"/>
      <w:r>
        <w:rPr>
          <w:rFonts w:ascii="Arial" w:eastAsia="Arial" w:hAnsi="Arial" w:cs="Arial"/>
          <w:color w:val="000000"/>
          <w:highlight w:val="white"/>
        </w:rPr>
        <w:t>Cronemberger</w:t>
      </w:r>
      <w:proofErr w:type="spellEnd"/>
      <w:r>
        <w:rPr>
          <w:rFonts w:ascii="Arial" w:eastAsia="Arial" w:hAnsi="Arial" w:cs="Arial"/>
          <w:color w:val="000000"/>
          <w:highlight w:val="white"/>
        </w:rPr>
        <w:t xml:space="preserve"> EH, de </w:t>
      </w:r>
      <w:proofErr w:type="spellStart"/>
      <w:r>
        <w:rPr>
          <w:rFonts w:ascii="Arial" w:eastAsia="Arial" w:hAnsi="Arial" w:cs="Arial"/>
          <w:color w:val="000000"/>
          <w:highlight w:val="white"/>
        </w:rPr>
        <w:t>Biasi</w:t>
      </w:r>
      <w:proofErr w:type="spellEnd"/>
      <w:r>
        <w:rPr>
          <w:rFonts w:ascii="Arial" w:eastAsia="Arial" w:hAnsi="Arial" w:cs="Arial"/>
          <w:color w:val="000000"/>
          <w:highlight w:val="white"/>
        </w:rPr>
        <w:t xml:space="preserve"> P et al.</w:t>
      </w:r>
      <w:r>
        <w:rPr>
          <w:rFonts w:ascii="Arial" w:eastAsia="Arial" w:hAnsi="Arial" w:cs="Arial"/>
          <w:color w:val="000000"/>
        </w:rPr>
        <w:t xml:space="preserve"> Palliative care in poor-performance status small cell lung cancer patients: is there a mandatory role for chemotherapy?</w:t>
      </w:r>
      <w:r>
        <w:rPr>
          <w:rFonts w:ascii="Arial" w:eastAsia="Arial" w:hAnsi="Arial" w:cs="Arial"/>
          <w:color w:val="000000"/>
          <w:highlight w:val="white"/>
        </w:rPr>
        <w:t xml:space="preserve"> Support Care Cancer. </w:t>
      </w:r>
      <w:proofErr w:type="gramStart"/>
      <w:r>
        <w:rPr>
          <w:rFonts w:ascii="Arial" w:eastAsia="Arial" w:hAnsi="Arial" w:cs="Arial"/>
          <w:color w:val="000000"/>
          <w:highlight w:val="white"/>
        </w:rPr>
        <w:t>2012;20:2721</w:t>
      </w:r>
      <w:proofErr w:type="gramEnd"/>
      <w:r>
        <w:rPr>
          <w:rFonts w:ascii="Arial" w:eastAsia="Arial" w:hAnsi="Arial" w:cs="Arial"/>
          <w:color w:val="000000"/>
          <w:highlight w:val="white"/>
        </w:rPr>
        <w:t>-2727. </w:t>
      </w:r>
    </w:p>
    <w:p w14:paraId="395DE212" w14:textId="77777777" w:rsidR="00E222E4" w:rsidRDefault="00E222E4" w:rsidP="00E222E4">
      <w:pPr>
        <w:numPr>
          <w:ilvl w:val="0"/>
          <w:numId w:val="5"/>
        </w:numPr>
        <w:pBdr>
          <w:top w:val="nil"/>
          <w:left w:val="nil"/>
          <w:bottom w:val="nil"/>
          <w:right w:val="nil"/>
          <w:between w:val="nil"/>
        </w:pBdr>
        <w:spacing w:after="0" w:line="480" w:lineRule="auto"/>
        <w:rPr>
          <w:rFonts w:ascii="Arial" w:eastAsia="Arial" w:hAnsi="Arial" w:cs="Arial"/>
          <w:color w:val="000000"/>
        </w:rPr>
      </w:pPr>
      <w:r>
        <w:rPr>
          <w:rFonts w:ascii="Arial" w:eastAsia="Arial" w:hAnsi="Arial" w:cs="Arial"/>
          <w:color w:val="000000"/>
        </w:rPr>
        <w:lastRenderedPageBreak/>
        <w:t xml:space="preserve">Available online at </w:t>
      </w:r>
      <w:hyperlink r:id="rId6">
        <w:r>
          <w:rPr>
            <w:rFonts w:ascii="Arial" w:eastAsia="Arial" w:hAnsi="Arial" w:cs="Arial"/>
            <w:color w:val="000000"/>
          </w:rPr>
          <w:t>https://www.nccn.org/professionals/physician_gls/pdf/sclc.pdf</w:t>
        </w:r>
      </w:hyperlink>
      <w:r>
        <w:rPr>
          <w:rFonts w:ascii="Arial" w:eastAsia="Arial" w:hAnsi="Arial" w:cs="Arial"/>
          <w:color w:val="000000"/>
        </w:rPr>
        <w:t>. Last accessed on 5</w:t>
      </w:r>
      <w:r>
        <w:rPr>
          <w:rFonts w:ascii="Arial" w:eastAsia="Arial" w:hAnsi="Arial" w:cs="Arial"/>
          <w:color w:val="000000"/>
          <w:vertAlign w:val="superscript"/>
        </w:rPr>
        <w:t>th</w:t>
      </w:r>
      <w:r>
        <w:rPr>
          <w:rFonts w:ascii="Arial" w:eastAsia="Arial" w:hAnsi="Arial" w:cs="Arial"/>
          <w:color w:val="000000"/>
        </w:rPr>
        <w:t xml:space="preserve"> Mar 2018.</w:t>
      </w:r>
    </w:p>
    <w:p w14:paraId="784BD4C6" w14:textId="77777777" w:rsidR="00093D4D" w:rsidRDefault="00093D4D" w:rsidP="00093D4D">
      <w:pPr>
        <w:numPr>
          <w:ilvl w:val="0"/>
          <w:numId w:val="5"/>
        </w:numPr>
        <w:pBdr>
          <w:top w:val="nil"/>
          <w:left w:val="nil"/>
          <w:bottom w:val="nil"/>
          <w:right w:val="nil"/>
          <w:between w:val="nil"/>
        </w:pBdr>
        <w:spacing w:after="0" w:line="480" w:lineRule="auto"/>
        <w:rPr>
          <w:rFonts w:ascii="Arial" w:eastAsia="Arial" w:hAnsi="Arial" w:cs="Arial"/>
          <w:color w:val="000000"/>
        </w:rPr>
      </w:pPr>
      <w:r>
        <w:rPr>
          <w:rFonts w:ascii="Arial" w:eastAsia="Arial" w:hAnsi="Arial" w:cs="Arial"/>
          <w:color w:val="000000"/>
        </w:rPr>
        <w:t xml:space="preserve">Available online at </w:t>
      </w:r>
      <w:hyperlink r:id="rId7">
        <w:r>
          <w:rPr>
            <w:rFonts w:ascii="Arial" w:eastAsia="Arial" w:hAnsi="Arial" w:cs="Arial"/>
            <w:color w:val="000000"/>
          </w:rPr>
          <w:t>https://tmc.gov.in/tmh/PDF/Lung-Gastric.pdf</w:t>
        </w:r>
      </w:hyperlink>
      <w:r>
        <w:rPr>
          <w:rFonts w:ascii="Arial" w:eastAsia="Arial" w:hAnsi="Arial" w:cs="Arial"/>
          <w:color w:val="000000"/>
        </w:rPr>
        <w:t>. Last accessed on 5</w:t>
      </w:r>
      <w:r>
        <w:rPr>
          <w:rFonts w:ascii="Arial" w:eastAsia="Arial" w:hAnsi="Arial" w:cs="Arial"/>
          <w:color w:val="000000"/>
          <w:vertAlign w:val="superscript"/>
        </w:rPr>
        <w:t>th</w:t>
      </w:r>
      <w:r>
        <w:rPr>
          <w:rFonts w:ascii="Arial" w:eastAsia="Arial" w:hAnsi="Arial" w:cs="Arial"/>
          <w:color w:val="000000"/>
        </w:rPr>
        <w:t xml:space="preserve"> March 2018.</w:t>
      </w:r>
    </w:p>
    <w:p w14:paraId="05A1F83B" w14:textId="77777777" w:rsidR="00C95503" w:rsidRDefault="00C95503" w:rsidP="00C95503">
      <w:pPr>
        <w:numPr>
          <w:ilvl w:val="0"/>
          <w:numId w:val="5"/>
        </w:numPr>
        <w:pBdr>
          <w:top w:val="nil"/>
          <w:left w:val="nil"/>
          <w:bottom w:val="nil"/>
          <w:right w:val="nil"/>
          <w:between w:val="nil"/>
        </w:pBdr>
        <w:spacing w:after="0" w:line="480" w:lineRule="auto"/>
        <w:rPr>
          <w:rFonts w:ascii="Arial" w:eastAsia="Arial" w:hAnsi="Arial" w:cs="Arial"/>
          <w:color w:val="000000"/>
        </w:rPr>
      </w:pPr>
      <w:r>
        <w:rPr>
          <w:rFonts w:ascii="Arial" w:eastAsia="Arial" w:hAnsi="Arial" w:cs="Arial"/>
          <w:color w:val="000000"/>
        </w:rPr>
        <w:t xml:space="preserve">Giordano KF, Jatoi A, Adjei AA et al. Ramifications of severe organ dysfunction in newly diagnosed patients with small cell lung cancer: contemporary experience from a single institution. Lung Cancer. </w:t>
      </w:r>
      <w:proofErr w:type="gramStart"/>
      <w:r>
        <w:rPr>
          <w:rFonts w:ascii="Arial" w:eastAsia="Arial" w:hAnsi="Arial" w:cs="Arial"/>
          <w:color w:val="000000"/>
        </w:rPr>
        <w:t>2005;49:209</w:t>
      </w:r>
      <w:proofErr w:type="gramEnd"/>
      <w:r>
        <w:rPr>
          <w:rFonts w:ascii="Arial" w:eastAsia="Arial" w:hAnsi="Arial" w:cs="Arial"/>
          <w:color w:val="000000"/>
        </w:rPr>
        <w:t>-215.</w:t>
      </w:r>
    </w:p>
    <w:p w14:paraId="47092FD3" w14:textId="77777777" w:rsidR="00CA0A75" w:rsidRDefault="002D2DFC">
      <w:pPr>
        <w:numPr>
          <w:ilvl w:val="0"/>
          <w:numId w:val="5"/>
        </w:numPr>
        <w:pBdr>
          <w:top w:val="nil"/>
          <w:left w:val="nil"/>
          <w:bottom w:val="nil"/>
          <w:right w:val="nil"/>
          <w:between w:val="nil"/>
        </w:pBdr>
        <w:spacing w:after="0" w:line="480" w:lineRule="auto"/>
        <w:rPr>
          <w:rFonts w:ascii="Arial" w:eastAsia="Arial" w:hAnsi="Arial" w:cs="Arial"/>
          <w:color w:val="000000"/>
        </w:rPr>
      </w:pPr>
      <w:r>
        <w:rPr>
          <w:rFonts w:ascii="Arial" w:eastAsia="Arial" w:hAnsi="Arial" w:cs="Arial"/>
          <w:color w:val="000000"/>
        </w:rPr>
        <w:t xml:space="preserve">Chakraborty S. A </w:t>
      </w:r>
      <w:proofErr w:type="gramStart"/>
      <w:r>
        <w:rPr>
          <w:rFonts w:ascii="Arial" w:eastAsia="Arial" w:hAnsi="Arial" w:cs="Arial"/>
          <w:color w:val="000000"/>
        </w:rPr>
        <w:t>step-wise</w:t>
      </w:r>
      <w:proofErr w:type="gramEnd"/>
      <w:r>
        <w:rPr>
          <w:rFonts w:ascii="Arial" w:eastAsia="Arial" w:hAnsi="Arial" w:cs="Arial"/>
          <w:color w:val="000000"/>
        </w:rPr>
        <w:t xml:space="preserve"> guide to performing survival analysis. Cancer Res Stat Treat </w:t>
      </w:r>
      <w:proofErr w:type="gramStart"/>
      <w:r>
        <w:rPr>
          <w:rFonts w:ascii="Arial" w:eastAsia="Arial" w:hAnsi="Arial" w:cs="Arial"/>
          <w:color w:val="000000"/>
        </w:rPr>
        <w:t>2018;1:41</w:t>
      </w:r>
      <w:proofErr w:type="gramEnd"/>
      <w:r>
        <w:rPr>
          <w:rFonts w:ascii="Arial" w:eastAsia="Arial" w:hAnsi="Arial" w:cs="Arial"/>
          <w:color w:val="000000"/>
        </w:rPr>
        <w:t>-5</w:t>
      </w:r>
    </w:p>
    <w:p w14:paraId="467C7D68" w14:textId="77777777" w:rsidR="00CA0A75" w:rsidRDefault="002D2DFC" w:rsidP="006905CE">
      <w:pPr>
        <w:numPr>
          <w:ilvl w:val="0"/>
          <w:numId w:val="5"/>
        </w:numPr>
        <w:pBdr>
          <w:top w:val="nil"/>
          <w:left w:val="nil"/>
          <w:bottom w:val="nil"/>
          <w:right w:val="nil"/>
          <w:between w:val="nil"/>
        </w:pBdr>
        <w:spacing w:after="0" w:line="480" w:lineRule="auto"/>
        <w:ind w:left="714" w:hanging="357"/>
        <w:contextualSpacing/>
        <w:rPr>
          <w:rFonts w:ascii="Arial" w:eastAsia="Arial" w:hAnsi="Arial" w:cs="Arial"/>
          <w:color w:val="000000"/>
        </w:rPr>
      </w:pPr>
      <w:proofErr w:type="spellStart"/>
      <w:r>
        <w:rPr>
          <w:rFonts w:ascii="Arial" w:eastAsia="Arial" w:hAnsi="Arial" w:cs="Arial"/>
          <w:color w:val="000000"/>
        </w:rPr>
        <w:t>Dessai</w:t>
      </w:r>
      <w:proofErr w:type="spellEnd"/>
      <w:r>
        <w:rPr>
          <w:rFonts w:ascii="Arial" w:eastAsia="Arial" w:hAnsi="Arial" w:cs="Arial"/>
          <w:color w:val="000000"/>
        </w:rPr>
        <w:t xml:space="preserve"> S, </w:t>
      </w:r>
      <w:proofErr w:type="spellStart"/>
      <w:r>
        <w:rPr>
          <w:rFonts w:ascii="Arial" w:eastAsia="Arial" w:hAnsi="Arial" w:cs="Arial"/>
          <w:color w:val="000000"/>
        </w:rPr>
        <w:t>Simha</w:t>
      </w:r>
      <w:proofErr w:type="spellEnd"/>
      <w:r>
        <w:rPr>
          <w:rFonts w:ascii="Arial" w:eastAsia="Arial" w:hAnsi="Arial" w:cs="Arial"/>
          <w:color w:val="000000"/>
        </w:rPr>
        <w:t xml:space="preserve"> V, Patil V. Stepwise cox regression analysis in SPSS. Cancer Res Stat Treat </w:t>
      </w:r>
      <w:proofErr w:type="gramStart"/>
      <w:r>
        <w:rPr>
          <w:rFonts w:ascii="Arial" w:eastAsia="Arial" w:hAnsi="Arial" w:cs="Arial"/>
          <w:color w:val="000000"/>
        </w:rPr>
        <w:t>2018;1:167</w:t>
      </w:r>
      <w:proofErr w:type="gramEnd"/>
      <w:r>
        <w:rPr>
          <w:rFonts w:ascii="Arial" w:eastAsia="Arial" w:hAnsi="Arial" w:cs="Arial"/>
          <w:color w:val="000000"/>
        </w:rPr>
        <w:t>-70</w:t>
      </w:r>
    </w:p>
    <w:p w14:paraId="36ABE2DA" w14:textId="77777777" w:rsidR="002655EA" w:rsidRDefault="002D2DFC" w:rsidP="006905CE">
      <w:pPr>
        <w:numPr>
          <w:ilvl w:val="0"/>
          <w:numId w:val="5"/>
        </w:numPr>
        <w:pBdr>
          <w:top w:val="nil"/>
          <w:left w:val="nil"/>
          <w:bottom w:val="nil"/>
          <w:right w:val="nil"/>
          <w:between w:val="nil"/>
        </w:pBdr>
        <w:spacing w:after="0" w:line="480" w:lineRule="auto"/>
        <w:ind w:left="714" w:hanging="357"/>
        <w:contextualSpacing/>
        <w:rPr>
          <w:rFonts w:ascii="Arial" w:eastAsia="Arial" w:hAnsi="Arial" w:cs="Arial"/>
          <w:color w:val="000000"/>
        </w:rPr>
      </w:pPr>
      <w:proofErr w:type="spellStart"/>
      <w:r>
        <w:rPr>
          <w:rFonts w:ascii="Arial" w:eastAsia="Arial" w:hAnsi="Arial" w:cs="Arial"/>
          <w:color w:val="000000"/>
        </w:rPr>
        <w:t>Dessai</w:t>
      </w:r>
      <w:proofErr w:type="spellEnd"/>
      <w:r>
        <w:rPr>
          <w:rFonts w:ascii="Arial" w:eastAsia="Arial" w:hAnsi="Arial" w:cs="Arial"/>
          <w:color w:val="000000"/>
        </w:rPr>
        <w:t xml:space="preserve"> S, Patil V. </w:t>
      </w:r>
      <w:proofErr w:type="gramStart"/>
      <w:r>
        <w:rPr>
          <w:rFonts w:ascii="Arial" w:eastAsia="Arial" w:hAnsi="Arial" w:cs="Arial"/>
          <w:color w:val="000000"/>
        </w:rPr>
        <w:t>Testing</w:t>
      </w:r>
      <w:proofErr w:type="gramEnd"/>
      <w:r>
        <w:rPr>
          <w:rFonts w:ascii="Arial" w:eastAsia="Arial" w:hAnsi="Arial" w:cs="Arial"/>
          <w:color w:val="000000"/>
        </w:rPr>
        <w:t xml:space="preserve"> and interpreting assumptions of COX regression analysis. Cancer Res Stat Treat </w:t>
      </w:r>
      <w:proofErr w:type="gramStart"/>
      <w:r>
        <w:rPr>
          <w:rFonts w:ascii="Arial" w:eastAsia="Arial" w:hAnsi="Arial" w:cs="Arial"/>
          <w:color w:val="000000"/>
        </w:rPr>
        <w:t>2019;2:108</w:t>
      </w:r>
      <w:proofErr w:type="gramEnd"/>
      <w:r>
        <w:rPr>
          <w:rFonts w:ascii="Arial" w:eastAsia="Arial" w:hAnsi="Arial" w:cs="Arial"/>
          <w:color w:val="000000"/>
        </w:rPr>
        <w:t>-11.</w:t>
      </w:r>
    </w:p>
    <w:p w14:paraId="3E5BF64B" w14:textId="77777777" w:rsidR="00632918" w:rsidRPr="006905CE" w:rsidRDefault="00632918" w:rsidP="00632918">
      <w:pPr>
        <w:pStyle w:val="ListParagraph"/>
        <w:numPr>
          <w:ilvl w:val="0"/>
          <w:numId w:val="5"/>
        </w:numPr>
        <w:spacing w:line="480" w:lineRule="auto"/>
        <w:ind w:left="714" w:hanging="357"/>
        <w:rPr>
          <w:rFonts w:ascii="Arial" w:hAnsi="Arial" w:cs="Arial"/>
        </w:rPr>
      </w:pPr>
      <w:r w:rsidRPr="006905CE">
        <w:rPr>
          <w:rFonts w:ascii="Arial" w:hAnsi="Arial" w:cs="Arial"/>
          <w:highlight w:val="white"/>
        </w:rPr>
        <w:t>Agra Y, </w:t>
      </w:r>
      <w:proofErr w:type="spellStart"/>
      <w:r w:rsidRPr="006905CE">
        <w:rPr>
          <w:rFonts w:ascii="Arial" w:hAnsi="Arial" w:cs="Arial"/>
          <w:highlight w:val="white"/>
        </w:rPr>
        <w:t>Pelayo</w:t>
      </w:r>
      <w:proofErr w:type="spellEnd"/>
      <w:r w:rsidRPr="006905CE">
        <w:rPr>
          <w:rFonts w:ascii="Arial" w:hAnsi="Arial" w:cs="Arial"/>
          <w:highlight w:val="white"/>
        </w:rPr>
        <w:t xml:space="preserve"> M, Sacristan M et al.</w:t>
      </w:r>
      <w:r w:rsidRPr="006905CE">
        <w:rPr>
          <w:rFonts w:ascii="Arial" w:hAnsi="Arial" w:cs="Arial"/>
        </w:rPr>
        <w:t xml:space="preserve"> Chemotherapy versus best supportive care for extensive small cell lung cancer.</w:t>
      </w:r>
      <w:r w:rsidRPr="006905CE">
        <w:rPr>
          <w:rFonts w:ascii="Arial" w:hAnsi="Arial" w:cs="Arial"/>
          <w:highlight w:val="white"/>
        </w:rPr>
        <w:t xml:space="preserve"> Cochrane Database Syst Rev. 2003;(4):CD001990.</w:t>
      </w:r>
    </w:p>
    <w:p w14:paraId="413A5FA1" w14:textId="2C816BC3" w:rsidR="002655EA" w:rsidRPr="006905CE" w:rsidRDefault="002655EA" w:rsidP="006905CE">
      <w:pPr>
        <w:numPr>
          <w:ilvl w:val="0"/>
          <w:numId w:val="5"/>
        </w:numPr>
        <w:pBdr>
          <w:top w:val="nil"/>
          <w:left w:val="nil"/>
          <w:bottom w:val="nil"/>
          <w:right w:val="nil"/>
          <w:between w:val="nil"/>
        </w:pBdr>
        <w:spacing w:after="0" w:line="480" w:lineRule="auto"/>
        <w:ind w:left="714" w:hanging="357"/>
        <w:contextualSpacing/>
        <w:rPr>
          <w:rFonts w:ascii="Arial" w:eastAsia="Arial" w:hAnsi="Arial" w:cs="Arial"/>
          <w:color w:val="000000"/>
        </w:rPr>
      </w:pPr>
      <w:r w:rsidRPr="002655EA">
        <w:rPr>
          <w:rFonts w:ascii="Arial" w:eastAsia="Arial" w:hAnsi="Arial" w:cs="Arial"/>
          <w:color w:val="000000"/>
        </w:rPr>
        <w:t>Azam F, Wong H, Gr</w:t>
      </w:r>
      <w:r w:rsidRPr="009A0E4A">
        <w:rPr>
          <w:rFonts w:ascii="Arial" w:eastAsia="Arial" w:hAnsi="Arial" w:cs="Arial"/>
          <w:color w:val="000000"/>
        </w:rPr>
        <w:t>een J</w:t>
      </w:r>
      <w:r w:rsidRPr="002236BE">
        <w:rPr>
          <w:rFonts w:ascii="Arial" w:eastAsia="Arial" w:hAnsi="Arial" w:cs="Arial"/>
          <w:color w:val="000000"/>
        </w:rPr>
        <w:t>A</w:t>
      </w:r>
      <w:r w:rsidRPr="00B07168">
        <w:rPr>
          <w:rFonts w:ascii="Arial" w:eastAsia="Arial" w:hAnsi="Arial" w:cs="Arial"/>
          <w:color w:val="000000"/>
        </w:rPr>
        <w:t xml:space="preserve">, </w:t>
      </w:r>
      <w:r w:rsidRPr="003A1967">
        <w:rPr>
          <w:rFonts w:ascii="Arial" w:eastAsia="Arial" w:hAnsi="Arial" w:cs="Arial"/>
          <w:color w:val="000000"/>
        </w:rPr>
        <w:t xml:space="preserve">Marshall E. </w:t>
      </w:r>
      <w:r w:rsidRPr="006905CE">
        <w:rPr>
          <w:rFonts w:ascii="Arial" w:hAnsi="Arial" w:cs="Arial"/>
          <w:color w:val="222222"/>
        </w:rPr>
        <w:t>Poor performance status small cell lung cancer: Who should we treat?</w:t>
      </w:r>
      <w:r>
        <w:rPr>
          <w:rFonts w:ascii="Arial" w:hAnsi="Arial" w:cs="Arial"/>
          <w:color w:val="222222"/>
        </w:rPr>
        <w:t xml:space="preserve"> </w:t>
      </w:r>
      <w:r w:rsidRPr="006905CE">
        <w:rPr>
          <w:rFonts w:ascii="Arial" w:hAnsi="Arial" w:cs="Arial"/>
          <w:color w:val="000000"/>
        </w:rPr>
        <w:t>DOI: 10.1200/jco.2011.29.15_suppl.e17502 </w:t>
      </w:r>
      <w:r w:rsidRPr="006905CE">
        <w:rPr>
          <w:rStyle w:val="HTMLCite"/>
          <w:rFonts w:ascii="Arial" w:hAnsi="Arial" w:cs="Arial"/>
          <w:color w:val="000000"/>
        </w:rPr>
        <w:t>Journal of Clinical Oncology</w:t>
      </w:r>
      <w:r w:rsidRPr="006905CE">
        <w:rPr>
          <w:rFonts w:ascii="Arial" w:hAnsi="Arial" w:cs="Arial"/>
          <w:color w:val="000000"/>
        </w:rPr>
        <w:t> 29, no. 15_suppl</w:t>
      </w:r>
    </w:p>
    <w:p w14:paraId="2C3D9203" w14:textId="77777777" w:rsidR="003A1967" w:rsidRDefault="003A1967" w:rsidP="006905CE">
      <w:pPr>
        <w:numPr>
          <w:ilvl w:val="0"/>
          <w:numId w:val="5"/>
        </w:numPr>
        <w:pBdr>
          <w:top w:val="nil"/>
          <w:left w:val="nil"/>
          <w:bottom w:val="nil"/>
          <w:right w:val="nil"/>
          <w:between w:val="nil"/>
        </w:pBdr>
        <w:spacing w:after="0" w:line="480" w:lineRule="auto"/>
        <w:ind w:left="714" w:hanging="357"/>
        <w:contextualSpacing/>
        <w:rPr>
          <w:rFonts w:ascii="Arial" w:eastAsia="Arial" w:hAnsi="Arial" w:cs="Arial"/>
          <w:color w:val="000000"/>
        </w:rPr>
      </w:pPr>
      <w:r>
        <w:rPr>
          <w:rFonts w:ascii="Arial" w:eastAsia="Arial" w:hAnsi="Arial" w:cs="Arial"/>
          <w:color w:val="000000"/>
        </w:rPr>
        <w:t xml:space="preserve">Medical Research Council Lung Cancer Working Party (prepared on behalf of the working party and its collaborators by NM </w:t>
      </w:r>
      <w:proofErr w:type="spellStart"/>
      <w:r>
        <w:rPr>
          <w:rFonts w:ascii="Arial" w:eastAsia="Arial" w:hAnsi="Arial" w:cs="Arial"/>
          <w:color w:val="000000"/>
        </w:rPr>
        <w:t>Bleehen</w:t>
      </w:r>
      <w:proofErr w:type="spellEnd"/>
      <w:r>
        <w:rPr>
          <w:rFonts w:ascii="Arial" w:eastAsia="Arial" w:hAnsi="Arial" w:cs="Arial"/>
          <w:color w:val="000000"/>
        </w:rPr>
        <w:t xml:space="preserve">, DJ Girling, P Hopwood et al). </w:t>
      </w:r>
      <w:proofErr w:type="spellStart"/>
      <w:r>
        <w:rPr>
          <w:rFonts w:ascii="Arial" w:eastAsia="Arial" w:hAnsi="Arial" w:cs="Arial"/>
          <w:color w:val="000000"/>
        </w:rPr>
        <w:t>Randomised</w:t>
      </w:r>
      <w:proofErr w:type="spellEnd"/>
      <w:r>
        <w:rPr>
          <w:rFonts w:ascii="Arial" w:eastAsia="Arial" w:hAnsi="Arial" w:cs="Arial"/>
          <w:color w:val="000000"/>
        </w:rPr>
        <w:t xml:space="preserve"> trial of four-drug vs less intensive two-drug chemotherapy in the palliative treatment of patients with small-cell lung cancer (SCLC) and poor prognosis. Medical Research Council Lung Cancer Working Party. </w:t>
      </w:r>
      <w:r>
        <w:rPr>
          <w:rFonts w:ascii="Arial" w:eastAsia="Arial" w:hAnsi="Arial" w:cs="Arial"/>
          <w:color w:val="000000"/>
          <w:highlight w:val="white"/>
        </w:rPr>
        <w:t xml:space="preserve">Br J Cancer. </w:t>
      </w:r>
      <w:proofErr w:type="gramStart"/>
      <w:r>
        <w:rPr>
          <w:rFonts w:ascii="Arial" w:eastAsia="Arial" w:hAnsi="Arial" w:cs="Arial"/>
          <w:color w:val="000000"/>
          <w:highlight w:val="white"/>
        </w:rPr>
        <w:t>1996;73:406</w:t>
      </w:r>
      <w:proofErr w:type="gramEnd"/>
      <w:r>
        <w:rPr>
          <w:rFonts w:ascii="Arial" w:eastAsia="Arial" w:hAnsi="Arial" w:cs="Arial"/>
          <w:color w:val="000000"/>
          <w:highlight w:val="white"/>
        </w:rPr>
        <w:t>-413.</w:t>
      </w:r>
    </w:p>
    <w:p w14:paraId="08823543" w14:textId="7DAF0FE6" w:rsidR="00955012" w:rsidRDefault="003A1967" w:rsidP="003A1967">
      <w:pPr>
        <w:pStyle w:val="ListParagraph"/>
        <w:numPr>
          <w:ilvl w:val="0"/>
          <w:numId w:val="5"/>
        </w:numPr>
        <w:pBdr>
          <w:top w:val="nil"/>
          <w:left w:val="nil"/>
          <w:bottom w:val="nil"/>
          <w:right w:val="nil"/>
          <w:between w:val="nil"/>
        </w:pBdr>
        <w:spacing w:after="0" w:line="480" w:lineRule="auto"/>
        <w:ind w:left="714" w:hanging="357"/>
        <w:rPr>
          <w:rFonts w:ascii="Arial" w:eastAsia="Arial" w:hAnsi="Arial" w:cs="Arial"/>
          <w:color w:val="000000"/>
        </w:rPr>
      </w:pPr>
      <w:r w:rsidRPr="006905CE">
        <w:rPr>
          <w:rFonts w:ascii="Arial" w:eastAsia="Arial" w:hAnsi="Arial" w:cs="Arial"/>
          <w:color w:val="000000"/>
          <w:sz w:val="20"/>
          <w:szCs w:val="20"/>
          <w:highlight w:val="white"/>
        </w:rPr>
        <w:t>Girling DJ.</w:t>
      </w:r>
      <w:r w:rsidRPr="006905CE">
        <w:rPr>
          <w:rFonts w:ascii="Arial" w:eastAsia="Arial" w:hAnsi="Arial" w:cs="Arial"/>
          <w:color w:val="000000"/>
          <w:sz w:val="20"/>
          <w:szCs w:val="20"/>
        </w:rPr>
        <w:t xml:space="preserve"> </w:t>
      </w:r>
      <w:r w:rsidRPr="006905CE">
        <w:rPr>
          <w:rFonts w:ascii="Arial" w:eastAsia="Arial" w:hAnsi="Arial" w:cs="Arial"/>
          <w:color w:val="000000"/>
          <w:sz w:val="20"/>
          <w:szCs w:val="20"/>
          <w:highlight w:val="white"/>
        </w:rPr>
        <w:t xml:space="preserve">Comparison of oral etoposide and standard intravenous multidrug chemotherapy for small-cell lung cancer: a stopped </w:t>
      </w:r>
      <w:proofErr w:type="spellStart"/>
      <w:r w:rsidRPr="006905CE">
        <w:rPr>
          <w:rFonts w:ascii="Arial" w:eastAsia="Arial" w:hAnsi="Arial" w:cs="Arial"/>
          <w:color w:val="000000"/>
          <w:sz w:val="20"/>
          <w:szCs w:val="20"/>
          <w:highlight w:val="white"/>
        </w:rPr>
        <w:t>multicentre</w:t>
      </w:r>
      <w:proofErr w:type="spellEnd"/>
      <w:r w:rsidRPr="006905CE">
        <w:rPr>
          <w:rFonts w:ascii="Arial" w:eastAsia="Arial" w:hAnsi="Arial" w:cs="Arial"/>
          <w:color w:val="000000"/>
          <w:sz w:val="20"/>
          <w:szCs w:val="20"/>
          <w:highlight w:val="white"/>
        </w:rPr>
        <w:t xml:space="preserve"> </w:t>
      </w:r>
      <w:proofErr w:type="spellStart"/>
      <w:r w:rsidRPr="006905CE">
        <w:rPr>
          <w:rFonts w:ascii="Arial" w:eastAsia="Arial" w:hAnsi="Arial" w:cs="Arial"/>
          <w:color w:val="000000"/>
          <w:sz w:val="20"/>
          <w:szCs w:val="20"/>
          <w:highlight w:val="white"/>
        </w:rPr>
        <w:t>randomised</w:t>
      </w:r>
      <w:proofErr w:type="spellEnd"/>
      <w:r w:rsidRPr="006905CE">
        <w:rPr>
          <w:rFonts w:ascii="Arial" w:eastAsia="Arial" w:hAnsi="Arial" w:cs="Arial"/>
          <w:color w:val="000000"/>
          <w:sz w:val="20"/>
          <w:szCs w:val="20"/>
          <w:highlight w:val="white"/>
        </w:rPr>
        <w:t xml:space="preserve"> trial. Medical Research Council Lung Cancer Working Party. Lancet. </w:t>
      </w:r>
      <w:proofErr w:type="gramStart"/>
      <w:r w:rsidRPr="006905CE">
        <w:rPr>
          <w:rFonts w:ascii="Arial" w:eastAsia="Arial" w:hAnsi="Arial" w:cs="Arial"/>
          <w:color w:val="000000"/>
          <w:sz w:val="20"/>
          <w:szCs w:val="20"/>
          <w:highlight w:val="white"/>
        </w:rPr>
        <w:t>1996;348:563</w:t>
      </w:r>
      <w:proofErr w:type="gramEnd"/>
      <w:r w:rsidRPr="006905CE">
        <w:rPr>
          <w:rFonts w:ascii="Arial" w:eastAsia="Arial" w:hAnsi="Arial" w:cs="Arial"/>
          <w:color w:val="000000"/>
          <w:sz w:val="20"/>
          <w:szCs w:val="20"/>
          <w:highlight w:val="white"/>
        </w:rPr>
        <w:t>-566</w:t>
      </w:r>
    </w:p>
    <w:p w14:paraId="76575DDD" w14:textId="77777777" w:rsidR="00955012" w:rsidRPr="006905CE" w:rsidRDefault="00955012" w:rsidP="006905CE">
      <w:pPr>
        <w:pStyle w:val="CommentText"/>
        <w:numPr>
          <w:ilvl w:val="0"/>
          <w:numId w:val="5"/>
        </w:numPr>
        <w:spacing w:line="480" w:lineRule="auto"/>
        <w:ind w:left="714" w:hanging="357"/>
        <w:rPr>
          <w:rFonts w:ascii="Arial" w:hAnsi="Arial" w:cs="Arial"/>
          <w:sz w:val="22"/>
          <w:szCs w:val="22"/>
        </w:rPr>
      </w:pPr>
      <w:r w:rsidRPr="006905CE">
        <w:rPr>
          <w:rFonts w:ascii="Arial" w:hAnsi="Arial" w:cs="Arial"/>
          <w:color w:val="212121"/>
          <w:sz w:val="22"/>
          <w:szCs w:val="22"/>
          <w:shd w:val="clear" w:color="auto" w:fill="FFFFFF"/>
        </w:rPr>
        <w:lastRenderedPageBreak/>
        <w:t>Hermes A, Bergman B, Bremnes R, et al. Irinotecan plus carboplatin versus oral etoposide plus carboplatin in extensive small-cell lung cancer: a randomized phase III trial. </w:t>
      </w:r>
      <w:r w:rsidRPr="006905CE">
        <w:rPr>
          <w:rFonts w:ascii="Arial" w:hAnsi="Arial" w:cs="Arial"/>
          <w:i/>
          <w:iCs/>
          <w:color w:val="212121"/>
          <w:sz w:val="22"/>
          <w:szCs w:val="22"/>
          <w:shd w:val="clear" w:color="auto" w:fill="FFFFFF"/>
        </w:rPr>
        <w:t>J Clin Oncol</w:t>
      </w:r>
      <w:r w:rsidRPr="006905CE">
        <w:rPr>
          <w:rFonts w:ascii="Arial" w:hAnsi="Arial" w:cs="Arial"/>
          <w:color w:val="212121"/>
          <w:sz w:val="22"/>
          <w:szCs w:val="22"/>
          <w:shd w:val="clear" w:color="auto" w:fill="FFFFFF"/>
        </w:rPr>
        <w:t>. 2008;26(26):4261-4267.</w:t>
      </w:r>
    </w:p>
    <w:p w14:paraId="362158CE" w14:textId="77777777" w:rsidR="00A811AD" w:rsidRPr="006905CE" w:rsidRDefault="00A811AD" w:rsidP="006905CE">
      <w:pPr>
        <w:pStyle w:val="CommentText"/>
        <w:numPr>
          <w:ilvl w:val="0"/>
          <w:numId w:val="5"/>
        </w:numPr>
        <w:spacing w:line="480" w:lineRule="auto"/>
        <w:ind w:left="714" w:hanging="357"/>
        <w:rPr>
          <w:rFonts w:ascii="Arial" w:hAnsi="Arial" w:cs="Arial"/>
          <w:sz w:val="22"/>
          <w:szCs w:val="22"/>
        </w:rPr>
      </w:pPr>
      <w:proofErr w:type="spellStart"/>
      <w:r w:rsidRPr="006905CE">
        <w:rPr>
          <w:rFonts w:ascii="Arial" w:hAnsi="Arial" w:cs="Arial"/>
          <w:color w:val="212121"/>
          <w:sz w:val="22"/>
          <w:szCs w:val="22"/>
          <w:shd w:val="clear" w:color="auto" w:fill="FFFFFF"/>
        </w:rPr>
        <w:t>Sakuragi</w:t>
      </w:r>
      <w:proofErr w:type="spellEnd"/>
      <w:r w:rsidRPr="006905CE">
        <w:rPr>
          <w:rFonts w:ascii="Arial" w:hAnsi="Arial" w:cs="Arial"/>
          <w:color w:val="212121"/>
          <w:sz w:val="22"/>
          <w:szCs w:val="22"/>
          <w:shd w:val="clear" w:color="auto" w:fill="FFFFFF"/>
        </w:rPr>
        <w:t xml:space="preserve"> T, </w:t>
      </w:r>
      <w:proofErr w:type="spellStart"/>
      <w:r w:rsidRPr="006905CE">
        <w:rPr>
          <w:rFonts w:ascii="Arial" w:hAnsi="Arial" w:cs="Arial"/>
          <w:color w:val="212121"/>
          <w:sz w:val="22"/>
          <w:szCs w:val="22"/>
          <w:shd w:val="clear" w:color="auto" w:fill="FFFFFF"/>
        </w:rPr>
        <w:t>Oshita</w:t>
      </w:r>
      <w:proofErr w:type="spellEnd"/>
      <w:r w:rsidRPr="006905CE">
        <w:rPr>
          <w:rFonts w:ascii="Arial" w:hAnsi="Arial" w:cs="Arial"/>
          <w:color w:val="212121"/>
          <w:sz w:val="22"/>
          <w:szCs w:val="22"/>
          <w:shd w:val="clear" w:color="auto" w:fill="FFFFFF"/>
        </w:rPr>
        <w:t xml:space="preserve"> F, Nagashima S, et al. Retrospective analysis of the treatment of patients with small cell lung cancer showing poor performance status. </w:t>
      </w:r>
      <w:proofErr w:type="spellStart"/>
      <w:r w:rsidRPr="006905CE">
        <w:rPr>
          <w:rFonts w:ascii="Arial" w:hAnsi="Arial" w:cs="Arial"/>
          <w:i/>
          <w:iCs/>
          <w:color w:val="212121"/>
          <w:sz w:val="22"/>
          <w:szCs w:val="22"/>
          <w:shd w:val="clear" w:color="auto" w:fill="FFFFFF"/>
        </w:rPr>
        <w:t>Jpn</w:t>
      </w:r>
      <w:proofErr w:type="spellEnd"/>
      <w:r w:rsidRPr="006905CE">
        <w:rPr>
          <w:rFonts w:ascii="Arial" w:hAnsi="Arial" w:cs="Arial"/>
          <w:i/>
          <w:iCs/>
          <w:color w:val="212121"/>
          <w:sz w:val="22"/>
          <w:szCs w:val="22"/>
          <w:shd w:val="clear" w:color="auto" w:fill="FFFFFF"/>
        </w:rPr>
        <w:t xml:space="preserve"> J Clin Oncol</w:t>
      </w:r>
      <w:r w:rsidRPr="006905CE">
        <w:rPr>
          <w:rFonts w:ascii="Arial" w:hAnsi="Arial" w:cs="Arial"/>
          <w:color w:val="212121"/>
          <w:sz w:val="22"/>
          <w:szCs w:val="22"/>
          <w:shd w:val="clear" w:color="auto" w:fill="FFFFFF"/>
        </w:rPr>
        <w:t>. 1996;26(3):128-133.</w:t>
      </w:r>
    </w:p>
    <w:p w14:paraId="724C6F8F" w14:textId="77777777" w:rsidR="00A60082" w:rsidRPr="006905CE" w:rsidRDefault="00A60082" w:rsidP="006905CE">
      <w:pPr>
        <w:pStyle w:val="CommentText"/>
        <w:numPr>
          <w:ilvl w:val="0"/>
          <w:numId w:val="5"/>
        </w:numPr>
        <w:spacing w:line="480" w:lineRule="auto"/>
        <w:ind w:left="714" w:hanging="357"/>
        <w:rPr>
          <w:rFonts w:ascii="Arial" w:hAnsi="Arial" w:cs="Arial"/>
          <w:sz w:val="22"/>
          <w:szCs w:val="22"/>
        </w:rPr>
      </w:pPr>
      <w:r w:rsidRPr="006905CE">
        <w:rPr>
          <w:rFonts w:ascii="Arial" w:hAnsi="Arial" w:cs="Arial"/>
          <w:color w:val="212121"/>
          <w:sz w:val="22"/>
          <w:szCs w:val="22"/>
          <w:shd w:val="clear" w:color="auto" w:fill="FFFFFF"/>
        </w:rPr>
        <w:t xml:space="preserve">Aida Y, Nakazawa K, </w:t>
      </w:r>
      <w:proofErr w:type="spellStart"/>
      <w:r w:rsidRPr="006905CE">
        <w:rPr>
          <w:rFonts w:ascii="Arial" w:hAnsi="Arial" w:cs="Arial"/>
          <w:color w:val="212121"/>
          <w:sz w:val="22"/>
          <w:szCs w:val="22"/>
          <w:shd w:val="clear" w:color="auto" w:fill="FFFFFF"/>
        </w:rPr>
        <w:t>Shiozawa</w:t>
      </w:r>
      <w:proofErr w:type="spellEnd"/>
      <w:r w:rsidRPr="006905CE">
        <w:rPr>
          <w:rFonts w:ascii="Arial" w:hAnsi="Arial" w:cs="Arial"/>
          <w:color w:val="212121"/>
          <w:sz w:val="22"/>
          <w:szCs w:val="22"/>
          <w:shd w:val="clear" w:color="auto" w:fill="FFFFFF"/>
        </w:rPr>
        <w:t xml:space="preserve"> T, et al. Small-Cell Lung Cancer Treatment of Newly Diagnosed Patients with Poor Performance Status. </w:t>
      </w:r>
      <w:r w:rsidRPr="006905CE">
        <w:rPr>
          <w:rFonts w:ascii="Arial" w:hAnsi="Arial" w:cs="Arial"/>
          <w:i/>
          <w:iCs/>
          <w:color w:val="212121"/>
          <w:sz w:val="22"/>
          <w:szCs w:val="22"/>
          <w:shd w:val="clear" w:color="auto" w:fill="FFFFFF"/>
        </w:rPr>
        <w:t>Case Rep Oncol</w:t>
      </w:r>
      <w:r w:rsidRPr="006905CE">
        <w:rPr>
          <w:rFonts w:ascii="Arial" w:hAnsi="Arial" w:cs="Arial"/>
          <w:color w:val="212121"/>
          <w:sz w:val="22"/>
          <w:szCs w:val="22"/>
          <w:shd w:val="clear" w:color="auto" w:fill="FFFFFF"/>
        </w:rPr>
        <w:t>. 2019;12(2):613-620.</w:t>
      </w:r>
    </w:p>
    <w:p w14:paraId="431F0E13" w14:textId="77777777" w:rsidR="00F34228" w:rsidRPr="00D02908" w:rsidRDefault="00F34228" w:rsidP="006905CE">
      <w:pPr>
        <w:numPr>
          <w:ilvl w:val="0"/>
          <w:numId w:val="5"/>
        </w:numPr>
        <w:pBdr>
          <w:top w:val="nil"/>
          <w:left w:val="nil"/>
          <w:bottom w:val="nil"/>
          <w:right w:val="nil"/>
          <w:between w:val="nil"/>
        </w:pBdr>
        <w:spacing w:after="0" w:line="480" w:lineRule="auto"/>
        <w:ind w:left="714" w:hanging="357"/>
        <w:rPr>
          <w:rFonts w:ascii="Arial" w:eastAsia="Arial" w:hAnsi="Arial" w:cs="Arial"/>
          <w:color w:val="000000"/>
        </w:rPr>
      </w:pPr>
      <w:r w:rsidRPr="00D02908">
        <w:rPr>
          <w:rFonts w:ascii="Arial" w:eastAsia="Arial" w:hAnsi="Arial" w:cs="Arial"/>
          <w:color w:val="000000"/>
          <w:highlight w:val="white"/>
        </w:rPr>
        <w:t>Noda K, </w:t>
      </w:r>
      <w:proofErr w:type="spellStart"/>
      <w:r w:rsidRPr="00D02908">
        <w:rPr>
          <w:rFonts w:ascii="Arial" w:eastAsia="Arial" w:hAnsi="Arial" w:cs="Arial"/>
          <w:color w:val="000000"/>
          <w:highlight w:val="white"/>
        </w:rPr>
        <w:t>Nishiwaki</w:t>
      </w:r>
      <w:proofErr w:type="spellEnd"/>
      <w:r w:rsidRPr="00D02908">
        <w:rPr>
          <w:rFonts w:ascii="Arial" w:eastAsia="Arial" w:hAnsi="Arial" w:cs="Arial"/>
          <w:color w:val="000000"/>
          <w:highlight w:val="white"/>
        </w:rPr>
        <w:t xml:space="preserve"> Y, Kawahara M et al.</w:t>
      </w:r>
      <w:r w:rsidRPr="00D02908">
        <w:rPr>
          <w:rFonts w:ascii="Arial" w:eastAsia="Arial" w:hAnsi="Arial" w:cs="Arial"/>
          <w:color w:val="000000"/>
        </w:rPr>
        <w:t xml:space="preserve"> Irinotecan plus cisplatin compared with etoposide plus cisplatin for extensive small-cell lung cancer. </w:t>
      </w:r>
      <w:r w:rsidRPr="00D02908">
        <w:rPr>
          <w:rFonts w:ascii="Arial" w:eastAsia="Arial" w:hAnsi="Arial" w:cs="Arial"/>
          <w:color w:val="000000"/>
          <w:highlight w:val="white"/>
        </w:rPr>
        <w:t xml:space="preserve">N </w:t>
      </w:r>
      <w:proofErr w:type="spellStart"/>
      <w:r w:rsidRPr="00D02908">
        <w:rPr>
          <w:rFonts w:ascii="Arial" w:eastAsia="Arial" w:hAnsi="Arial" w:cs="Arial"/>
          <w:color w:val="000000"/>
          <w:highlight w:val="white"/>
        </w:rPr>
        <w:t>Engl</w:t>
      </w:r>
      <w:proofErr w:type="spellEnd"/>
      <w:r w:rsidRPr="00D02908">
        <w:rPr>
          <w:rFonts w:ascii="Arial" w:eastAsia="Arial" w:hAnsi="Arial" w:cs="Arial"/>
          <w:color w:val="000000"/>
          <w:highlight w:val="white"/>
        </w:rPr>
        <w:t xml:space="preserve"> J Med. </w:t>
      </w:r>
      <w:proofErr w:type="gramStart"/>
      <w:r w:rsidRPr="00D02908">
        <w:rPr>
          <w:rFonts w:ascii="Arial" w:eastAsia="Arial" w:hAnsi="Arial" w:cs="Arial"/>
          <w:color w:val="000000"/>
          <w:highlight w:val="white"/>
        </w:rPr>
        <w:t>2002;346:85</w:t>
      </w:r>
      <w:proofErr w:type="gramEnd"/>
      <w:r w:rsidRPr="00D02908">
        <w:rPr>
          <w:rFonts w:ascii="Arial" w:eastAsia="Arial" w:hAnsi="Arial" w:cs="Arial"/>
          <w:color w:val="000000"/>
          <w:highlight w:val="white"/>
        </w:rPr>
        <w:t>-91.</w:t>
      </w:r>
    </w:p>
    <w:p w14:paraId="68C3B931" w14:textId="77777777" w:rsidR="00CA0A75" w:rsidRDefault="002D2DFC">
      <w:pPr>
        <w:pStyle w:val="Heading1"/>
        <w:keepNext w:val="0"/>
        <w:numPr>
          <w:ilvl w:val="0"/>
          <w:numId w:val="5"/>
        </w:numPr>
        <w:shd w:val="clear" w:color="auto" w:fill="FFFFFF"/>
        <w:spacing w:after="0" w:line="480" w:lineRule="auto"/>
        <w:rPr>
          <w:rFonts w:ascii="Arial" w:eastAsia="Arial" w:hAnsi="Arial" w:cs="Arial"/>
          <w:highlight w:val="white"/>
          <w:u w:val="none"/>
        </w:rPr>
      </w:pPr>
      <w:r>
        <w:rPr>
          <w:rFonts w:ascii="Arial" w:eastAsia="Arial" w:hAnsi="Arial" w:cs="Arial"/>
          <w:highlight w:val="white"/>
          <w:u w:val="none"/>
        </w:rPr>
        <w:t xml:space="preserve">Cerny T, Blair V, Anderson H et al. </w:t>
      </w:r>
      <w:r>
        <w:rPr>
          <w:rFonts w:ascii="Arial" w:eastAsia="Arial" w:hAnsi="Arial" w:cs="Arial"/>
          <w:u w:val="none"/>
        </w:rPr>
        <w:t>Pretreatment prognostic factors and scoring system in 407 small-cell lung cancer patients.</w:t>
      </w:r>
      <w:r>
        <w:rPr>
          <w:rFonts w:ascii="Arial" w:eastAsia="Arial" w:hAnsi="Arial" w:cs="Arial"/>
          <w:highlight w:val="white"/>
          <w:u w:val="none"/>
        </w:rPr>
        <w:t xml:space="preserve"> Int J Cancer. </w:t>
      </w:r>
      <w:proofErr w:type="gramStart"/>
      <w:r>
        <w:rPr>
          <w:rFonts w:ascii="Arial" w:eastAsia="Arial" w:hAnsi="Arial" w:cs="Arial"/>
          <w:highlight w:val="white"/>
          <w:u w:val="none"/>
        </w:rPr>
        <w:t>1987;39:146</w:t>
      </w:r>
      <w:proofErr w:type="gramEnd"/>
      <w:r>
        <w:rPr>
          <w:rFonts w:ascii="Arial" w:eastAsia="Arial" w:hAnsi="Arial" w:cs="Arial"/>
          <w:highlight w:val="white"/>
          <w:u w:val="none"/>
        </w:rPr>
        <w:t>-149.</w:t>
      </w:r>
    </w:p>
    <w:p w14:paraId="37A47E51" w14:textId="77777777" w:rsidR="00CA0A75" w:rsidRDefault="002D2DFC">
      <w:pPr>
        <w:pStyle w:val="Heading1"/>
        <w:keepNext w:val="0"/>
        <w:numPr>
          <w:ilvl w:val="0"/>
          <w:numId w:val="5"/>
        </w:numPr>
        <w:shd w:val="clear" w:color="auto" w:fill="FFFFFF"/>
        <w:spacing w:after="0" w:line="480" w:lineRule="auto"/>
        <w:rPr>
          <w:rFonts w:ascii="Arial" w:eastAsia="Arial" w:hAnsi="Arial" w:cs="Arial"/>
          <w:u w:val="none"/>
        </w:rPr>
      </w:pPr>
      <w:r>
        <w:rPr>
          <w:rFonts w:ascii="Arial" w:eastAsia="Arial" w:hAnsi="Arial" w:cs="Arial"/>
          <w:highlight w:val="white"/>
          <w:u w:val="none"/>
        </w:rPr>
        <w:t>Kawahara M, Fukuoka M, </w:t>
      </w:r>
      <w:proofErr w:type="spellStart"/>
      <w:r>
        <w:rPr>
          <w:rFonts w:ascii="Arial" w:eastAsia="Arial" w:hAnsi="Arial" w:cs="Arial"/>
          <w:highlight w:val="white"/>
          <w:u w:val="none"/>
        </w:rPr>
        <w:t>Saijo</w:t>
      </w:r>
      <w:proofErr w:type="spellEnd"/>
      <w:r>
        <w:rPr>
          <w:rFonts w:ascii="Arial" w:eastAsia="Arial" w:hAnsi="Arial" w:cs="Arial"/>
          <w:highlight w:val="white"/>
          <w:u w:val="none"/>
        </w:rPr>
        <w:t xml:space="preserve"> N et al.</w:t>
      </w:r>
      <w:r>
        <w:rPr>
          <w:rFonts w:ascii="Arial" w:eastAsia="Arial" w:hAnsi="Arial" w:cs="Arial"/>
          <w:u w:val="none"/>
        </w:rPr>
        <w:t xml:space="preserve"> Prognostic factors and prognostic staging system for small cell lung cancer.</w:t>
      </w:r>
      <w:r>
        <w:rPr>
          <w:rFonts w:ascii="Arial" w:eastAsia="Arial" w:hAnsi="Arial" w:cs="Arial"/>
          <w:color w:val="000000"/>
          <w:highlight w:val="white"/>
          <w:u w:val="none"/>
        </w:rPr>
        <w:t xml:space="preserve"> </w:t>
      </w:r>
      <w:proofErr w:type="spellStart"/>
      <w:r>
        <w:rPr>
          <w:rFonts w:ascii="Arial" w:eastAsia="Arial" w:hAnsi="Arial" w:cs="Arial"/>
          <w:color w:val="000000"/>
          <w:highlight w:val="white"/>
          <w:u w:val="none"/>
        </w:rPr>
        <w:t>Jpn</w:t>
      </w:r>
      <w:proofErr w:type="spellEnd"/>
      <w:r>
        <w:rPr>
          <w:rFonts w:ascii="Arial" w:eastAsia="Arial" w:hAnsi="Arial" w:cs="Arial"/>
          <w:color w:val="000000"/>
          <w:highlight w:val="white"/>
          <w:u w:val="none"/>
        </w:rPr>
        <w:t xml:space="preserve"> J Clin Oncol. </w:t>
      </w:r>
      <w:proofErr w:type="gramStart"/>
      <w:r>
        <w:rPr>
          <w:rFonts w:ascii="Arial" w:eastAsia="Arial" w:hAnsi="Arial" w:cs="Arial"/>
          <w:color w:val="000000"/>
          <w:highlight w:val="white"/>
          <w:u w:val="none"/>
        </w:rPr>
        <w:t>1997;27:158</w:t>
      </w:r>
      <w:proofErr w:type="gramEnd"/>
      <w:r>
        <w:rPr>
          <w:rFonts w:ascii="Arial" w:eastAsia="Arial" w:hAnsi="Arial" w:cs="Arial"/>
          <w:color w:val="000000"/>
          <w:highlight w:val="white"/>
          <w:u w:val="none"/>
        </w:rPr>
        <w:t>-165.</w:t>
      </w:r>
    </w:p>
    <w:p w14:paraId="3C8ECA62" w14:textId="77777777" w:rsidR="00CA0A75" w:rsidRDefault="002D2DFC">
      <w:pPr>
        <w:pStyle w:val="Heading1"/>
        <w:keepNext w:val="0"/>
        <w:numPr>
          <w:ilvl w:val="0"/>
          <w:numId w:val="5"/>
        </w:numPr>
        <w:shd w:val="clear" w:color="auto" w:fill="FFFFFF"/>
        <w:spacing w:after="0" w:line="480" w:lineRule="auto"/>
        <w:rPr>
          <w:rFonts w:ascii="Arial" w:eastAsia="Arial" w:hAnsi="Arial" w:cs="Arial"/>
          <w:u w:val="none"/>
        </w:rPr>
      </w:pPr>
      <w:proofErr w:type="spellStart"/>
      <w:r>
        <w:rPr>
          <w:rFonts w:ascii="Arial" w:eastAsia="Arial" w:hAnsi="Arial" w:cs="Arial"/>
          <w:highlight w:val="white"/>
          <w:u w:val="none"/>
        </w:rPr>
        <w:t>Maestu</w:t>
      </w:r>
      <w:proofErr w:type="spellEnd"/>
      <w:r>
        <w:rPr>
          <w:rFonts w:ascii="Arial" w:eastAsia="Arial" w:hAnsi="Arial" w:cs="Arial"/>
          <w:highlight w:val="white"/>
          <w:u w:val="none"/>
        </w:rPr>
        <w:t xml:space="preserve"> I, Pastor M, Gómez-</w:t>
      </w:r>
      <w:proofErr w:type="spellStart"/>
      <w:r>
        <w:rPr>
          <w:rFonts w:ascii="Arial" w:eastAsia="Arial" w:hAnsi="Arial" w:cs="Arial"/>
          <w:highlight w:val="white"/>
          <w:u w:val="none"/>
        </w:rPr>
        <w:t>Codina</w:t>
      </w:r>
      <w:proofErr w:type="spellEnd"/>
      <w:r>
        <w:rPr>
          <w:rFonts w:ascii="Arial" w:eastAsia="Arial" w:hAnsi="Arial" w:cs="Arial"/>
          <w:highlight w:val="white"/>
          <w:u w:val="none"/>
        </w:rPr>
        <w:t xml:space="preserve"> J et al.</w:t>
      </w:r>
      <w:r>
        <w:rPr>
          <w:rFonts w:ascii="Arial" w:eastAsia="Arial" w:hAnsi="Arial" w:cs="Arial"/>
          <w:u w:val="none"/>
        </w:rPr>
        <w:t xml:space="preserve"> Pretreatment prognostic factors for survival in small-cell lung cancer: a new prognostic index and validation of three known prognostic indices on 341 patients.</w:t>
      </w:r>
      <w:r>
        <w:rPr>
          <w:rFonts w:ascii="Arial" w:eastAsia="Arial" w:hAnsi="Arial" w:cs="Arial"/>
          <w:highlight w:val="white"/>
          <w:u w:val="none"/>
        </w:rPr>
        <w:t xml:space="preserve"> Ann Oncol. </w:t>
      </w:r>
      <w:proofErr w:type="gramStart"/>
      <w:r>
        <w:rPr>
          <w:rFonts w:ascii="Arial" w:eastAsia="Arial" w:hAnsi="Arial" w:cs="Arial"/>
          <w:highlight w:val="white"/>
          <w:u w:val="none"/>
        </w:rPr>
        <w:t>1997;8:547</w:t>
      </w:r>
      <w:proofErr w:type="gramEnd"/>
      <w:r>
        <w:rPr>
          <w:rFonts w:ascii="Arial" w:eastAsia="Arial" w:hAnsi="Arial" w:cs="Arial"/>
          <w:highlight w:val="white"/>
          <w:u w:val="none"/>
        </w:rPr>
        <w:t>-553.</w:t>
      </w:r>
    </w:p>
    <w:p w14:paraId="4CF6ED17" w14:textId="17622F61" w:rsidR="00CA0A75" w:rsidRDefault="002D2DFC">
      <w:pPr>
        <w:numPr>
          <w:ilvl w:val="0"/>
          <w:numId w:val="5"/>
        </w:numPr>
        <w:pBdr>
          <w:top w:val="nil"/>
          <w:left w:val="nil"/>
          <w:bottom w:val="nil"/>
          <w:right w:val="nil"/>
          <w:between w:val="nil"/>
        </w:pBdr>
        <w:spacing w:line="480" w:lineRule="auto"/>
        <w:rPr>
          <w:rFonts w:ascii="Arial" w:eastAsia="Arial" w:hAnsi="Arial" w:cs="Arial"/>
          <w:color w:val="000000"/>
        </w:rPr>
      </w:pPr>
      <w:r>
        <w:rPr>
          <w:rFonts w:ascii="Arial" w:eastAsia="Arial" w:hAnsi="Arial" w:cs="Arial"/>
          <w:color w:val="000000"/>
          <w:highlight w:val="white"/>
        </w:rPr>
        <w:t>Alvarado-Luna G, Morales-Espinosa D.</w:t>
      </w:r>
      <w:r>
        <w:rPr>
          <w:rFonts w:ascii="Arial" w:eastAsia="Arial" w:hAnsi="Arial" w:cs="Arial"/>
          <w:color w:val="000000"/>
        </w:rPr>
        <w:t xml:space="preserve"> </w:t>
      </w:r>
      <w:r>
        <w:rPr>
          <w:rFonts w:ascii="Arial" w:eastAsia="Arial" w:hAnsi="Arial" w:cs="Arial"/>
          <w:color w:val="000000"/>
          <w:highlight w:val="white"/>
        </w:rPr>
        <w:t xml:space="preserve">Treatment for small cell lung cancer, where are we now? -a review. </w:t>
      </w:r>
      <w:proofErr w:type="spellStart"/>
      <w:r>
        <w:rPr>
          <w:rFonts w:ascii="Arial" w:eastAsia="Arial" w:hAnsi="Arial" w:cs="Arial"/>
          <w:color w:val="000000"/>
          <w:highlight w:val="white"/>
        </w:rPr>
        <w:t>Transl</w:t>
      </w:r>
      <w:proofErr w:type="spellEnd"/>
      <w:r>
        <w:rPr>
          <w:rFonts w:ascii="Arial" w:eastAsia="Arial" w:hAnsi="Arial" w:cs="Arial"/>
          <w:color w:val="000000"/>
          <w:highlight w:val="white"/>
        </w:rPr>
        <w:t xml:space="preserve"> Lung Cancer Res. </w:t>
      </w:r>
      <w:proofErr w:type="gramStart"/>
      <w:r>
        <w:rPr>
          <w:rFonts w:ascii="Arial" w:eastAsia="Arial" w:hAnsi="Arial" w:cs="Arial"/>
          <w:color w:val="000000"/>
          <w:highlight w:val="white"/>
        </w:rPr>
        <w:t>2016;5:26</w:t>
      </w:r>
      <w:proofErr w:type="gramEnd"/>
      <w:r>
        <w:rPr>
          <w:rFonts w:ascii="Arial" w:eastAsia="Arial" w:hAnsi="Arial" w:cs="Arial"/>
          <w:color w:val="000000"/>
          <w:highlight w:val="white"/>
        </w:rPr>
        <w:t>-38.</w:t>
      </w:r>
    </w:p>
    <w:p w14:paraId="24C387A9" w14:textId="77777777" w:rsidR="00BA474C" w:rsidRPr="006905CE" w:rsidRDefault="00BA474C" w:rsidP="006905CE">
      <w:pPr>
        <w:pStyle w:val="CommentText"/>
        <w:numPr>
          <w:ilvl w:val="0"/>
          <w:numId w:val="5"/>
        </w:numPr>
        <w:spacing w:line="480" w:lineRule="auto"/>
        <w:ind w:left="714" w:hanging="357"/>
        <w:rPr>
          <w:rFonts w:ascii="Arial" w:hAnsi="Arial" w:cs="Arial"/>
          <w:sz w:val="22"/>
          <w:szCs w:val="22"/>
        </w:rPr>
      </w:pPr>
      <w:r w:rsidRPr="006905CE">
        <w:rPr>
          <w:rFonts w:ascii="Arial" w:hAnsi="Arial" w:cs="Arial"/>
          <w:color w:val="000000"/>
          <w:sz w:val="22"/>
          <w:szCs w:val="22"/>
          <w:shd w:val="clear" w:color="auto" w:fill="FFFFFF"/>
        </w:rPr>
        <w:t xml:space="preserve">Horn L, Mansfield AS, </w:t>
      </w:r>
      <w:proofErr w:type="spellStart"/>
      <w:r w:rsidRPr="006905CE">
        <w:rPr>
          <w:rFonts w:ascii="Arial" w:hAnsi="Arial" w:cs="Arial"/>
          <w:color w:val="000000"/>
          <w:sz w:val="22"/>
          <w:szCs w:val="22"/>
          <w:shd w:val="clear" w:color="auto" w:fill="FFFFFF"/>
        </w:rPr>
        <w:t>Szczęsna</w:t>
      </w:r>
      <w:proofErr w:type="spellEnd"/>
      <w:r w:rsidRPr="006905CE">
        <w:rPr>
          <w:rFonts w:ascii="Arial" w:hAnsi="Arial" w:cs="Arial"/>
          <w:color w:val="000000"/>
          <w:sz w:val="22"/>
          <w:szCs w:val="22"/>
          <w:shd w:val="clear" w:color="auto" w:fill="FFFFFF"/>
        </w:rPr>
        <w:t xml:space="preserve"> A, et al. First-Line Atezolizumab plus Chemotherapy in Extensive-Stage Small-Cell Lung Cancer. </w:t>
      </w:r>
      <w:r w:rsidRPr="006905CE">
        <w:rPr>
          <w:rFonts w:ascii="Arial" w:hAnsi="Arial" w:cs="Arial"/>
          <w:i/>
          <w:iCs/>
          <w:color w:val="000000"/>
          <w:sz w:val="22"/>
          <w:szCs w:val="22"/>
          <w:shd w:val="clear" w:color="auto" w:fill="FFFFFF"/>
        </w:rPr>
        <w:t xml:space="preserve">N </w:t>
      </w:r>
      <w:proofErr w:type="spellStart"/>
      <w:r w:rsidRPr="006905CE">
        <w:rPr>
          <w:rFonts w:ascii="Arial" w:hAnsi="Arial" w:cs="Arial"/>
          <w:i/>
          <w:iCs/>
          <w:color w:val="000000"/>
          <w:sz w:val="22"/>
          <w:szCs w:val="22"/>
          <w:shd w:val="clear" w:color="auto" w:fill="FFFFFF"/>
        </w:rPr>
        <w:t>Engl</w:t>
      </w:r>
      <w:proofErr w:type="spellEnd"/>
      <w:r w:rsidRPr="006905CE">
        <w:rPr>
          <w:rFonts w:ascii="Arial" w:hAnsi="Arial" w:cs="Arial"/>
          <w:i/>
          <w:iCs/>
          <w:color w:val="000000"/>
          <w:sz w:val="22"/>
          <w:szCs w:val="22"/>
          <w:shd w:val="clear" w:color="auto" w:fill="FFFFFF"/>
        </w:rPr>
        <w:t xml:space="preserve"> J Med</w:t>
      </w:r>
      <w:r w:rsidRPr="006905CE">
        <w:rPr>
          <w:rFonts w:ascii="Arial" w:hAnsi="Arial" w:cs="Arial"/>
          <w:color w:val="000000"/>
          <w:sz w:val="22"/>
          <w:szCs w:val="22"/>
          <w:shd w:val="clear" w:color="auto" w:fill="FFFFFF"/>
        </w:rPr>
        <w:t>. 2018;379(23):2220-2229.</w:t>
      </w:r>
    </w:p>
    <w:p w14:paraId="29025152" w14:textId="77777777" w:rsidR="00BA474C" w:rsidRPr="006905CE" w:rsidRDefault="00BA474C" w:rsidP="006905CE">
      <w:pPr>
        <w:pStyle w:val="CommentText"/>
        <w:numPr>
          <w:ilvl w:val="0"/>
          <w:numId w:val="5"/>
        </w:numPr>
        <w:spacing w:line="480" w:lineRule="auto"/>
        <w:ind w:left="714" w:hanging="357"/>
        <w:rPr>
          <w:rFonts w:ascii="Arial" w:hAnsi="Arial" w:cs="Arial"/>
          <w:sz w:val="22"/>
          <w:szCs w:val="22"/>
        </w:rPr>
      </w:pPr>
      <w:proofErr w:type="spellStart"/>
      <w:r w:rsidRPr="006905CE">
        <w:rPr>
          <w:rFonts w:ascii="Arial" w:hAnsi="Arial" w:cs="Arial"/>
          <w:color w:val="000000"/>
          <w:sz w:val="22"/>
          <w:szCs w:val="22"/>
          <w:shd w:val="clear" w:color="auto" w:fill="FFFFFF"/>
        </w:rPr>
        <w:t>Faivre</w:t>
      </w:r>
      <w:proofErr w:type="spellEnd"/>
      <w:r w:rsidRPr="006905CE">
        <w:rPr>
          <w:rFonts w:ascii="Arial" w:hAnsi="Arial" w:cs="Arial"/>
          <w:color w:val="000000"/>
          <w:sz w:val="22"/>
          <w:szCs w:val="22"/>
          <w:shd w:val="clear" w:color="auto" w:fill="FFFFFF"/>
        </w:rPr>
        <w:t xml:space="preserve">-Finn C, </w:t>
      </w:r>
      <w:proofErr w:type="spellStart"/>
      <w:r w:rsidRPr="006905CE">
        <w:rPr>
          <w:rFonts w:ascii="Arial" w:hAnsi="Arial" w:cs="Arial"/>
          <w:color w:val="000000"/>
          <w:sz w:val="22"/>
          <w:szCs w:val="22"/>
          <w:shd w:val="clear" w:color="auto" w:fill="FFFFFF"/>
        </w:rPr>
        <w:t>Snee</w:t>
      </w:r>
      <w:proofErr w:type="spellEnd"/>
      <w:r w:rsidRPr="006905CE">
        <w:rPr>
          <w:rFonts w:ascii="Arial" w:hAnsi="Arial" w:cs="Arial"/>
          <w:color w:val="000000"/>
          <w:sz w:val="22"/>
          <w:szCs w:val="22"/>
          <w:shd w:val="clear" w:color="auto" w:fill="FFFFFF"/>
        </w:rPr>
        <w:t xml:space="preserve"> M, Ashcroft L, et al. Concurrent once-daily versus twice-daily chemoradiotherapy in patients with limited-stage small-cell lung cancer (CONVERT): </w:t>
      </w:r>
      <w:r w:rsidRPr="006905CE">
        <w:rPr>
          <w:rFonts w:ascii="Arial" w:hAnsi="Arial" w:cs="Arial"/>
          <w:color w:val="000000"/>
          <w:sz w:val="22"/>
          <w:szCs w:val="22"/>
          <w:shd w:val="clear" w:color="auto" w:fill="FFFFFF"/>
        </w:rPr>
        <w:lastRenderedPageBreak/>
        <w:t xml:space="preserve">an open-label, phase 3, </w:t>
      </w:r>
      <w:proofErr w:type="spellStart"/>
      <w:r w:rsidRPr="006905CE">
        <w:rPr>
          <w:rFonts w:ascii="Arial" w:hAnsi="Arial" w:cs="Arial"/>
          <w:color w:val="000000"/>
          <w:sz w:val="22"/>
          <w:szCs w:val="22"/>
          <w:shd w:val="clear" w:color="auto" w:fill="FFFFFF"/>
        </w:rPr>
        <w:t>randomised</w:t>
      </w:r>
      <w:proofErr w:type="spellEnd"/>
      <w:r w:rsidRPr="006905CE">
        <w:rPr>
          <w:rFonts w:ascii="Arial" w:hAnsi="Arial" w:cs="Arial"/>
          <w:color w:val="000000"/>
          <w:sz w:val="22"/>
          <w:szCs w:val="22"/>
          <w:shd w:val="clear" w:color="auto" w:fill="FFFFFF"/>
        </w:rPr>
        <w:t>, superiority trial. </w:t>
      </w:r>
      <w:r w:rsidRPr="006905CE">
        <w:rPr>
          <w:rFonts w:ascii="Arial" w:hAnsi="Arial" w:cs="Arial"/>
          <w:i/>
          <w:iCs/>
          <w:color w:val="000000"/>
          <w:sz w:val="22"/>
          <w:szCs w:val="22"/>
          <w:shd w:val="clear" w:color="auto" w:fill="FFFFFF"/>
        </w:rPr>
        <w:t>Lancet Oncol</w:t>
      </w:r>
      <w:r w:rsidRPr="006905CE">
        <w:rPr>
          <w:rFonts w:ascii="Arial" w:hAnsi="Arial" w:cs="Arial"/>
          <w:color w:val="000000"/>
          <w:sz w:val="22"/>
          <w:szCs w:val="22"/>
          <w:shd w:val="clear" w:color="auto" w:fill="FFFFFF"/>
        </w:rPr>
        <w:t>. 2017;18(8):1116-1125.</w:t>
      </w:r>
    </w:p>
    <w:p w14:paraId="74D46C1B" w14:textId="77777777" w:rsidR="00F700AB" w:rsidRPr="006905CE" w:rsidRDefault="00F700AB" w:rsidP="006905CE">
      <w:pPr>
        <w:numPr>
          <w:ilvl w:val="0"/>
          <w:numId w:val="5"/>
        </w:numPr>
        <w:pBdr>
          <w:top w:val="nil"/>
          <w:left w:val="nil"/>
          <w:bottom w:val="nil"/>
          <w:right w:val="nil"/>
          <w:between w:val="nil"/>
        </w:pBdr>
        <w:spacing w:line="480" w:lineRule="auto"/>
        <w:ind w:left="714" w:hanging="357"/>
        <w:rPr>
          <w:rFonts w:ascii="Arial" w:eastAsia="Arial" w:hAnsi="Arial" w:cs="Arial"/>
          <w:color w:val="000000"/>
        </w:rPr>
      </w:pPr>
      <w:r w:rsidRPr="006905CE">
        <w:rPr>
          <w:rFonts w:ascii="Arial" w:hAnsi="Arial" w:cs="Arial"/>
          <w:color w:val="000000"/>
        </w:rPr>
        <w:t xml:space="preserve">Accessed online at: </w:t>
      </w:r>
      <w:hyperlink r:id="rId8" w:anchor=":~:text=19.0%25%20of%20men%2C%202.0%25,and%2For%20smokeless%20tobacco)." w:history="1">
        <w:r w:rsidRPr="006905CE">
          <w:rPr>
            <w:rStyle w:val="Hyperlink"/>
            <w:rFonts w:ascii="Arial" w:hAnsi="Arial" w:cs="Arial"/>
          </w:rPr>
          <w:t>https://www.who.int/tobacco/surveillance/survey/gats/GATS_India_2016-17_FactSheet.pdf?ua=1#:~:text=19.0%25%20of%20men%2C%202.0%25,and%2For%20smokeless%20tobacco).</w:t>
        </w:r>
      </w:hyperlink>
      <w:r w:rsidRPr="006905CE">
        <w:rPr>
          <w:rFonts w:ascii="Arial" w:hAnsi="Arial" w:cs="Arial"/>
        </w:rPr>
        <w:t xml:space="preserve"> Last accessed on 30</w:t>
      </w:r>
      <w:r w:rsidRPr="006905CE">
        <w:rPr>
          <w:rFonts w:ascii="Arial" w:hAnsi="Arial" w:cs="Arial"/>
          <w:vertAlign w:val="superscript"/>
        </w:rPr>
        <w:t>th</w:t>
      </w:r>
      <w:r w:rsidRPr="006905CE">
        <w:rPr>
          <w:rFonts w:ascii="Arial" w:hAnsi="Arial" w:cs="Arial"/>
        </w:rPr>
        <w:t xml:space="preserve"> July 2020</w:t>
      </w:r>
    </w:p>
    <w:p w14:paraId="2CC062BF" w14:textId="1F0D0439" w:rsidR="00BA474C" w:rsidRPr="006905CE" w:rsidRDefault="00F700AB" w:rsidP="006905CE">
      <w:pPr>
        <w:numPr>
          <w:ilvl w:val="0"/>
          <w:numId w:val="5"/>
        </w:numPr>
        <w:pBdr>
          <w:top w:val="nil"/>
          <w:left w:val="nil"/>
          <w:bottom w:val="nil"/>
          <w:right w:val="nil"/>
          <w:between w:val="nil"/>
        </w:pBdr>
        <w:spacing w:line="480" w:lineRule="auto"/>
        <w:ind w:left="714" w:hanging="357"/>
        <w:rPr>
          <w:rFonts w:ascii="Arial" w:eastAsia="Arial" w:hAnsi="Arial" w:cs="Arial"/>
          <w:color w:val="000000"/>
        </w:rPr>
      </w:pPr>
      <w:r w:rsidRPr="006905CE">
        <w:rPr>
          <w:rFonts w:ascii="Arial" w:hAnsi="Arial" w:cs="Arial"/>
          <w:color w:val="212121"/>
          <w:shd w:val="clear" w:color="auto" w:fill="FFFFFF"/>
        </w:rPr>
        <w:t>Noronha V, Dikshit R, Raut N, et al. Epidemiology of lung cancer in India: focus on the differences between non-smokers and smokers: a single-</w:t>
      </w:r>
      <w:proofErr w:type="spellStart"/>
      <w:r w:rsidRPr="006905CE">
        <w:rPr>
          <w:rFonts w:ascii="Arial" w:hAnsi="Arial" w:cs="Arial"/>
          <w:color w:val="212121"/>
          <w:shd w:val="clear" w:color="auto" w:fill="FFFFFF"/>
        </w:rPr>
        <w:t>centre</w:t>
      </w:r>
      <w:proofErr w:type="spellEnd"/>
      <w:r w:rsidRPr="006905CE">
        <w:rPr>
          <w:rFonts w:ascii="Arial" w:hAnsi="Arial" w:cs="Arial"/>
          <w:color w:val="212121"/>
          <w:shd w:val="clear" w:color="auto" w:fill="FFFFFF"/>
        </w:rPr>
        <w:t xml:space="preserve"> experience. Indian J Cancer. </w:t>
      </w:r>
      <w:proofErr w:type="gramStart"/>
      <w:r w:rsidRPr="006905CE">
        <w:rPr>
          <w:rFonts w:ascii="Arial" w:hAnsi="Arial" w:cs="Arial"/>
          <w:color w:val="212121"/>
          <w:shd w:val="clear" w:color="auto" w:fill="FFFFFF"/>
        </w:rPr>
        <w:t>2012;49:74</w:t>
      </w:r>
      <w:proofErr w:type="gramEnd"/>
      <w:r w:rsidRPr="006905CE">
        <w:rPr>
          <w:rFonts w:ascii="Arial" w:hAnsi="Arial" w:cs="Arial"/>
          <w:color w:val="212121"/>
          <w:shd w:val="clear" w:color="auto" w:fill="FFFFFF"/>
        </w:rPr>
        <w:t>-81</w:t>
      </w:r>
    </w:p>
    <w:p w14:paraId="5167C36A" w14:textId="501C92E6" w:rsidR="00CF46CB" w:rsidRPr="006905CE" w:rsidRDefault="00CF46CB" w:rsidP="006905CE">
      <w:pPr>
        <w:numPr>
          <w:ilvl w:val="0"/>
          <w:numId w:val="5"/>
        </w:numPr>
        <w:pBdr>
          <w:top w:val="nil"/>
          <w:left w:val="nil"/>
          <w:bottom w:val="nil"/>
          <w:right w:val="nil"/>
          <w:between w:val="nil"/>
        </w:pBdr>
        <w:spacing w:line="480" w:lineRule="auto"/>
        <w:ind w:left="714" w:hanging="357"/>
        <w:rPr>
          <w:rFonts w:ascii="Arial" w:eastAsia="Arial" w:hAnsi="Arial" w:cs="Arial"/>
          <w:color w:val="000000"/>
        </w:rPr>
      </w:pPr>
      <w:r w:rsidRPr="006905CE">
        <w:rPr>
          <w:rFonts w:ascii="Arial" w:hAnsi="Arial" w:cs="Arial"/>
          <w:color w:val="212121"/>
          <w:shd w:val="clear" w:color="auto" w:fill="FFFFFF"/>
        </w:rPr>
        <w:t xml:space="preserve">Noronha V, </w:t>
      </w:r>
      <w:proofErr w:type="spellStart"/>
      <w:r w:rsidRPr="006905CE">
        <w:rPr>
          <w:rFonts w:ascii="Arial" w:hAnsi="Arial" w:cs="Arial"/>
          <w:color w:val="212121"/>
          <w:shd w:val="clear" w:color="auto" w:fill="FFFFFF"/>
        </w:rPr>
        <w:t>Chougule</w:t>
      </w:r>
      <w:proofErr w:type="spellEnd"/>
      <w:r w:rsidRPr="006905CE">
        <w:rPr>
          <w:rFonts w:ascii="Arial" w:hAnsi="Arial" w:cs="Arial"/>
          <w:color w:val="212121"/>
          <w:shd w:val="clear" w:color="auto" w:fill="FFFFFF"/>
        </w:rPr>
        <w:t xml:space="preserve"> A, Joshi A, Kumar R, Patil VM, </w:t>
      </w:r>
      <w:proofErr w:type="spellStart"/>
      <w:r w:rsidRPr="006905CE">
        <w:rPr>
          <w:rFonts w:ascii="Arial" w:hAnsi="Arial" w:cs="Arial"/>
          <w:color w:val="212121"/>
          <w:shd w:val="clear" w:color="auto" w:fill="FFFFFF"/>
        </w:rPr>
        <w:t>Prabhash</w:t>
      </w:r>
      <w:proofErr w:type="spellEnd"/>
      <w:r w:rsidRPr="006905CE">
        <w:rPr>
          <w:rFonts w:ascii="Arial" w:hAnsi="Arial" w:cs="Arial"/>
          <w:color w:val="212121"/>
          <w:shd w:val="clear" w:color="auto" w:fill="FFFFFF"/>
        </w:rPr>
        <w:t xml:space="preserve"> K. Epidermal Growth Factor Receptor Mutation in Small Cell Lung Cancer Patients in an Indian Tertiary Care Oncology Hospital: Incidence and Clinical Outcome. Clin Oncol (R Coll </w:t>
      </w:r>
      <w:proofErr w:type="spellStart"/>
      <w:r w:rsidRPr="006905CE">
        <w:rPr>
          <w:rFonts w:ascii="Arial" w:hAnsi="Arial" w:cs="Arial"/>
          <w:color w:val="212121"/>
          <w:shd w:val="clear" w:color="auto" w:fill="FFFFFF"/>
        </w:rPr>
        <w:t>Radiol</w:t>
      </w:r>
      <w:proofErr w:type="spellEnd"/>
      <w:r w:rsidRPr="006905CE">
        <w:rPr>
          <w:rFonts w:ascii="Arial" w:hAnsi="Arial" w:cs="Arial"/>
          <w:color w:val="212121"/>
          <w:shd w:val="clear" w:color="auto" w:fill="FFFFFF"/>
        </w:rPr>
        <w:t>). 2016;28(5):342-343.</w:t>
      </w:r>
    </w:p>
    <w:p w14:paraId="733C6DD3" w14:textId="61DF1436" w:rsidR="00F35594" w:rsidRPr="002150AE" w:rsidRDefault="00F35594" w:rsidP="006905CE">
      <w:pPr>
        <w:numPr>
          <w:ilvl w:val="0"/>
          <w:numId w:val="5"/>
        </w:numPr>
        <w:pBdr>
          <w:top w:val="nil"/>
          <w:left w:val="nil"/>
          <w:bottom w:val="nil"/>
          <w:right w:val="nil"/>
          <w:between w:val="nil"/>
        </w:pBdr>
        <w:spacing w:line="480" w:lineRule="auto"/>
        <w:ind w:left="714" w:hanging="357"/>
        <w:rPr>
          <w:rFonts w:ascii="Arial" w:eastAsia="Arial" w:hAnsi="Arial" w:cs="Arial"/>
          <w:color w:val="000000"/>
        </w:rPr>
      </w:pPr>
      <w:r w:rsidRPr="006905CE">
        <w:rPr>
          <w:rFonts w:ascii="Arial" w:hAnsi="Arial" w:cs="Arial"/>
          <w:color w:val="1F1F3F"/>
        </w:rPr>
        <w:t xml:space="preserve">Noronha V, Ramaswamy A, </w:t>
      </w:r>
      <w:proofErr w:type="spellStart"/>
      <w:r w:rsidRPr="006905CE">
        <w:rPr>
          <w:rFonts w:ascii="Arial" w:hAnsi="Arial" w:cs="Arial"/>
          <w:color w:val="1F1F3F"/>
        </w:rPr>
        <w:t>Dhekle</w:t>
      </w:r>
      <w:proofErr w:type="spellEnd"/>
      <w:r w:rsidRPr="006905CE">
        <w:rPr>
          <w:rFonts w:ascii="Arial" w:hAnsi="Arial" w:cs="Arial"/>
          <w:color w:val="1F1F3F"/>
        </w:rPr>
        <w:t xml:space="preserve"> R, </w:t>
      </w:r>
      <w:r w:rsidR="00EE27D0">
        <w:rPr>
          <w:rFonts w:ascii="Arial" w:hAnsi="Arial" w:cs="Arial"/>
          <w:color w:val="1F1F3F"/>
        </w:rPr>
        <w:t>et al</w:t>
      </w:r>
      <w:r w:rsidRPr="006905CE">
        <w:rPr>
          <w:rFonts w:ascii="Arial" w:hAnsi="Arial" w:cs="Arial"/>
          <w:color w:val="1F1F3F"/>
        </w:rPr>
        <w:t xml:space="preserve">. Initial experience of a geriatric oncology clinic in a tertiary cancer center in India. Cancer Res Stat Treat </w:t>
      </w:r>
      <w:proofErr w:type="gramStart"/>
      <w:r w:rsidRPr="006905CE">
        <w:rPr>
          <w:rFonts w:ascii="Arial" w:hAnsi="Arial" w:cs="Arial"/>
          <w:color w:val="1F1F3F"/>
        </w:rPr>
        <w:t>2020;3:208</w:t>
      </w:r>
      <w:proofErr w:type="gramEnd"/>
      <w:r w:rsidRPr="006905CE">
        <w:rPr>
          <w:rFonts w:ascii="Arial" w:hAnsi="Arial" w:cs="Arial"/>
          <w:color w:val="1F1F3F"/>
        </w:rPr>
        <w:t>-17</w:t>
      </w:r>
      <w:r w:rsidR="00B90EC4">
        <w:rPr>
          <w:rFonts w:ascii="Arial" w:hAnsi="Arial" w:cs="Arial"/>
          <w:color w:val="1F1F3F"/>
        </w:rPr>
        <w:t>.</w:t>
      </w:r>
    </w:p>
    <w:p w14:paraId="23558486" w14:textId="489FC7A4" w:rsidR="00297FF4" w:rsidRPr="00B90EC4" w:rsidRDefault="00EE27D0" w:rsidP="006905CE">
      <w:pPr>
        <w:numPr>
          <w:ilvl w:val="0"/>
          <w:numId w:val="5"/>
        </w:numPr>
        <w:pBdr>
          <w:top w:val="nil"/>
          <w:left w:val="nil"/>
          <w:bottom w:val="nil"/>
          <w:right w:val="nil"/>
          <w:between w:val="nil"/>
        </w:pBdr>
        <w:spacing w:line="480" w:lineRule="auto"/>
        <w:ind w:left="714" w:hanging="357"/>
        <w:rPr>
          <w:rFonts w:ascii="Arial" w:eastAsia="Arial" w:hAnsi="Arial" w:cs="Arial"/>
          <w:color w:val="000000"/>
        </w:rPr>
      </w:pPr>
      <w:r w:rsidRPr="002150AE">
        <w:rPr>
          <w:rFonts w:ascii="Arial" w:hAnsi="Arial" w:cs="Arial"/>
          <w:color w:val="000000"/>
          <w:shd w:val="clear" w:color="auto" w:fill="FFFFFF"/>
        </w:rPr>
        <w:t>Noronha V, Patil VM, Joshi A, et al. Gefitinib Versus Gefitinib Plus Pemetrexed and Carboplatin Chemotherapy in </w:t>
      </w:r>
      <w:r w:rsidRPr="002150AE">
        <w:rPr>
          <w:rFonts w:ascii="Arial" w:hAnsi="Arial" w:cs="Arial"/>
          <w:i/>
          <w:iCs/>
          <w:color w:val="000000"/>
          <w:shd w:val="clear" w:color="auto" w:fill="FFFFFF"/>
        </w:rPr>
        <w:t>EGFR</w:t>
      </w:r>
      <w:r w:rsidRPr="002150AE">
        <w:rPr>
          <w:rFonts w:ascii="Arial" w:hAnsi="Arial" w:cs="Arial"/>
          <w:color w:val="000000"/>
          <w:shd w:val="clear" w:color="auto" w:fill="FFFFFF"/>
        </w:rPr>
        <w:t xml:space="preserve">-Mutated Lung Cancer. J Clin Oncol </w:t>
      </w:r>
      <w:proofErr w:type="gramStart"/>
      <w:r w:rsidRPr="002150AE">
        <w:rPr>
          <w:rFonts w:ascii="Arial" w:hAnsi="Arial" w:cs="Arial"/>
          <w:color w:val="000000"/>
          <w:shd w:val="clear" w:color="auto" w:fill="FFFFFF"/>
        </w:rPr>
        <w:t>2020;38:124</w:t>
      </w:r>
      <w:proofErr w:type="gramEnd"/>
      <w:r w:rsidRPr="002150AE">
        <w:rPr>
          <w:rFonts w:ascii="Arial" w:hAnsi="Arial" w:cs="Arial"/>
          <w:color w:val="000000"/>
          <w:shd w:val="clear" w:color="auto" w:fill="FFFFFF"/>
        </w:rPr>
        <w:t>-136. </w:t>
      </w:r>
    </w:p>
    <w:p w14:paraId="40B959AE" w14:textId="77777777" w:rsidR="00CA0A75" w:rsidRDefault="00CA0A75">
      <w:pPr>
        <w:spacing w:after="0" w:line="480" w:lineRule="auto"/>
        <w:rPr>
          <w:rFonts w:ascii="Arial" w:eastAsia="Arial" w:hAnsi="Arial" w:cs="Arial"/>
        </w:rPr>
      </w:pPr>
    </w:p>
    <w:p w14:paraId="21B238FC" w14:textId="77777777" w:rsidR="00CA0A75" w:rsidRDefault="002D2DFC">
      <w:pPr>
        <w:spacing w:after="0" w:line="480" w:lineRule="auto"/>
        <w:rPr>
          <w:rFonts w:ascii="Arial" w:eastAsia="Arial" w:hAnsi="Arial" w:cs="Arial"/>
        </w:rPr>
      </w:pPr>
      <w:r>
        <w:rPr>
          <w:rFonts w:ascii="Arial" w:eastAsia="Arial" w:hAnsi="Arial" w:cs="Arial"/>
          <w:b/>
        </w:rPr>
        <w:t>Figure and table legends</w:t>
      </w:r>
      <w:r>
        <w:rPr>
          <w:rFonts w:ascii="Arial" w:eastAsia="Arial" w:hAnsi="Arial" w:cs="Arial"/>
        </w:rPr>
        <w:t>:</w:t>
      </w:r>
    </w:p>
    <w:p w14:paraId="4D40EE0B" w14:textId="32D84C6C" w:rsidR="00CA0A75" w:rsidRDefault="002D2DFC">
      <w:pPr>
        <w:spacing w:after="0" w:line="480" w:lineRule="auto"/>
        <w:rPr>
          <w:rFonts w:ascii="Arial" w:eastAsia="Arial" w:hAnsi="Arial" w:cs="Arial"/>
        </w:rPr>
      </w:pPr>
      <w:r>
        <w:rPr>
          <w:rFonts w:ascii="Arial" w:eastAsia="Arial" w:hAnsi="Arial" w:cs="Arial"/>
          <w:b/>
        </w:rPr>
        <w:t>Figure 1</w:t>
      </w:r>
      <w:r>
        <w:rPr>
          <w:rFonts w:ascii="Arial" w:eastAsia="Arial" w:hAnsi="Arial" w:cs="Arial"/>
        </w:rPr>
        <w:t xml:space="preserve">: The flowchart of patients evaluated and enrolled on the </w:t>
      </w:r>
      <w:r w:rsidR="009018DC">
        <w:rPr>
          <w:rFonts w:ascii="Arial" w:eastAsia="Arial" w:hAnsi="Arial" w:cs="Arial"/>
        </w:rPr>
        <w:t>small cell lung cancer</w:t>
      </w:r>
      <w:r>
        <w:rPr>
          <w:rFonts w:ascii="Arial" w:eastAsia="Arial" w:hAnsi="Arial" w:cs="Arial"/>
        </w:rPr>
        <w:t xml:space="preserve"> poor performance status observational study.</w:t>
      </w:r>
    </w:p>
    <w:p w14:paraId="75F1C1BC" w14:textId="4B23E399" w:rsidR="0026145D" w:rsidRDefault="002D2DFC" w:rsidP="0026145D">
      <w:pPr>
        <w:spacing w:after="0" w:line="480" w:lineRule="auto"/>
        <w:rPr>
          <w:rFonts w:ascii="Arial" w:eastAsia="Arial" w:hAnsi="Arial" w:cs="Arial"/>
        </w:rPr>
      </w:pPr>
      <w:r>
        <w:rPr>
          <w:rFonts w:ascii="Arial" w:eastAsia="Arial" w:hAnsi="Arial" w:cs="Arial"/>
          <w:b/>
        </w:rPr>
        <w:t>Figure 2</w:t>
      </w:r>
      <w:r>
        <w:rPr>
          <w:rFonts w:ascii="Arial" w:eastAsia="Arial" w:hAnsi="Arial" w:cs="Arial"/>
        </w:rPr>
        <w:t xml:space="preserve">: </w:t>
      </w:r>
      <w:r w:rsidR="003A2A30">
        <w:rPr>
          <w:rFonts w:ascii="Arial" w:eastAsia="Arial" w:hAnsi="Arial" w:cs="Arial"/>
        </w:rPr>
        <w:t>The o</w:t>
      </w:r>
      <w:r w:rsidR="0026145D">
        <w:rPr>
          <w:rFonts w:ascii="Arial" w:eastAsia="Arial" w:hAnsi="Arial" w:cs="Arial"/>
        </w:rPr>
        <w:t xml:space="preserve">verall survival </w:t>
      </w:r>
      <w:r w:rsidR="00BD7643">
        <w:rPr>
          <w:rFonts w:ascii="Arial" w:eastAsia="Arial" w:hAnsi="Arial" w:cs="Arial"/>
        </w:rPr>
        <w:t xml:space="preserve">(OS) </w:t>
      </w:r>
      <w:r w:rsidR="0026145D">
        <w:rPr>
          <w:rFonts w:ascii="Arial" w:eastAsia="Arial" w:hAnsi="Arial" w:cs="Arial"/>
        </w:rPr>
        <w:t xml:space="preserve">for patients with small cell lung carcinoma and poor performance status (PS 3 or 4), who received any chemotherapy versus best supportive care (BSC). The median OS for the patients who received any chemotherapy was </w:t>
      </w:r>
      <w:r w:rsidR="0026145D">
        <w:rPr>
          <w:rFonts w:ascii="Arial" w:eastAsia="Arial" w:hAnsi="Arial" w:cs="Arial"/>
        </w:rPr>
        <w:lastRenderedPageBreak/>
        <w:t>significantly longer at 6 months (95% CI</w:t>
      </w:r>
      <w:r w:rsidR="0026145D" w:rsidRPr="00341E45">
        <w:rPr>
          <w:rFonts w:ascii="Arial" w:eastAsia="Arial" w:hAnsi="Arial" w:cs="Arial"/>
        </w:rPr>
        <w:t>, 4.</w:t>
      </w:r>
      <w:r w:rsidR="00341E45">
        <w:rPr>
          <w:rFonts w:ascii="Arial" w:eastAsia="Arial" w:hAnsi="Arial" w:cs="Arial"/>
        </w:rPr>
        <w:t>8</w:t>
      </w:r>
      <w:r w:rsidR="0026145D" w:rsidRPr="00341E45">
        <w:rPr>
          <w:rFonts w:ascii="Arial" w:eastAsia="Arial" w:hAnsi="Arial" w:cs="Arial"/>
        </w:rPr>
        <w:t>–7.</w:t>
      </w:r>
      <w:r w:rsidR="00341E45">
        <w:rPr>
          <w:rFonts w:ascii="Arial" w:eastAsia="Arial" w:hAnsi="Arial" w:cs="Arial"/>
        </w:rPr>
        <w:t>2</w:t>
      </w:r>
      <w:r w:rsidR="0026145D" w:rsidRPr="00341E45">
        <w:rPr>
          <w:rFonts w:ascii="Arial" w:eastAsia="Arial" w:hAnsi="Arial" w:cs="Arial"/>
        </w:rPr>
        <w:t>)  compared to 1 month (95% CI, 0</w:t>
      </w:r>
      <w:r w:rsidR="00B67312">
        <w:rPr>
          <w:rFonts w:ascii="Arial" w:eastAsia="Arial" w:hAnsi="Arial" w:cs="Arial"/>
        </w:rPr>
        <w:t>.4</w:t>
      </w:r>
      <w:r w:rsidR="0026145D" w:rsidRPr="00341E45">
        <w:rPr>
          <w:rFonts w:ascii="Arial" w:eastAsia="Arial" w:hAnsi="Arial" w:cs="Arial"/>
        </w:rPr>
        <w:t>-1</w:t>
      </w:r>
      <w:r w:rsidR="00B67312">
        <w:rPr>
          <w:rFonts w:ascii="Arial" w:eastAsia="Arial" w:hAnsi="Arial" w:cs="Arial"/>
        </w:rPr>
        <w:t>.6</w:t>
      </w:r>
      <w:r w:rsidR="0026145D" w:rsidRPr="00341E45">
        <w:rPr>
          <w:rFonts w:ascii="Arial" w:eastAsia="Arial" w:hAnsi="Arial" w:cs="Arial"/>
        </w:rPr>
        <w:t>) in</w:t>
      </w:r>
      <w:r w:rsidR="0026145D">
        <w:rPr>
          <w:rFonts w:ascii="Arial" w:eastAsia="Arial" w:hAnsi="Arial" w:cs="Arial"/>
        </w:rPr>
        <w:t xml:space="preserve"> patients who were managed with BSC, P</w:t>
      </w:r>
      <w:r w:rsidR="0026145D">
        <w:rPr>
          <w:rFonts w:ascii="Arial" w:eastAsia="Arial" w:hAnsi="Arial" w:cs="Arial"/>
          <w:i/>
        </w:rPr>
        <w:t xml:space="preserve"> </w:t>
      </w:r>
      <w:r w:rsidR="0026145D">
        <w:rPr>
          <w:rFonts w:ascii="Arial" w:eastAsia="Arial" w:hAnsi="Arial" w:cs="Arial"/>
        </w:rPr>
        <w:t xml:space="preserve">&lt; 0.001; hazard ratio, </w:t>
      </w:r>
      <w:r w:rsidR="0026145D" w:rsidRPr="00B67312">
        <w:rPr>
          <w:rFonts w:ascii="Arial" w:eastAsia="Arial" w:hAnsi="Arial" w:cs="Arial"/>
        </w:rPr>
        <w:t>0.3</w:t>
      </w:r>
      <w:r w:rsidR="00B67312">
        <w:rPr>
          <w:rFonts w:ascii="Arial" w:eastAsia="Arial" w:hAnsi="Arial" w:cs="Arial"/>
        </w:rPr>
        <w:t>9</w:t>
      </w:r>
      <w:r w:rsidR="0026145D" w:rsidRPr="00B67312">
        <w:rPr>
          <w:rFonts w:ascii="Arial" w:eastAsia="Arial" w:hAnsi="Arial" w:cs="Arial"/>
        </w:rPr>
        <w:t xml:space="preserve"> (95% CI, 0.2</w:t>
      </w:r>
      <w:r w:rsidR="00B67312">
        <w:rPr>
          <w:rFonts w:ascii="Arial" w:eastAsia="Arial" w:hAnsi="Arial" w:cs="Arial"/>
        </w:rPr>
        <w:t>7</w:t>
      </w:r>
      <w:r w:rsidR="0026145D" w:rsidRPr="00B67312">
        <w:rPr>
          <w:rFonts w:ascii="Arial" w:eastAsia="Arial" w:hAnsi="Arial" w:cs="Arial"/>
        </w:rPr>
        <w:t xml:space="preserve"> - 0.5</w:t>
      </w:r>
      <w:r w:rsidR="00B67312">
        <w:rPr>
          <w:rFonts w:ascii="Arial" w:eastAsia="Arial" w:hAnsi="Arial" w:cs="Arial"/>
        </w:rPr>
        <w:t>6</w:t>
      </w:r>
      <w:r w:rsidR="0026145D" w:rsidRPr="00B67312">
        <w:rPr>
          <w:rFonts w:ascii="Arial" w:eastAsia="Arial" w:hAnsi="Arial" w:cs="Arial"/>
        </w:rPr>
        <w:t>).</w:t>
      </w:r>
    </w:p>
    <w:p w14:paraId="0E45CFDC" w14:textId="6E373E88" w:rsidR="003942A5" w:rsidRDefault="003942A5" w:rsidP="003942A5">
      <w:pPr>
        <w:spacing w:after="0" w:line="480" w:lineRule="auto"/>
        <w:rPr>
          <w:rFonts w:ascii="Arial" w:eastAsia="Arial" w:hAnsi="Arial" w:cs="Arial"/>
        </w:rPr>
      </w:pPr>
      <w:r w:rsidRPr="003942A5">
        <w:rPr>
          <w:rFonts w:ascii="Arial" w:eastAsia="Arial" w:hAnsi="Arial" w:cs="Arial"/>
          <w:b/>
          <w:bCs/>
        </w:rPr>
        <w:t>Figure S</w:t>
      </w:r>
      <w:r w:rsidR="00C376BE">
        <w:rPr>
          <w:rFonts w:ascii="Arial" w:eastAsia="Arial" w:hAnsi="Arial" w:cs="Arial"/>
          <w:b/>
          <w:bCs/>
        </w:rPr>
        <w:t>1</w:t>
      </w:r>
      <w:r>
        <w:rPr>
          <w:rFonts w:ascii="Arial" w:eastAsia="Arial" w:hAnsi="Arial" w:cs="Arial"/>
        </w:rPr>
        <w:t xml:space="preserve">: </w:t>
      </w:r>
      <w:r w:rsidR="00DF2D11">
        <w:rPr>
          <w:rFonts w:ascii="Arial" w:eastAsia="Arial" w:hAnsi="Arial" w:cs="Arial"/>
        </w:rPr>
        <w:t>The o</w:t>
      </w:r>
      <w:r>
        <w:rPr>
          <w:rFonts w:ascii="Arial" w:eastAsia="Arial" w:hAnsi="Arial" w:cs="Arial"/>
        </w:rPr>
        <w:t xml:space="preserve">verall survival </w:t>
      </w:r>
      <w:r w:rsidR="00851580">
        <w:rPr>
          <w:rFonts w:ascii="Arial" w:eastAsia="Arial" w:hAnsi="Arial" w:cs="Arial"/>
        </w:rPr>
        <w:t xml:space="preserve">(OS) </w:t>
      </w:r>
      <w:r>
        <w:rPr>
          <w:rFonts w:ascii="Arial" w:eastAsia="Arial" w:hAnsi="Arial" w:cs="Arial"/>
        </w:rPr>
        <w:t xml:space="preserve">for patients with small cell lung carcinoma and poor performance status (PS 3 or 4), who received an initial attenuated chemotherapy regimen versus those who received upfront standard full dose chemotherapy. There was no significant difference in the median OS of the patients who received an initial attenuated chemotherapy regimen </w:t>
      </w:r>
      <w:r w:rsidRPr="005509FB">
        <w:rPr>
          <w:rFonts w:ascii="Arial" w:eastAsia="Arial" w:hAnsi="Arial" w:cs="Arial"/>
        </w:rPr>
        <w:t>(median OS</w:t>
      </w:r>
      <w:r w:rsidR="00C60FC4" w:rsidRPr="005509FB">
        <w:rPr>
          <w:rFonts w:ascii="Arial" w:eastAsia="Arial" w:hAnsi="Arial" w:cs="Arial"/>
        </w:rPr>
        <w:t xml:space="preserve">, </w:t>
      </w:r>
      <w:r w:rsidR="00246BF7">
        <w:rPr>
          <w:rFonts w:ascii="Arial" w:eastAsia="Arial" w:hAnsi="Arial" w:cs="Arial"/>
        </w:rPr>
        <w:t>6</w:t>
      </w:r>
      <w:r w:rsidRPr="005509FB">
        <w:rPr>
          <w:rFonts w:ascii="Arial" w:eastAsia="Arial" w:hAnsi="Arial" w:cs="Arial"/>
        </w:rPr>
        <w:t xml:space="preserve"> months</w:t>
      </w:r>
      <w:r w:rsidR="00C60FC4" w:rsidRPr="005509FB">
        <w:rPr>
          <w:rFonts w:ascii="Arial" w:eastAsia="Arial" w:hAnsi="Arial" w:cs="Arial"/>
        </w:rPr>
        <w:t>;</w:t>
      </w:r>
      <w:r w:rsidRPr="005509FB">
        <w:rPr>
          <w:rFonts w:ascii="Arial" w:eastAsia="Arial" w:hAnsi="Arial" w:cs="Arial"/>
        </w:rPr>
        <w:t xml:space="preserve"> 95% CI, </w:t>
      </w:r>
      <w:r w:rsidR="00246BF7">
        <w:rPr>
          <w:rFonts w:ascii="Arial" w:eastAsia="Arial" w:hAnsi="Arial" w:cs="Arial"/>
        </w:rPr>
        <w:t>4</w:t>
      </w:r>
      <w:r w:rsidRPr="005509FB">
        <w:rPr>
          <w:rFonts w:ascii="Arial" w:eastAsia="Arial" w:hAnsi="Arial" w:cs="Arial"/>
        </w:rPr>
        <w:t>.</w:t>
      </w:r>
      <w:r w:rsidR="00246BF7">
        <w:rPr>
          <w:rFonts w:ascii="Arial" w:eastAsia="Arial" w:hAnsi="Arial" w:cs="Arial"/>
        </w:rPr>
        <w:t>5</w:t>
      </w:r>
      <w:r w:rsidRPr="005509FB">
        <w:rPr>
          <w:rFonts w:ascii="Arial" w:eastAsia="Arial" w:hAnsi="Arial" w:cs="Arial"/>
        </w:rPr>
        <w:t xml:space="preserve"> to </w:t>
      </w:r>
      <w:r w:rsidR="00246BF7">
        <w:rPr>
          <w:rFonts w:ascii="Arial" w:eastAsia="Arial" w:hAnsi="Arial" w:cs="Arial"/>
        </w:rPr>
        <w:t>7</w:t>
      </w:r>
      <w:r w:rsidRPr="005509FB">
        <w:rPr>
          <w:rFonts w:ascii="Arial" w:eastAsia="Arial" w:hAnsi="Arial" w:cs="Arial"/>
        </w:rPr>
        <w:t>.</w:t>
      </w:r>
      <w:r w:rsidR="00246BF7">
        <w:rPr>
          <w:rFonts w:ascii="Arial" w:eastAsia="Arial" w:hAnsi="Arial" w:cs="Arial"/>
        </w:rPr>
        <w:t>6</w:t>
      </w:r>
      <w:r w:rsidRPr="005509FB">
        <w:rPr>
          <w:rFonts w:ascii="Arial" w:eastAsia="Arial" w:hAnsi="Arial" w:cs="Arial"/>
        </w:rPr>
        <w:t xml:space="preserve">) and those who were started on upfront </w:t>
      </w:r>
      <w:r w:rsidR="00431F1A">
        <w:rPr>
          <w:rFonts w:ascii="Arial" w:eastAsia="Arial" w:hAnsi="Arial" w:cs="Arial"/>
        </w:rPr>
        <w:t xml:space="preserve">standard </w:t>
      </w:r>
      <w:r w:rsidRPr="005509FB">
        <w:rPr>
          <w:rFonts w:ascii="Arial" w:eastAsia="Arial" w:hAnsi="Arial" w:cs="Arial"/>
        </w:rPr>
        <w:t>full-dose chemotherapy (median OS</w:t>
      </w:r>
      <w:r w:rsidR="00C60FC4" w:rsidRPr="005509FB">
        <w:rPr>
          <w:rFonts w:ascii="Arial" w:eastAsia="Arial" w:hAnsi="Arial" w:cs="Arial"/>
        </w:rPr>
        <w:t xml:space="preserve">, </w:t>
      </w:r>
      <w:r w:rsidRPr="005509FB">
        <w:rPr>
          <w:rFonts w:ascii="Arial" w:eastAsia="Arial" w:hAnsi="Arial" w:cs="Arial"/>
        </w:rPr>
        <w:t>8 months</w:t>
      </w:r>
      <w:r w:rsidR="00C60FC4" w:rsidRPr="005509FB">
        <w:rPr>
          <w:rFonts w:ascii="Arial" w:eastAsia="Arial" w:hAnsi="Arial" w:cs="Arial"/>
        </w:rPr>
        <w:t>;</w:t>
      </w:r>
      <w:r w:rsidRPr="005509FB">
        <w:rPr>
          <w:rFonts w:ascii="Arial" w:eastAsia="Arial" w:hAnsi="Arial" w:cs="Arial"/>
        </w:rPr>
        <w:t xml:space="preserve"> 95% CI, 5.</w:t>
      </w:r>
      <w:r w:rsidR="00431F1A">
        <w:rPr>
          <w:rFonts w:ascii="Arial" w:eastAsia="Arial" w:hAnsi="Arial" w:cs="Arial"/>
        </w:rPr>
        <w:t>6</w:t>
      </w:r>
      <w:r w:rsidRPr="005509FB">
        <w:rPr>
          <w:rFonts w:ascii="Arial" w:eastAsia="Arial" w:hAnsi="Arial" w:cs="Arial"/>
        </w:rPr>
        <w:t>-10.</w:t>
      </w:r>
      <w:r w:rsidR="00431F1A">
        <w:rPr>
          <w:rFonts w:ascii="Arial" w:eastAsia="Arial" w:hAnsi="Arial" w:cs="Arial"/>
        </w:rPr>
        <w:t>4</w:t>
      </w:r>
      <w:r w:rsidRPr="005509FB">
        <w:rPr>
          <w:rFonts w:ascii="Arial" w:eastAsia="Arial" w:hAnsi="Arial" w:cs="Arial"/>
        </w:rPr>
        <w:t>)</w:t>
      </w:r>
      <w:r w:rsidR="00FE1549" w:rsidRPr="005509FB">
        <w:rPr>
          <w:rFonts w:ascii="Arial" w:eastAsia="Arial" w:hAnsi="Arial" w:cs="Arial"/>
        </w:rPr>
        <w:t>;</w:t>
      </w:r>
      <w:r w:rsidRPr="005509FB">
        <w:rPr>
          <w:rFonts w:ascii="Arial" w:eastAsia="Arial" w:hAnsi="Arial" w:cs="Arial"/>
        </w:rPr>
        <w:t xml:space="preserve"> </w:t>
      </w:r>
      <w:r w:rsidR="00431F1A">
        <w:rPr>
          <w:rFonts w:ascii="Arial" w:eastAsia="Arial" w:hAnsi="Arial" w:cs="Arial"/>
        </w:rPr>
        <w:t>P=</w:t>
      </w:r>
      <w:r w:rsidRPr="005509FB">
        <w:rPr>
          <w:rFonts w:ascii="Arial" w:eastAsia="Arial" w:hAnsi="Arial" w:cs="Arial"/>
        </w:rPr>
        <w:t>0.</w:t>
      </w:r>
      <w:r w:rsidR="00431F1A">
        <w:rPr>
          <w:rFonts w:ascii="Arial" w:eastAsia="Arial" w:hAnsi="Arial" w:cs="Arial"/>
        </w:rPr>
        <w:t>09</w:t>
      </w:r>
      <w:r w:rsidR="00AF65D3">
        <w:rPr>
          <w:rFonts w:ascii="Arial" w:eastAsia="Arial" w:hAnsi="Arial" w:cs="Arial"/>
        </w:rPr>
        <w:t>.</w:t>
      </w:r>
      <w:r w:rsidRPr="005509FB">
        <w:rPr>
          <w:rFonts w:ascii="Arial" w:eastAsia="Arial" w:hAnsi="Arial" w:cs="Arial"/>
        </w:rPr>
        <w:t xml:space="preserve"> </w:t>
      </w:r>
    </w:p>
    <w:p w14:paraId="14B12EEC" w14:textId="4BC31552" w:rsidR="00C376BE" w:rsidRDefault="00C376BE" w:rsidP="00C376BE">
      <w:pPr>
        <w:spacing w:after="0" w:line="480" w:lineRule="auto"/>
        <w:rPr>
          <w:rFonts w:ascii="Arial" w:eastAsia="Arial" w:hAnsi="Arial" w:cs="Arial"/>
        </w:rPr>
      </w:pPr>
      <w:r w:rsidRPr="001319FD">
        <w:rPr>
          <w:rFonts w:ascii="Arial" w:eastAsia="Arial" w:hAnsi="Arial" w:cs="Arial"/>
          <w:b/>
          <w:bCs/>
        </w:rPr>
        <w:t xml:space="preserve">Figure </w:t>
      </w:r>
      <w:r>
        <w:rPr>
          <w:rFonts w:ascii="Arial" w:eastAsia="Arial" w:hAnsi="Arial" w:cs="Arial"/>
          <w:b/>
          <w:bCs/>
        </w:rPr>
        <w:t>S</w:t>
      </w:r>
      <w:r w:rsidR="00810E8D">
        <w:rPr>
          <w:rFonts w:ascii="Arial" w:eastAsia="Arial" w:hAnsi="Arial" w:cs="Arial"/>
          <w:b/>
          <w:bCs/>
        </w:rPr>
        <w:t>2</w:t>
      </w:r>
      <w:r w:rsidRPr="001319FD">
        <w:rPr>
          <w:rFonts w:ascii="Arial" w:eastAsia="Arial" w:hAnsi="Arial" w:cs="Arial"/>
        </w:rPr>
        <w:t xml:space="preserve">: </w:t>
      </w:r>
      <w:r>
        <w:rPr>
          <w:rFonts w:ascii="Arial" w:eastAsia="Arial" w:hAnsi="Arial" w:cs="Arial"/>
        </w:rPr>
        <w:t>Subgroup analysis of overall survival of patients with small cell lung carcinoma and poor performance status, evaluating the differential efficacy of chemotherapy versus best supportive care in various subgroups of patients. A hazard ratio of less than 1 implies a lower risk of death from chemotherapy as compared to best supportive care. PS, performance status; Brain Mets, Brain metastases, LDH, lactate dehydrogenase; BSC, best supportive care</w:t>
      </w:r>
    </w:p>
    <w:p w14:paraId="75B6976B" w14:textId="7139466A" w:rsidR="00CB2F0E" w:rsidRDefault="00CB2F0E">
      <w:pPr>
        <w:spacing w:after="0" w:line="480" w:lineRule="auto"/>
        <w:rPr>
          <w:rFonts w:ascii="Arial" w:eastAsia="Arial" w:hAnsi="Arial" w:cs="Arial"/>
        </w:rPr>
      </w:pPr>
    </w:p>
    <w:p w14:paraId="3FE7C552" w14:textId="5866E61C" w:rsidR="00CA0A75" w:rsidRDefault="002D2DFC">
      <w:pPr>
        <w:spacing w:after="0" w:line="480" w:lineRule="auto"/>
        <w:rPr>
          <w:rFonts w:ascii="Arial" w:eastAsia="Arial" w:hAnsi="Arial" w:cs="Arial"/>
        </w:rPr>
      </w:pPr>
      <w:r>
        <w:rPr>
          <w:rFonts w:ascii="Arial" w:eastAsia="Arial" w:hAnsi="Arial" w:cs="Arial"/>
          <w:b/>
        </w:rPr>
        <w:t>Table 1</w:t>
      </w:r>
      <w:r>
        <w:rPr>
          <w:rFonts w:ascii="Arial" w:eastAsia="Arial" w:hAnsi="Arial" w:cs="Arial"/>
        </w:rPr>
        <w:t xml:space="preserve">: Demographic details and baseline disease characteristics of the patients </w:t>
      </w:r>
      <w:r w:rsidR="0099657A">
        <w:rPr>
          <w:rFonts w:ascii="Arial" w:eastAsia="Arial" w:hAnsi="Arial" w:cs="Arial"/>
        </w:rPr>
        <w:t xml:space="preserve">with </w:t>
      </w:r>
      <w:r w:rsidR="00714499">
        <w:rPr>
          <w:rFonts w:ascii="Arial" w:eastAsia="Arial" w:hAnsi="Arial" w:cs="Arial"/>
        </w:rPr>
        <w:t>small cell lung carcinoma</w:t>
      </w:r>
      <w:r w:rsidR="0099657A">
        <w:rPr>
          <w:rFonts w:ascii="Arial" w:eastAsia="Arial" w:hAnsi="Arial" w:cs="Arial"/>
        </w:rPr>
        <w:t xml:space="preserve"> </w:t>
      </w:r>
      <w:r>
        <w:rPr>
          <w:rFonts w:ascii="Arial" w:eastAsia="Arial" w:hAnsi="Arial" w:cs="Arial"/>
        </w:rPr>
        <w:t>who presented with poor performance status.</w:t>
      </w:r>
    </w:p>
    <w:p w14:paraId="3989AAAA" w14:textId="7E96A000" w:rsidR="00CA0A75" w:rsidRDefault="002D2DFC">
      <w:pPr>
        <w:spacing w:after="0" w:line="480" w:lineRule="auto"/>
        <w:rPr>
          <w:rFonts w:ascii="Arial" w:eastAsia="Arial" w:hAnsi="Arial" w:cs="Arial"/>
        </w:rPr>
      </w:pPr>
      <w:r>
        <w:rPr>
          <w:rFonts w:ascii="Arial" w:eastAsia="Arial" w:hAnsi="Arial" w:cs="Arial"/>
          <w:b/>
        </w:rPr>
        <w:t>Table 2</w:t>
      </w:r>
      <w:r>
        <w:rPr>
          <w:rFonts w:ascii="Arial" w:eastAsia="Arial" w:hAnsi="Arial" w:cs="Arial"/>
        </w:rPr>
        <w:t xml:space="preserve">: Therapy details of patients </w:t>
      </w:r>
      <w:r w:rsidR="0099657A">
        <w:rPr>
          <w:rFonts w:ascii="Arial" w:eastAsia="Arial" w:hAnsi="Arial" w:cs="Arial"/>
        </w:rPr>
        <w:t xml:space="preserve">with </w:t>
      </w:r>
      <w:r w:rsidR="00CA1D50">
        <w:rPr>
          <w:rFonts w:ascii="Arial" w:eastAsia="Arial" w:hAnsi="Arial" w:cs="Arial"/>
        </w:rPr>
        <w:t>small cell lung carcinoma</w:t>
      </w:r>
      <w:r w:rsidR="0099657A">
        <w:rPr>
          <w:rFonts w:ascii="Arial" w:eastAsia="Arial" w:hAnsi="Arial" w:cs="Arial"/>
        </w:rPr>
        <w:t xml:space="preserve"> </w:t>
      </w:r>
      <w:r>
        <w:rPr>
          <w:rFonts w:ascii="Arial" w:eastAsia="Arial" w:hAnsi="Arial" w:cs="Arial"/>
        </w:rPr>
        <w:t>with poor performance status.</w:t>
      </w:r>
    </w:p>
    <w:p w14:paraId="7165075C" w14:textId="77777777" w:rsidR="00CA0A75" w:rsidRDefault="002D2DFC">
      <w:pPr>
        <w:spacing w:after="0" w:line="480" w:lineRule="auto"/>
        <w:rPr>
          <w:rFonts w:ascii="Arial" w:eastAsia="Arial" w:hAnsi="Arial" w:cs="Arial"/>
        </w:rPr>
      </w:pPr>
      <w:r>
        <w:rPr>
          <w:rFonts w:ascii="Arial" w:eastAsia="Arial" w:hAnsi="Arial" w:cs="Arial"/>
          <w:b/>
        </w:rPr>
        <w:t>Table 3</w:t>
      </w:r>
      <w:r>
        <w:rPr>
          <w:rFonts w:ascii="Arial" w:eastAsia="Arial" w:hAnsi="Arial" w:cs="Arial"/>
        </w:rPr>
        <w:t xml:space="preserve">: The demographics and baseline disease characteristics of the patients grouped according to the initial therapy-Best supportive care, attenuated </w:t>
      </w:r>
      <w:proofErr w:type="gramStart"/>
      <w:r>
        <w:rPr>
          <w:rFonts w:ascii="Arial" w:eastAsia="Arial" w:hAnsi="Arial" w:cs="Arial"/>
        </w:rPr>
        <w:t>chemotherapy</w:t>
      </w:r>
      <w:proofErr w:type="gramEnd"/>
      <w:r>
        <w:rPr>
          <w:rFonts w:ascii="Arial" w:eastAsia="Arial" w:hAnsi="Arial" w:cs="Arial"/>
        </w:rPr>
        <w:t xml:space="preserve"> and standard full-dose chemotherapy.</w:t>
      </w:r>
    </w:p>
    <w:p w14:paraId="4BD838D3" w14:textId="09F24153" w:rsidR="00CA0A75" w:rsidRDefault="002D2DFC">
      <w:pPr>
        <w:spacing w:after="0" w:line="480" w:lineRule="auto"/>
        <w:rPr>
          <w:rFonts w:ascii="Arial" w:eastAsia="Arial" w:hAnsi="Arial" w:cs="Arial"/>
        </w:rPr>
      </w:pPr>
      <w:r>
        <w:rPr>
          <w:rFonts w:ascii="Arial" w:eastAsia="Arial" w:hAnsi="Arial" w:cs="Arial"/>
          <w:b/>
        </w:rPr>
        <w:t xml:space="preserve">Table </w:t>
      </w:r>
      <w:r w:rsidR="005F78C2">
        <w:rPr>
          <w:rFonts w:ascii="Arial" w:eastAsia="Arial" w:hAnsi="Arial" w:cs="Arial"/>
          <w:b/>
        </w:rPr>
        <w:t>S1</w:t>
      </w:r>
      <w:r w:rsidR="004F5D3D">
        <w:rPr>
          <w:rFonts w:ascii="Arial" w:eastAsia="Arial" w:hAnsi="Arial" w:cs="Arial"/>
          <w:b/>
        </w:rPr>
        <w:t>:</w:t>
      </w:r>
      <w:r>
        <w:rPr>
          <w:rFonts w:ascii="Arial" w:eastAsia="Arial" w:hAnsi="Arial" w:cs="Arial"/>
        </w:rPr>
        <w:t xml:space="preserve"> Toxicity of attenuated chemotherapy in patients </w:t>
      </w:r>
      <w:r w:rsidR="0099657A">
        <w:rPr>
          <w:rFonts w:ascii="Arial" w:eastAsia="Arial" w:hAnsi="Arial" w:cs="Arial"/>
        </w:rPr>
        <w:t xml:space="preserve">with </w:t>
      </w:r>
      <w:r w:rsidR="00C579FD">
        <w:rPr>
          <w:rFonts w:ascii="Arial" w:eastAsia="Arial" w:hAnsi="Arial" w:cs="Arial"/>
        </w:rPr>
        <w:t>small cell lung carcinoma</w:t>
      </w:r>
      <w:r w:rsidR="0099657A">
        <w:rPr>
          <w:rFonts w:ascii="Arial" w:eastAsia="Arial" w:hAnsi="Arial" w:cs="Arial"/>
        </w:rPr>
        <w:t xml:space="preserve"> </w:t>
      </w:r>
      <w:r>
        <w:rPr>
          <w:rFonts w:ascii="Arial" w:eastAsia="Arial" w:hAnsi="Arial" w:cs="Arial"/>
        </w:rPr>
        <w:t xml:space="preserve">with poor </w:t>
      </w:r>
      <w:r w:rsidR="00B7540F">
        <w:rPr>
          <w:rFonts w:ascii="Arial" w:eastAsia="Arial" w:hAnsi="Arial" w:cs="Arial"/>
        </w:rPr>
        <w:t>performance status</w:t>
      </w:r>
      <w:r>
        <w:rPr>
          <w:rFonts w:ascii="Arial" w:eastAsia="Arial" w:hAnsi="Arial" w:cs="Arial"/>
        </w:rPr>
        <w:t xml:space="preserve"> (</w:t>
      </w:r>
      <w:r>
        <w:rPr>
          <w:rFonts w:ascii="Arial" w:eastAsia="Arial" w:hAnsi="Arial" w:cs="Arial"/>
          <w:i/>
        </w:rPr>
        <w:t>n</w:t>
      </w:r>
      <w:r>
        <w:rPr>
          <w:rFonts w:ascii="Arial" w:eastAsia="Arial" w:hAnsi="Arial" w:cs="Arial"/>
        </w:rPr>
        <w:t>=111; of the 131 patients who received attenuated chemotherapy, toxicity details were available in 111)</w:t>
      </w:r>
    </w:p>
    <w:p w14:paraId="4108DFC7" w14:textId="6056BB5A" w:rsidR="00CA0A75" w:rsidRDefault="002D2DFC">
      <w:pPr>
        <w:spacing w:after="0" w:line="480" w:lineRule="auto"/>
        <w:rPr>
          <w:rFonts w:ascii="Arial" w:eastAsia="Arial" w:hAnsi="Arial" w:cs="Arial"/>
        </w:rPr>
      </w:pPr>
      <w:r>
        <w:rPr>
          <w:rFonts w:ascii="Arial" w:eastAsia="Arial" w:hAnsi="Arial" w:cs="Arial"/>
          <w:b/>
        </w:rPr>
        <w:lastRenderedPageBreak/>
        <w:t>Table S</w:t>
      </w:r>
      <w:r w:rsidR="005F78C2">
        <w:rPr>
          <w:rFonts w:ascii="Arial" w:eastAsia="Arial" w:hAnsi="Arial" w:cs="Arial"/>
          <w:b/>
        </w:rPr>
        <w:t>2</w:t>
      </w:r>
      <w:r>
        <w:rPr>
          <w:rFonts w:ascii="Arial" w:eastAsia="Arial" w:hAnsi="Arial" w:cs="Arial"/>
        </w:rPr>
        <w:t xml:space="preserve">: Toxicity of standard chemotherapy in patients </w:t>
      </w:r>
      <w:r w:rsidR="0099657A">
        <w:rPr>
          <w:rFonts w:ascii="Arial" w:eastAsia="Arial" w:hAnsi="Arial" w:cs="Arial"/>
        </w:rPr>
        <w:t xml:space="preserve">with </w:t>
      </w:r>
      <w:r w:rsidR="00B549F9">
        <w:rPr>
          <w:rFonts w:ascii="Arial" w:eastAsia="Arial" w:hAnsi="Arial" w:cs="Arial"/>
        </w:rPr>
        <w:t>small cell lung carcinoma</w:t>
      </w:r>
      <w:r w:rsidR="0099657A">
        <w:rPr>
          <w:rFonts w:ascii="Arial" w:eastAsia="Arial" w:hAnsi="Arial" w:cs="Arial"/>
        </w:rPr>
        <w:t xml:space="preserve"> </w:t>
      </w:r>
      <w:r w:rsidR="00B549F9">
        <w:rPr>
          <w:rFonts w:ascii="Arial" w:eastAsia="Arial" w:hAnsi="Arial" w:cs="Arial"/>
        </w:rPr>
        <w:t>and</w:t>
      </w:r>
      <w:r>
        <w:rPr>
          <w:rFonts w:ascii="Arial" w:eastAsia="Arial" w:hAnsi="Arial" w:cs="Arial"/>
        </w:rPr>
        <w:t xml:space="preserve"> poor </w:t>
      </w:r>
      <w:r w:rsidR="00B549F9">
        <w:rPr>
          <w:rFonts w:ascii="Arial" w:eastAsia="Arial" w:hAnsi="Arial" w:cs="Arial"/>
        </w:rPr>
        <w:t>performance status</w:t>
      </w:r>
      <w:r>
        <w:rPr>
          <w:rFonts w:ascii="Arial" w:eastAsia="Arial" w:hAnsi="Arial" w:cs="Arial"/>
        </w:rPr>
        <w:t xml:space="preserve"> (</w:t>
      </w:r>
      <w:r>
        <w:rPr>
          <w:rFonts w:ascii="Arial" w:eastAsia="Arial" w:hAnsi="Arial" w:cs="Arial"/>
          <w:i/>
        </w:rPr>
        <w:t>n</w:t>
      </w:r>
      <w:r>
        <w:rPr>
          <w:rFonts w:ascii="Arial" w:eastAsia="Arial" w:hAnsi="Arial" w:cs="Arial"/>
        </w:rPr>
        <w:t>=76; of the 91 patients who received standard chemotherapy, 15 patients received chemotherapy at local hospitals and toxicity details were not available)</w:t>
      </w:r>
    </w:p>
    <w:p w14:paraId="0C7DA911" w14:textId="3C7506EA" w:rsidR="00CA0A75" w:rsidRDefault="002D2DFC">
      <w:pPr>
        <w:spacing w:after="0" w:line="480" w:lineRule="auto"/>
        <w:rPr>
          <w:rFonts w:ascii="Arial" w:eastAsia="Arial" w:hAnsi="Arial" w:cs="Arial"/>
        </w:rPr>
      </w:pPr>
      <w:r>
        <w:rPr>
          <w:rFonts w:ascii="Arial" w:eastAsia="Arial" w:hAnsi="Arial" w:cs="Arial"/>
          <w:b/>
        </w:rPr>
        <w:t>Table S</w:t>
      </w:r>
      <w:r w:rsidR="005F78C2">
        <w:rPr>
          <w:rFonts w:ascii="Arial" w:eastAsia="Arial" w:hAnsi="Arial" w:cs="Arial"/>
          <w:b/>
        </w:rPr>
        <w:t>3</w:t>
      </w:r>
      <w:r>
        <w:rPr>
          <w:rFonts w:ascii="Arial" w:eastAsia="Arial" w:hAnsi="Arial" w:cs="Arial"/>
        </w:rPr>
        <w:t>: Multivariate analysis to evaluate the factors that impact</w:t>
      </w:r>
      <w:r w:rsidR="003F58E1">
        <w:rPr>
          <w:rFonts w:ascii="Arial" w:eastAsia="Arial" w:hAnsi="Arial" w:cs="Arial"/>
        </w:rPr>
        <w:t>ed the</w:t>
      </w:r>
      <w:r>
        <w:rPr>
          <w:rFonts w:ascii="Arial" w:eastAsia="Arial" w:hAnsi="Arial" w:cs="Arial"/>
        </w:rPr>
        <w:t xml:space="preserve"> overall survival in patients </w:t>
      </w:r>
      <w:r w:rsidR="0099657A">
        <w:rPr>
          <w:rFonts w:ascii="Arial" w:eastAsia="Arial" w:hAnsi="Arial" w:cs="Arial"/>
        </w:rPr>
        <w:t xml:space="preserve">with </w:t>
      </w:r>
      <w:r w:rsidR="00D25198">
        <w:rPr>
          <w:rFonts w:ascii="Arial" w:eastAsia="Arial" w:hAnsi="Arial" w:cs="Arial"/>
        </w:rPr>
        <w:t>small cell lung carcinoma</w:t>
      </w:r>
      <w:r w:rsidR="0099657A">
        <w:rPr>
          <w:rFonts w:ascii="Arial" w:eastAsia="Arial" w:hAnsi="Arial" w:cs="Arial"/>
        </w:rPr>
        <w:t xml:space="preserve"> and </w:t>
      </w:r>
      <w:r>
        <w:rPr>
          <w:rFonts w:ascii="Arial" w:eastAsia="Arial" w:hAnsi="Arial" w:cs="Arial"/>
        </w:rPr>
        <w:t>poor performance status, i.e. PS 3 or 4.</w:t>
      </w:r>
    </w:p>
    <w:p w14:paraId="4BCBA780" w14:textId="77777777" w:rsidR="00CA0A75" w:rsidRDefault="00CA0A75">
      <w:pPr>
        <w:spacing w:after="0" w:line="480" w:lineRule="auto"/>
        <w:rPr>
          <w:rFonts w:ascii="Arial" w:eastAsia="Arial" w:hAnsi="Arial" w:cs="Arial"/>
        </w:rPr>
      </w:pPr>
    </w:p>
    <w:p w14:paraId="5EE5A76D" w14:textId="77777777" w:rsidR="00CA0A75" w:rsidRDefault="002D2DFC">
      <w:pPr>
        <w:spacing w:after="0" w:line="480" w:lineRule="auto"/>
        <w:rPr>
          <w:rFonts w:ascii="Arial" w:eastAsia="Arial" w:hAnsi="Arial" w:cs="Arial"/>
        </w:rPr>
      </w:pPr>
      <w:r>
        <w:rPr>
          <w:rFonts w:ascii="Arial" w:eastAsia="Arial" w:hAnsi="Arial" w:cs="Arial"/>
          <w:b/>
        </w:rPr>
        <w:t>Tables</w:t>
      </w:r>
      <w:r>
        <w:rPr>
          <w:rFonts w:ascii="Arial" w:eastAsia="Arial" w:hAnsi="Arial" w:cs="Arial"/>
        </w:rPr>
        <w:t>:</w:t>
      </w:r>
    </w:p>
    <w:p w14:paraId="2B54D6D7" w14:textId="70971C11" w:rsidR="00CA0A75" w:rsidRDefault="002D2DFC">
      <w:pPr>
        <w:spacing w:line="480" w:lineRule="auto"/>
        <w:rPr>
          <w:rFonts w:ascii="Arial" w:eastAsia="Arial" w:hAnsi="Arial" w:cs="Arial"/>
        </w:rPr>
      </w:pPr>
      <w:r>
        <w:rPr>
          <w:rFonts w:ascii="Arial" w:eastAsia="Arial" w:hAnsi="Arial" w:cs="Arial"/>
          <w:b/>
        </w:rPr>
        <w:t>Table 1</w:t>
      </w:r>
      <w:r>
        <w:rPr>
          <w:rFonts w:ascii="Arial" w:eastAsia="Arial" w:hAnsi="Arial" w:cs="Arial"/>
        </w:rPr>
        <w:t xml:space="preserve">: Demographic details and baseline disease characteristics of the patients </w:t>
      </w:r>
      <w:r w:rsidR="0099657A">
        <w:rPr>
          <w:rFonts w:ascii="Arial" w:eastAsia="Arial" w:hAnsi="Arial" w:cs="Arial"/>
        </w:rPr>
        <w:t xml:space="preserve">with </w:t>
      </w:r>
      <w:r w:rsidR="00592DCA">
        <w:rPr>
          <w:rFonts w:ascii="Arial" w:eastAsia="Arial" w:hAnsi="Arial" w:cs="Arial"/>
        </w:rPr>
        <w:t>small cell lung carcinoma</w:t>
      </w:r>
      <w:r w:rsidR="0099657A">
        <w:rPr>
          <w:rFonts w:ascii="Arial" w:eastAsia="Arial" w:hAnsi="Arial" w:cs="Arial"/>
        </w:rPr>
        <w:t xml:space="preserve"> </w:t>
      </w:r>
      <w:r>
        <w:rPr>
          <w:rFonts w:ascii="Arial" w:eastAsia="Arial" w:hAnsi="Arial" w:cs="Arial"/>
        </w:rPr>
        <w:t>who presented with poor performance status.</w:t>
      </w:r>
    </w:p>
    <w:tbl>
      <w:tblPr>
        <w:tblStyle w:val="a3"/>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3148"/>
      </w:tblGrid>
      <w:tr w:rsidR="00CA0A75" w14:paraId="6C58325E" w14:textId="77777777">
        <w:tc>
          <w:tcPr>
            <w:tcW w:w="5778" w:type="dxa"/>
          </w:tcPr>
          <w:p w14:paraId="70C2D290" w14:textId="77777777" w:rsidR="00CA0A75" w:rsidRDefault="002D2DFC">
            <w:pPr>
              <w:pStyle w:val="Heading2"/>
              <w:spacing w:line="480" w:lineRule="auto"/>
              <w:jc w:val="left"/>
              <w:outlineLvl w:val="1"/>
              <w:rPr>
                <w:rFonts w:ascii="Arial" w:eastAsia="Arial" w:hAnsi="Arial" w:cs="Arial"/>
              </w:rPr>
            </w:pPr>
            <w:r>
              <w:rPr>
                <w:rFonts w:ascii="Arial" w:eastAsia="Arial" w:hAnsi="Arial" w:cs="Arial"/>
              </w:rPr>
              <w:t>Demographic characteristic</w:t>
            </w:r>
          </w:p>
        </w:tc>
        <w:tc>
          <w:tcPr>
            <w:tcW w:w="3148" w:type="dxa"/>
          </w:tcPr>
          <w:p w14:paraId="7D14E40E" w14:textId="77777777" w:rsidR="00CA0A75" w:rsidRDefault="002D2DFC">
            <w:pPr>
              <w:spacing w:line="480" w:lineRule="auto"/>
              <w:rPr>
                <w:rFonts w:ascii="Arial" w:eastAsia="Arial" w:hAnsi="Arial" w:cs="Arial"/>
              </w:rPr>
            </w:pPr>
            <w:r>
              <w:rPr>
                <w:rFonts w:ascii="Arial" w:eastAsia="Arial" w:hAnsi="Arial" w:cs="Arial"/>
              </w:rPr>
              <w:t xml:space="preserve">Patients-number (%) </w:t>
            </w:r>
          </w:p>
          <w:p w14:paraId="257DF622" w14:textId="77777777" w:rsidR="00CA0A75" w:rsidRDefault="002D2DFC">
            <w:pPr>
              <w:spacing w:line="480" w:lineRule="auto"/>
              <w:rPr>
                <w:rFonts w:ascii="Arial" w:eastAsia="Arial" w:hAnsi="Arial" w:cs="Arial"/>
              </w:rPr>
            </w:pPr>
            <w:r>
              <w:rPr>
                <w:rFonts w:ascii="Arial" w:eastAsia="Arial" w:hAnsi="Arial" w:cs="Arial"/>
              </w:rPr>
              <w:t>N=234</w:t>
            </w:r>
          </w:p>
        </w:tc>
      </w:tr>
      <w:tr w:rsidR="00CA0A75" w14:paraId="364B63DB" w14:textId="77777777">
        <w:tc>
          <w:tcPr>
            <w:tcW w:w="5778" w:type="dxa"/>
          </w:tcPr>
          <w:p w14:paraId="0E912CF3" w14:textId="77777777" w:rsidR="00CA0A75" w:rsidRDefault="002D2DFC">
            <w:pPr>
              <w:spacing w:line="480" w:lineRule="auto"/>
              <w:rPr>
                <w:rFonts w:ascii="Arial" w:eastAsia="Arial" w:hAnsi="Arial" w:cs="Arial"/>
              </w:rPr>
            </w:pPr>
            <w:r>
              <w:rPr>
                <w:rFonts w:ascii="Arial" w:eastAsia="Arial" w:hAnsi="Arial" w:cs="Arial"/>
              </w:rPr>
              <w:t>Age in years: Median (range)</w:t>
            </w:r>
          </w:p>
        </w:tc>
        <w:tc>
          <w:tcPr>
            <w:tcW w:w="3148" w:type="dxa"/>
          </w:tcPr>
          <w:p w14:paraId="72760FDC" w14:textId="77777777" w:rsidR="00CA0A75" w:rsidRDefault="002D2DFC">
            <w:pPr>
              <w:spacing w:line="480" w:lineRule="auto"/>
              <w:rPr>
                <w:rFonts w:ascii="Arial" w:eastAsia="Arial" w:hAnsi="Arial" w:cs="Arial"/>
              </w:rPr>
            </w:pPr>
            <w:r>
              <w:rPr>
                <w:rFonts w:ascii="Arial" w:eastAsia="Arial" w:hAnsi="Arial" w:cs="Arial"/>
              </w:rPr>
              <w:t>60 (22-89)</w:t>
            </w:r>
          </w:p>
        </w:tc>
      </w:tr>
      <w:tr w:rsidR="00CA0A75" w14:paraId="4967D1CC" w14:textId="77777777">
        <w:tc>
          <w:tcPr>
            <w:tcW w:w="5778" w:type="dxa"/>
          </w:tcPr>
          <w:p w14:paraId="3959C357" w14:textId="2FCBF406" w:rsidR="00CA0A75" w:rsidRDefault="00951D02" w:rsidP="00493948">
            <w:pPr>
              <w:spacing w:line="480" w:lineRule="auto"/>
              <w:rPr>
                <w:rFonts w:ascii="Arial" w:eastAsia="Arial" w:hAnsi="Arial" w:cs="Arial"/>
              </w:rPr>
            </w:pPr>
            <w:r>
              <w:rPr>
                <w:rFonts w:ascii="Arial" w:eastAsia="Arial" w:hAnsi="Arial" w:cs="Arial"/>
              </w:rPr>
              <w:t>Male sex</w:t>
            </w:r>
          </w:p>
        </w:tc>
        <w:tc>
          <w:tcPr>
            <w:tcW w:w="3148" w:type="dxa"/>
          </w:tcPr>
          <w:p w14:paraId="55CA3533" w14:textId="65B9E24B" w:rsidR="00CA0A75" w:rsidRDefault="00951D02" w:rsidP="00493948">
            <w:pPr>
              <w:spacing w:line="480" w:lineRule="auto"/>
              <w:rPr>
                <w:rFonts w:ascii="Arial" w:eastAsia="Arial" w:hAnsi="Arial" w:cs="Arial"/>
              </w:rPr>
            </w:pPr>
            <w:r>
              <w:rPr>
                <w:rFonts w:ascii="Arial" w:eastAsia="Arial" w:hAnsi="Arial" w:cs="Arial"/>
              </w:rPr>
              <w:t>1</w:t>
            </w:r>
            <w:r w:rsidR="002D2DFC">
              <w:rPr>
                <w:rFonts w:ascii="Arial" w:eastAsia="Arial" w:hAnsi="Arial" w:cs="Arial"/>
              </w:rPr>
              <w:t>94 (82.9)</w:t>
            </w:r>
          </w:p>
        </w:tc>
      </w:tr>
      <w:tr w:rsidR="00CA0A75" w14:paraId="631AECFB" w14:textId="77777777">
        <w:tc>
          <w:tcPr>
            <w:tcW w:w="5778" w:type="dxa"/>
          </w:tcPr>
          <w:p w14:paraId="2EE86B02" w14:textId="77777777" w:rsidR="00CA0A75" w:rsidRDefault="002D2DFC">
            <w:pPr>
              <w:spacing w:line="480" w:lineRule="auto"/>
              <w:rPr>
                <w:rFonts w:ascii="Arial" w:eastAsia="Arial" w:hAnsi="Arial" w:cs="Arial"/>
              </w:rPr>
            </w:pPr>
            <w:r>
              <w:rPr>
                <w:rFonts w:ascii="Arial" w:eastAsia="Arial" w:hAnsi="Arial" w:cs="Arial"/>
              </w:rPr>
              <w:t>Smoking history</w:t>
            </w:r>
          </w:p>
          <w:p w14:paraId="255DF4C9" w14:textId="40F8344A" w:rsidR="00CA0A75" w:rsidRDefault="002D2DFC">
            <w:pPr>
              <w:spacing w:line="480" w:lineRule="auto"/>
              <w:rPr>
                <w:rFonts w:ascii="Arial" w:eastAsia="Arial" w:hAnsi="Arial" w:cs="Arial"/>
              </w:rPr>
            </w:pPr>
            <w:r>
              <w:rPr>
                <w:rFonts w:ascii="Arial" w:eastAsia="Arial" w:hAnsi="Arial" w:cs="Arial"/>
              </w:rPr>
              <w:t xml:space="preserve">     Never-smoker </w:t>
            </w:r>
          </w:p>
          <w:p w14:paraId="20847A52" w14:textId="77777777" w:rsidR="00CA0A75" w:rsidRDefault="002D2DFC">
            <w:pPr>
              <w:spacing w:line="480" w:lineRule="auto"/>
              <w:rPr>
                <w:rFonts w:ascii="Arial" w:eastAsia="Arial" w:hAnsi="Arial" w:cs="Arial"/>
              </w:rPr>
            </w:pPr>
            <w:r>
              <w:rPr>
                <w:rFonts w:ascii="Arial" w:eastAsia="Arial" w:hAnsi="Arial" w:cs="Arial"/>
              </w:rPr>
              <w:t xml:space="preserve">     Former smoker, quit &gt; 3 months ago</w:t>
            </w:r>
          </w:p>
          <w:p w14:paraId="3C37BE6C" w14:textId="01558AAB" w:rsidR="00CA0A75" w:rsidRDefault="002D2DFC" w:rsidP="000A572E">
            <w:pPr>
              <w:spacing w:line="480" w:lineRule="auto"/>
              <w:rPr>
                <w:rFonts w:ascii="Arial" w:eastAsia="Arial" w:hAnsi="Arial" w:cs="Arial"/>
              </w:rPr>
            </w:pPr>
            <w:r>
              <w:rPr>
                <w:rFonts w:ascii="Arial" w:eastAsia="Arial" w:hAnsi="Arial" w:cs="Arial"/>
              </w:rPr>
              <w:t xml:space="preserve">     Current active smoker, or quit =/&lt; 3 months </w:t>
            </w:r>
            <w:r w:rsidR="00D4418B">
              <w:rPr>
                <w:rFonts w:ascii="Arial" w:eastAsia="Arial" w:hAnsi="Arial" w:cs="Arial"/>
              </w:rPr>
              <w:t>ago</w:t>
            </w:r>
            <w:r>
              <w:rPr>
                <w:rFonts w:ascii="Arial" w:eastAsia="Arial" w:hAnsi="Arial" w:cs="Arial"/>
              </w:rPr>
              <w:t xml:space="preserve">    </w:t>
            </w:r>
          </w:p>
        </w:tc>
        <w:tc>
          <w:tcPr>
            <w:tcW w:w="3148" w:type="dxa"/>
          </w:tcPr>
          <w:p w14:paraId="41910D33" w14:textId="77777777" w:rsidR="00CA0A75" w:rsidRDefault="00CA0A75">
            <w:pPr>
              <w:spacing w:line="480" w:lineRule="auto"/>
              <w:rPr>
                <w:rFonts w:ascii="Arial" w:eastAsia="Arial" w:hAnsi="Arial" w:cs="Arial"/>
              </w:rPr>
            </w:pPr>
          </w:p>
          <w:p w14:paraId="74B440CE" w14:textId="77777777" w:rsidR="00CA0A75" w:rsidRDefault="002D2DFC">
            <w:pPr>
              <w:spacing w:line="480" w:lineRule="auto"/>
              <w:rPr>
                <w:rFonts w:ascii="Arial" w:eastAsia="Arial" w:hAnsi="Arial" w:cs="Arial"/>
              </w:rPr>
            </w:pPr>
            <w:r>
              <w:rPr>
                <w:rFonts w:ascii="Arial" w:eastAsia="Arial" w:hAnsi="Arial" w:cs="Arial"/>
              </w:rPr>
              <w:t xml:space="preserve"> 23 (9.8) </w:t>
            </w:r>
          </w:p>
          <w:p w14:paraId="42271287" w14:textId="77777777" w:rsidR="00CA0A75" w:rsidRDefault="002D2DFC">
            <w:pPr>
              <w:spacing w:line="480" w:lineRule="auto"/>
              <w:rPr>
                <w:rFonts w:ascii="Arial" w:eastAsia="Arial" w:hAnsi="Arial" w:cs="Arial"/>
              </w:rPr>
            </w:pPr>
            <w:r>
              <w:rPr>
                <w:rFonts w:ascii="Arial" w:eastAsia="Arial" w:hAnsi="Arial" w:cs="Arial"/>
              </w:rPr>
              <w:t xml:space="preserve">53 (22.6) </w:t>
            </w:r>
          </w:p>
          <w:p w14:paraId="17A65516" w14:textId="542DF255" w:rsidR="00CA0A75" w:rsidRDefault="002D2DFC">
            <w:pPr>
              <w:spacing w:line="480" w:lineRule="auto"/>
              <w:rPr>
                <w:rFonts w:ascii="Arial" w:eastAsia="Arial" w:hAnsi="Arial" w:cs="Arial"/>
              </w:rPr>
            </w:pPr>
            <w:r>
              <w:rPr>
                <w:rFonts w:ascii="Arial" w:eastAsia="Arial" w:hAnsi="Arial" w:cs="Arial"/>
              </w:rPr>
              <w:t>106 (45.3)</w:t>
            </w:r>
          </w:p>
        </w:tc>
      </w:tr>
      <w:tr w:rsidR="00CA0A75" w14:paraId="6A9548B8" w14:textId="77777777">
        <w:tc>
          <w:tcPr>
            <w:tcW w:w="5778" w:type="dxa"/>
          </w:tcPr>
          <w:p w14:paraId="1B0237AC" w14:textId="77777777" w:rsidR="00CA0A75" w:rsidRDefault="002D2DFC">
            <w:pPr>
              <w:spacing w:line="480" w:lineRule="auto"/>
              <w:rPr>
                <w:rFonts w:ascii="Arial" w:eastAsia="Arial" w:hAnsi="Arial" w:cs="Arial"/>
              </w:rPr>
            </w:pPr>
            <w:r>
              <w:rPr>
                <w:rFonts w:ascii="Arial" w:eastAsia="Arial" w:hAnsi="Arial" w:cs="Arial"/>
              </w:rPr>
              <w:t>Comorbidities</w:t>
            </w:r>
          </w:p>
          <w:p w14:paraId="3F1E76D5" w14:textId="77777777" w:rsidR="00CA0A75" w:rsidRDefault="002D2DFC">
            <w:pPr>
              <w:spacing w:line="480" w:lineRule="auto"/>
              <w:rPr>
                <w:rFonts w:ascii="Arial" w:eastAsia="Arial" w:hAnsi="Arial" w:cs="Arial"/>
              </w:rPr>
            </w:pPr>
            <w:r>
              <w:rPr>
                <w:rFonts w:ascii="Arial" w:eastAsia="Arial" w:hAnsi="Arial" w:cs="Arial"/>
              </w:rPr>
              <w:t xml:space="preserve">     None</w:t>
            </w:r>
          </w:p>
          <w:p w14:paraId="65A91821" w14:textId="1D8C5BF0" w:rsidR="00CA0A75" w:rsidRDefault="002D2DFC">
            <w:pPr>
              <w:spacing w:line="480" w:lineRule="auto"/>
              <w:rPr>
                <w:rFonts w:ascii="Arial" w:eastAsia="Arial" w:hAnsi="Arial" w:cs="Arial"/>
              </w:rPr>
            </w:pPr>
            <w:r>
              <w:rPr>
                <w:rFonts w:ascii="Arial" w:eastAsia="Arial" w:hAnsi="Arial" w:cs="Arial"/>
              </w:rPr>
              <w:t xml:space="preserve">     </w:t>
            </w:r>
            <w:r w:rsidR="0087221E">
              <w:rPr>
                <w:rFonts w:ascii="Arial" w:eastAsia="Arial" w:hAnsi="Arial" w:cs="Arial"/>
              </w:rPr>
              <w:t xml:space="preserve">Present </w:t>
            </w:r>
          </w:p>
        </w:tc>
        <w:tc>
          <w:tcPr>
            <w:tcW w:w="3148" w:type="dxa"/>
          </w:tcPr>
          <w:p w14:paraId="230F92AA" w14:textId="77777777" w:rsidR="00CA0A75" w:rsidRDefault="00CA0A75">
            <w:pPr>
              <w:spacing w:line="480" w:lineRule="auto"/>
              <w:rPr>
                <w:rFonts w:ascii="Arial" w:eastAsia="Arial" w:hAnsi="Arial" w:cs="Arial"/>
              </w:rPr>
            </w:pPr>
          </w:p>
          <w:p w14:paraId="277A5415" w14:textId="77777777" w:rsidR="00CA0A75" w:rsidRDefault="002D2DFC">
            <w:pPr>
              <w:spacing w:line="480" w:lineRule="auto"/>
              <w:rPr>
                <w:rFonts w:ascii="Arial" w:eastAsia="Arial" w:hAnsi="Arial" w:cs="Arial"/>
              </w:rPr>
            </w:pPr>
            <w:r>
              <w:rPr>
                <w:rFonts w:ascii="Arial" w:eastAsia="Arial" w:hAnsi="Arial" w:cs="Arial"/>
              </w:rPr>
              <w:t>129 (55.1)</w:t>
            </w:r>
          </w:p>
          <w:p w14:paraId="70042891" w14:textId="36F05019" w:rsidR="00CA0A75" w:rsidRDefault="00985795">
            <w:pPr>
              <w:spacing w:line="480" w:lineRule="auto"/>
              <w:rPr>
                <w:rFonts w:ascii="Arial" w:eastAsia="Arial" w:hAnsi="Arial" w:cs="Arial"/>
              </w:rPr>
            </w:pPr>
            <w:r>
              <w:rPr>
                <w:rFonts w:ascii="Arial" w:eastAsia="Arial" w:hAnsi="Arial" w:cs="Arial"/>
              </w:rPr>
              <w:t>105 (44.8)</w:t>
            </w:r>
          </w:p>
        </w:tc>
      </w:tr>
      <w:tr w:rsidR="00CA0A75" w14:paraId="1ACE0B94" w14:textId="77777777">
        <w:tc>
          <w:tcPr>
            <w:tcW w:w="5778" w:type="dxa"/>
          </w:tcPr>
          <w:p w14:paraId="7C13B965" w14:textId="77777777" w:rsidR="00CA0A75" w:rsidRDefault="002D2DFC">
            <w:pPr>
              <w:spacing w:line="480" w:lineRule="auto"/>
              <w:rPr>
                <w:rFonts w:ascii="Arial" w:eastAsia="Arial" w:hAnsi="Arial" w:cs="Arial"/>
              </w:rPr>
            </w:pPr>
            <w:r>
              <w:rPr>
                <w:rFonts w:ascii="Arial" w:eastAsia="Arial" w:hAnsi="Arial" w:cs="Arial"/>
              </w:rPr>
              <w:t>Presenting symptoms</w:t>
            </w:r>
          </w:p>
          <w:p w14:paraId="1BBC4FE1" w14:textId="77777777" w:rsidR="00CA0A75" w:rsidRDefault="002D2DFC">
            <w:pPr>
              <w:spacing w:line="480" w:lineRule="auto"/>
              <w:rPr>
                <w:rFonts w:ascii="Arial" w:eastAsia="Arial" w:hAnsi="Arial" w:cs="Arial"/>
              </w:rPr>
            </w:pPr>
            <w:r>
              <w:rPr>
                <w:rFonts w:ascii="Arial" w:eastAsia="Arial" w:hAnsi="Arial" w:cs="Arial"/>
              </w:rPr>
              <w:t xml:space="preserve">     Shortness of breath</w:t>
            </w:r>
          </w:p>
          <w:p w14:paraId="22512BB4" w14:textId="77777777" w:rsidR="00CA0A75" w:rsidRDefault="002D2DFC">
            <w:pPr>
              <w:spacing w:line="480" w:lineRule="auto"/>
              <w:rPr>
                <w:rFonts w:ascii="Arial" w:eastAsia="Arial" w:hAnsi="Arial" w:cs="Arial"/>
              </w:rPr>
            </w:pPr>
            <w:r>
              <w:rPr>
                <w:rFonts w:ascii="Arial" w:eastAsia="Arial" w:hAnsi="Arial" w:cs="Arial"/>
              </w:rPr>
              <w:t xml:space="preserve">     Cough</w:t>
            </w:r>
          </w:p>
          <w:p w14:paraId="1F065E60" w14:textId="77777777" w:rsidR="00CA0A75" w:rsidRDefault="002D2DFC">
            <w:pPr>
              <w:spacing w:line="480" w:lineRule="auto"/>
              <w:rPr>
                <w:rFonts w:ascii="Arial" w:eastAsia="Arial" w:hAnsi="Arial" w:cs="Arial"/>
              </w:rPr>
            </w:pPr>
            <w:r>
              <w:rPr>
                <w:rFonts w:ascii="Arial" w:eastAsia="Arial" w:hAnsi="Arial" w:cs="Arial"/>
              </w:rPr>
              <w:t xml:space="preserve">     Chest pain</w:t>
            </w:r>
          </w:p>
          <w:p w14:paraId="7F75C791" w14:textId="6A947590" w:rsidR="00CA0A75" w:rsidRDefault="002D2DFC" w:rsidP="004556DE">
            <w:pPr>
              <w:spacing w:line="480" w:lineRule="auto"/>
              <w:rPr>
                <w:rFonts w:ascii="Arial" w:eastAsia="Arial" w:hAnsi="Arial" w:cs="Arial"/>
              </w:rPr>
            </w:pPr>
            <w:r>
              <w:rPr>
                <w:rFonts w:ascii="Arial" w:eastAsia="Arial" w:hAnsi="Arial" w:cs="Arial"/>
              </w:rPr>
              <w:t xml:space="preserve">     Anorexia/weight loss</w:t>
            </w:r>
          </w:p>
        </w:tc>
        <w:tc>
          <w:tcPr>
            <w:tcW w:w="3148" w:type="dxa"/>
          </w:tcPr>
          <w:p w14:paraId="6475F6D1" w14:textId="77777777" w:rsidR="00CA0A75" w:rsidRDefault="00CA0A75">
            <w:pPr>
              <w:spacing w:line="480" w:lineRule="auto"/>
              <w:rPr>
                <w:rFonts w:ascii="Arial" w:eastAsia="Arial" w:hAnsi="Arial" w:cs="Arial"/>
              </w:rPr>
            </w:pPr>
          </w:p>
          <w:p w14:paraId="1C8A948F" w14:textId="77777777" w:rsidR="00CA0A75" w:rsidRDefault="002D2DFC">
            <w:pPr>
              <w:spacing w:line="480" w:lineRule="auto"/>
              <w:rPr>
                <w:rFonts w:ascii="Arial" w:eastAsia="Arial" w:hAnsi="Arial" w:cs="Arial"/>
              </w:rPr>
            </w:pPr>
            <w:r>
              <w:rPr>
                <w:rFonts w:ascii="Arial" w:eastAsia="Arial" w:hAnsi="Arial" w:cs="Arial"/>
              </w:rPr>
              <w:t>149 (63.7)</w:t>
            </w:r>
          </w:p>
          <w:p w14:paraId="0B71E341" w14:textId="77777777" w:rsidR="00CA0A75" w:rsidRDefault="002D2DFC">
            <w:pPr>
              <w:spacing w:line="480" w:lineRule="auto"/>
              <w:rPr>
                <w:rFonts w:ascii="Arial" w:eastAsia="Arial" w:hAnsi="Arial" w:cs="Arial"/>
              </w:rPr>
            </w:pPr>
            <w:r>
              <w:rPr>
                <w:rFonts w:ascii="Arial" w:eastAsia="Arial" w:hAnsi="Arial" w:cs="Arial"/>
              </w:rPr>
              <w:t>146 (62.4)</w:t>
            </w:r>
          </w:p>
          <w:p w14:paraId="2B27FC06" w14:textId="77777777" w:rsidR="00CA0A75" w:rsidRDefault="002D2DFC">
            <w:pPr>
              <w:spacing w:line="480" w:lineRule="auto"/>
              <w:rPr>
                <w:rFonts w:ascii="Arial" w:eastAsia="Arial" w:hAnsi="Arial" w:cs="Arial"/>
              </w:rPr>
            </w:pPr>
            <w:r>
              <w:rPr>
                <w:rFonts w:ascii="Arial" w:eastAsia="Arial" w:hAnsi="Arial" w:cs="Arial"/>
              </w:rPr>
              <w:t>116 (49.6)</w:t>
            </w:r>
          </w:p>
          <w:p w14:paraId="70A23B68" w14:textId="45CD0FD7" w:rsidR="00CA0A75" w:rsidRDefault="002D2DFC">
            <w:pPr>
              <w:spacing w:line="480" w:lineRule="auto"/>
              <w:rPr>
                <w:rFonts w:ascii="Arial" w:eastAsia="Arial" w:hAnsi="Arial" w:cs="Arial"/>
              </w:rPr>
            </w:pPr>
            <w:r>
              <w:rPr>
                <w:rFonts w:ascii="Arial" w:eastAsia="Arial" w:hAnsi="Arial" w:cs="Arial"/>
              </w:rPr>
              <w:t>75 (32.1)</w:t>
            </w:r>
          </w:p>
        </w:tc>
      </w:tr>
      <w:tr w:rsidR="00CA0A75" w14:paraId="3AE81203" w14:textId="77777777">
        <w:tc>
          <w:tcPr>
            <w:tcW w:w="5778" w:type="dxa"/>
          </w:tcPr>
          <w:p w14:paraId="6D9EFDE9" w14:textId="77777777" w:rsidR="00CA0A75" w:rsidRDefault="002D2DFC">
            <w:pPr>
              <w:spacing w:line="480" w:lineRule="auto"/>
              <w:rPr>
                <w:rFonts w:ascii="Arial" w:eastAsia="Arial" w:hAnsi="Arial" w:cs="Arial"/>
              </w:rPr>
            </w:pPr>
            <w:r>
              <w:rPr>
                <w:rFonts w:ascii="Arial" w:eastAsia="Arial" w:hAnsi="Arial" w:cs="Arial"/>
              </w:rPr>
              <w:t>Baseline laboratory values-median (range)</w:t>
            </w:r>
          </w:p>
          <w:p w14:paraId="077FC8FC" w14:textId="77777777" w:rsidR="00CA0A75" w:rsidRDefault="002D2DFC">
            <w:pPr>
              <w:spacing w:line="480" w:lineRule="auto"/>
              <w:rPr>
                <w:rFonts w:ascii="Arial" w:eastAsia="Arial" w:hAnsi="Arial" w:cs="Arial"/>
              </w:rPr>
            </w:pPr>
            <w:r>
              <w:rPr>
                <w:rFonts w:ascii="Arial" w:eastAsia="Arial" w:hAnsi="Arial" w:cs="Arial"/>
              </w:rPr>
              <w:t xml:space="preserve">     Hemoglobin in g/dl</w:t>
            </w:r>
          </w:p>
          <w:p w14:paraId="6EA3DCD8" w14:textId="77777777" w:rsidR="00CA0A75" w:rsidRDefault="002D2DFC">
            <w:pPr>
              <w:spacing w:line="480" w:lineRule="auto"/>
              <w:rPr>
                <w:rFonts w:ascii="Arial" w:eastAsia="Arial" w:hAnsi="Arial" w:cs="Arial"/>
              </w:rPr>
            </w:pPr>
            <w:r>
              <w:rPr>
                <w:rFonts w:ascii="Arial" w:eastAsia="Arial" w:hAnsi="Arial" w:cs="Arial"/>
              </w:rPr>
              <w:lastRenderedPageBreak/>
              <w:t xml:space="preserve">     Calculated** glomerular filtration rate in cc/min</w:t>
            </w:r>
          </w:p>
          <w:p w14:paraId="077E21BF" w14:textId="77777777" w:rsidR="00CA0A75" w:rsidRDefault="002D2DFC">
            <w:pPr>
              <w:spacing w:line="480" w:lineRule="auto"/>
              <w:rPr>
                <w:rFonts w:ascii="Arial" w:eastAsia="Arial" w:hAnsi="Arial" w:cs="Arial"/>
              </w:rPr>
            </w:pPr>
            <w:r>
              <w:rPr>
                <w:rFonts w:ascii="Arial" w:eastAsia="Arial" w:hAnsi="Arial" w:cs="Arial"/>
              </w:rPr>
              <w:t xml:space="preserve">     Sodium in mmol/L</w:t>
            </w:r>
          </w:p>
          <w:p w14:paraId="0CE163DF" w14:textId="77777777" w:rsidR="00CA0A75" w:rsidRDefault="002D2DFC">
            <w:pPr>
              <w:spacing w:line="480" w:lineRule="auto"/>
              <w:rPr>
                <w:rFonts w:ascii="Arial" w:eastAsia="Arial" w:hAnsi="Arial" w:cs="Arial"/>
              </w:rPr>
            </w:pPr>
            <w:r>
              <w:rPr>
                <w:rFonts w:ascii="Arial" w:eastAsia="Arial" w:hAnsi="Arial" w:cs="Arial"/>
              </w:rPr>
              <w:t xml:space="preserve">     Lactate dehydrogenase in U/L</w:t>
            </w:r>
          </w:p>
        </w:tc>
        <w:tc>
          <w:tcPr>
            <w:tcW w:w="3148" w:type="dxa"/>
          </w:tcPr>
          <w:p w14:paraId="3DC1206D" w14:textId="77777777" w:rsidR="00CA0A75" w:rsidRDefault="00CA0A75">
            <w:pPr>
              <w:spacing w:line="480" w:lineRule="auto"/>
              <w:rPr>
                <w:rFonts w:ascii="Arial" w:eastAsia="Arial" w:hAnsi="Arial" w:cs="Arial"/>
              </w:rPr>
            </w:pPr>
          </w:p>
          <w:p w14:paraId="3505DB34" w14:textId="3243712E" w:rsidR="00CA0A75" w:rsidRDefault="002D2DFC">
            <w:pPr>
              <w:spacing w:line="480" w:lineRule="auto"/>
              <w:rPr>
                <w:rFonts w:ascii="Arial" w:eastAsia="Arial" w:hAnsi="Arial" w:cs="Arial"/>
              </w:rPr>
            </w:pPr>
            <w:r>
              <w:rPr>
                <w:rFonts w:ascii="Arial" w:eastAsia="Arial" w:hAnsi="Arial" w:cs="Arial"/>
              </w:rPr>
              <w:t>12.1 (6.5 – 16)</w:t>
            </w:r>
          </w:p>
          <w:p w14:paraId="57490CA5" w14:textId="341298C9" w:rsidR="00CA0A75" w:rsidRDefault="002D2DFC">
            <w:pPr>
              <w:spacing w:line="480" w:lineRule="auto"/>
              <w:rPr>
                <w:rFonts w:ascii="Arial" w:eastAsia="Arial" w:hAnsi="Arial" w:cs="Arial"/>
              </w:rPr>
            </w:pPr>
            <w:r>
              <w:rPr>
                <w:rFonts w:ascii="Arial" w:eastAsia="Arial" w:hAnsi="Arial" w:cs="Arial"/>
              </w:rPr>
              <w:lastRenderedPageBreak/>
              <w:t xml:space="preserve">60.44 (14-170) </w:t>
            </w:r>
          </w:p>
          <w:p w14:paraId="12D92283" w14:textId="2AE83744" w:rsidR="00CA0A75" w:rsidRDefault="002D2DFC">
            <w:pPr>
              <w:spacing w:line="480" w:lineRule="auto"/>
              <w:rPr>
                <w:rFonts w:ascii="Arial" w:eastAsia="Arial" w:hAnsi="Arial" w:cs="Arial"/>
              </w:rPr>
            </w:pPr>
            <w:r>
              <w:rPr>
                <w:rFonts w:ascii="Arial" w:eastAsia="Arial" w:hAnsi="Arial" w:cs="Arial"/>
              </w:rPr>
              <w:t>132 (104 -143)</w:t>
            </w:r>
          </w:p>
          <w:p w14:paraId="2F0DAE65" w14:textId="299CFFB3" w:rsidR="00CA0A75" w:rsidRDefault="002D2DFC">
            <w:pPr>
              <w:spacing w:line="480" w:lineRule="auto"/>
              <w:rPr>
                <w:rFonts w:ascii="Arial" w:eastAsia="Arial" w:hAnsi="Arial" w:cs="Arial"/>
              </w:rPr>
            </w:pPr>
            <w:r>
              <w:rPr>
                <w:rFonts w:ascii="Arial" w:eastAsia="Arial" w:hAnsi="Arial" w:cs="Arial"/>
              </w:rPr>
              <w:t>413.5 (155-4018)</w:t>
            </w:r>
          </w:p>
        </w:tc>
      </w:tr>
      <w:tr w:rsidR="00CA0A75" w14:paraId="2BEE4995" w14:textId="77777777">
        <w:tc>
          <w:tcPr>
            <w:tcW w:w="5778" w:type="dxa"/>
          </w:tcPr>
          <w:p w14:paraId="7407D534" w14:textId="77777777" w:rsidR="00CA0A75" w:rsidRDefault="002D2DFC">
            <w:pPr>
              <w:spacing w:line="480" w:lineRule="auto"/>
              <w:rPr>
                <w:rFonts w:ascii="Arial" w:eastAsia="Arial" w:hAnsi="Arial" w:cs="Arial"/>
              </w:rPr>
            </w:pPr>
            <w:r>
              <w:rPr>
                <w:rFonts w:ascii="Arial" w:eastAsia="Arial" w:hAnsi="Arial" w:cs="Arial"/>
              </w:rPr>
              <w:lastRenderedPageBreak/>
              <w:t>Stage of the disease-no. (%)</w:t>
            </w:r>
          </w:p>
          <w:p w14:paraId="6B8B1D1B" w14:textId="77777777" w:rsidR="00CA0A75" w:rsidRDefault="002D2DFC">
            <w:pPr>
              <w:spacing w:line="480" w:lineRule="auto"/>
              <w:rPr>
                <w:rFonts w:ascii="Arial" w:eastAsia="Arial" w:hAnsi="Arial" w:cs="Arial"/>
              </w:rPr>
            </w:pPr>
            <w:r>
              <w:rPr>
                <w:rFonts w:ascii="Arial" w:eastAsia="Arial" w:hAnsi="Arial" w:cs="Arial"/>
              </w:rPr>
              <w:t xml:space="preserve">     Limited</w:t>
            </w:r>
          </w:p>
          <w:p w14:paraId="52E88054" w14:textId="77777777" w:rsidR="00CA0A75" w:rsidRDefault="002D2DFC">
            <w:pPr>
              <w:spacing w:line="480" w:lineRule="auto"/>
              <w:rPr>
                <w:rFonts w:ascii="Arial" w:eastAsia="Arial" w:hAnsi="Arial" w:cs="Arial"/>
              </w:rPr>
            </w:pPr>
            <w:r>
              <w:rPr>
                <w:rFonts w:ascii="Arial" w:eastAsia="Arial" w:hAnsi="Arial" w:cs="Arial"/>
              </w:rPr>
              <w:t xml:space="preserve">     Extensive</w:t>
            </w:r>
          </w:p>
        </w:tc>
        <w:tc>
          <w:tcPr>
            <w:tcW w:w="3148" w:type="dxa"/>
          </w:tcPr>
          <w:p w14:paraId="3C900988" w14:textId="77777777" w:rsidR="00CA0A75" w:rsidRDefault="00CA0A75">
            <w:pPr>
              <w:spacing w:line="480" w:lineRule="auto"/>
              <w:rPr>
                <w:rFonts w:ascii="Arial" w:eastAsia="Arial" w:hAnsi="Arial" w:cs="Arial"/>
              </w:rPr>
            </w:pPr>
          </w:p>
          <w:p w14:paraId="7CCA7946" w14:textId="77777777" w:rsidR="00CA0A75" w:rsidRDefault="002D2DFC">
            <w:pPr>
              <w:spacing w:line="480" w:lineRule="auto"/>
              <w:rPr>
                <w:rFonts w:ascii="Arial" w:eastAsia="Arial" w:hAnsi="Arial" w:cs="Arial"/>
              </w:rPr>
            </w:pPr>
            <w:r>
              <w:rPr>
                <w:rFonts w:ascii="Arial" w:eastAsia="Arial" w:hAnsi="Arial" w:cs="Arial"/>
              </w:rPr>
              <w:t xml:space="preserve">24 (10.3) </w:t>
            </w:r>
          </w:p>
          <w:p w14:paraId="7E9B6E95" w14:textId="77777777" w:rsidR="00CA0A75" w:rsidRDefault="002D2DFC">
            <w:pPr>
              <w:spacing w:line="480" w:lineRule="auto"/>
              <w:rPr>
                <w:rFonts w:ascii="Arial" w:eastAsia="Arial" w:hAnsi="Arial" w:cs="Arial"/>
              </w:rPr>
            </w:pPr>
            <w:r>
              <w:rPr>
                <w:rFonts w:ascii="Arial" w:eastAsia="Arial" w:hAnsi="Arial" w:cs="Arial"/>
              </w:rPr>
              <w:t>210 (89.7)</w:t>
            </w:r>
          </w:p>
        </w:tc>
      </w:tr>
      <w:tr w:rsidR="00CA0A75" w14:paraId="08DAEAF0" w14:textId="77777777">
        <w:tc>
          <w:tcPr>
            <w:tcW w:w="5778" w:type="dxa"/>
          </w:tcPr>
          <w:p w14:paraId="6F89B1EB" w14:textId="77777777" w:rsidR="00CA0A75" w:rsidRDefault="002D2DFC">
            <w:pPr>
              <w:spacing w:line="480" w:lineRule="auto"/>
              <w:rPr>
                <w:rFonts w:ascii="Arial" w:eastAsia="Arial" w:hAnsi="Arial" w:cs="Arial"/>
              </w:rPr>
            </w:pPr>
            <w:r>
              <w:rPr>
                <w:rFonts w:ascii="Arial" w:eastAsia="Arial" w:hAnsi="Arial" w:cs="Arial"/>
              </w:rPr>
              <w:t>Metastatic site-no. (%)</w:t>
            </w:r>
          </w:p>
          <w:p w14:paraId="107B6794" w14:textId="77777777" w:rsidR="00CA0A75" w:rsidRDefault="002D2DFC">
            <w:pPr>
              <w:spacing w:line="480" w:lineRule="auto"/>
              <w:rPr>
                <w:rFonts w:ascii="Arial" w:eastAsia="Arial" w:hAnsi="Arial" w:cs="Arial"/>
              </w:rPr>
            </w:pPr>
            <w:r>
              <w:rPr>
                <w:rFonts w:ascii="Arial" w:eastAsia="Arial" w:hAnsi="Arial" w:cs="Arial"/>
              </w:rPr>
              <w:t xml:space="preserve">     Non-metastatic</w:t>
            </w:r>
          </w:p>
          <w:p w14:paraId="69415F1F" w14:textId="6699E685" w:rsidR="00CA0A75" w:rsidRDefault="002D2DFC">
            <w:pPr>
              <w:spacing w:line="480" w:lineRule="auto"/>
              <w:rPr>
                <w:rFonts w:ascii="Arial" w:eastAsia="Arial" w:hAnsi="Arial" w:cs="Arial"/>
              </w:rPr>
            </w:pPr>
            <w:r>
              <w:rPr>
                <w:rFonts w:ascii="Arial" w:eastAsia="Arial" w:hAnsi="Arial" w:cs="Arial"/>
              </w:rPr>
              <w:t xml:space="preserve">     Pleural effusion/pleural nodules</w:t>
            </w:r>
            <w:r w:rsidR="00691465">
              <w:rPr>
                <w:rFonts w:ascii="Arial" w:eastAsia="Arial" w:hAnsi="Arial" w:cs="Arial"/>
              </w:rPr>
              <w:t>/pericardial effusion</w:t>
            </w:r>
          </w:p>
          <w:p w14:paraId="54F56C00" w14:textId="77777777" w:rsidR="00CA0A75" w:rsidRDefault="002D2DFC">
            <w:pPr>
              <w:spacing w:line="480" w:lineRule="auto"/>
              <w:rPr>
                <w:rFonts w:ascii="Arial" w:eastAsia="Arial" w:hAnsi="Arial" w:cs="Arial"/>
              </w:rPr>
            </w:pPr>
            <w:r>
              <w:rPr>
                <w:rFonts w:ascii="Arial" w:eastAsia="Arial" w:hAnsi="Arial" w:cs="Arial"/>
              </w:rPr>
              <w:t xml:space="preserve">     Contralateral lung nodules</w:t>
            </w:r>
          </w:p>
          <w:p w14:paraId="73E5B345" w14:textId="54B8B3C3" w:rsidR="00890BF8" w:rsidRDefault="002D2DFC">
            <w:pPr>
              <w:spacing w:line="480" w:lineRule="auto"/>
              <w:rPr>
                <w:rFonts w:ascii="Arial" w:eastAsia="Arial" w:hAnsi="Arial" w:cs="Arial"/>
              </w:rPr>
            </w:pPr>
            <w:r>
              <w:rPr>
                <w:rFonts w:ascii="Arial" w:eastAsia="Arial" w:hAnsi="Arial" w:cs="Arial"/>
              </w:rPr>
              <w:t xml:space="preserve">     </w:t>
            </w:r>
            <w:r w:rsidR="00691465">
              <w:rPr>
                <w:rFonts w:ascii="Arial" w:eastAsia="Arial" w:hAnsi="Arial" w:cs="Arial"/>
              </w:rPr>
              <w:t>Distant metastases</w:t>
            </w:r>
            <w:r w:rsidR="00591636" w:rsidRPr="006905CE">
              <w:rPr>
                <w:rFonts w:ascii="Arial" w:eastAsia="Arial" w:hAnsi="Arial" w:cs="Arial"/>
                <w:vertAlign w:val="superscript"/>
              </w:rPr>
              <w:t>#</w:t>
            </w:r>
          </w:p>
          <w:p w14:paraId="67CCA6C0" w14:textId="77777777" w:rsidR="00CA0A75" w:rsidRDefault="002D2DFC">
            <w:pPr>
              <w:spacing w:line="480" w:lineRule="auto"/>
              <w:rPr>
                <w:rFonts w:ascii="Arial" w:eastAsia="Arial" w:hAnsi="Arial" w:cs="Arial"/>
              </w:rPr>
            </w:pPr>
            <w:r>
              <w:rPr>
                <w:rFonts w:ascii="Arial" w:eastAsia="Arial" w:hAnsi="Arial" w:cs="Arial"/>
              </w:rPr>
              <w:t xml:space="preserve">     Multiple (&gt; 1 metastatic site)</w:t>
            </w:r>
          </w:p>
        </w:tc>
        <w:tc>
          <w:tcPr>
            <w:tcW w:w="3148" w:type="dxa"/>
          </w:tcPr>
          <w:p w14:paraId="312607D1" w14:textId="77777777" w:rsidR="00CA0A75" w:rsidRDefault="00CA0A75">
            <w:pPr>
              <w:spacing w:line="480" w:lineRule="auto"/>
              <w:rPr>
                <w:rFonts w:ascii="Arial" w:eastAsia="Arial" w:hAnsi="Arial" w:cs="Arial"/>
              </w:rPr>
            </w:pPr>
          </w:p>
          <w:p w14:paraId="1B069E44" w14:textId="77777777" w:rsidR="00CA0A75" w:rsidRDefault="002D2DFC">
            <w:pPr>
              <w:spacing w:line="480" w:lineRule="auto"/>
              <w:rPr>
                <w:rFonts w:ascii="Arial" w:eastAsia="Arial" w:hAnsi="Arial" w:cs="Arial"/>
              </w:rPr>
            </w:pPr>
            <w:r>
              <w:rPr>
                <w:rFonts w:ascii="Arial" w:eastAsia="Arial" w:hAnsi="Arial" w:cs="Arial"/>
              </w:rPr>
              <w:t xml:space="preserve"> 26 (11.1)</w:t>
            </w:r>
          </w:p>
          <w:p w14:paraId="67F2592A" w14:textId="561B8758" w:rsidR="00CA0A75" w:rsidRDefault="002D2DFC">
            <w:pPr>
              <w:spacing w:line="480" w:lineRule="auto"/>
              <w:rPr>
                <w:rFonts w:ascii="Arial" w:eastAsia="Arial" w:hAnsi="Arial" w:cs="Arial"/>
              </w:rPr>
            </w:pPr>
            <w:r>
              <w:rPr>
                <w:rFonts w:ascii="Arial" w:eastAsia="Arial" w:hAnsi="Arial" w:cs="Arial"/>
              </w:rPr>
              <w:t xml:space="preserve"> 4</w:t>
            </w:r>
            <w:r w:rsidR="00B44DA7">
              <w:rPr>
                <w:rFonts w:ascii="Arial" w:eastAsia="Arial" w:hAnsi="Arial" w:cs="Arial"/>
              </w:rPr>
              <w:t>9</w:t>
            </w:r>
            <w:r>
              <w:rPr>
                <w:rFonts w:ascii="Arial" w:eastAsia="Arial" w:hAnsi="Arial" w:cs="Arial"/>
              </w:rPr>
              <w:t xml:space="preserve"> (</w:t>
            </w:r>
            <w:r w:rsidR="00B44DA7">
              <w:rPr>
                <w:rFonts w:ascii="Arial" w:eastAsia="Arial" w:hAnsi="Arial" w:cs="Arial"/>
              </w:rPr>
              <w:t>20.9</w:t>
            </w:r>
            <w:r>
              <w:rPr>
                <w:rFonts w:ascii="Arial" w:eastAsia="Arial" w:hAnsi="Arial" w:cs="Arial"/>
              </w:rPr>
              <w:t>)</w:t>
            </w:r>
          </w:p>
          <w:p w14:paraId="39297B20" w14:textId="3F13EE36" w:rsidR="00CA0A75" w:rsidRDefault="002D2DFC">
            <w:pPr>
              <w:spacing w:line="480" w:lineRule="auto"/>
              <w:rPr>
                <w:rFonts w:ascii="Arial" w:eastAsia="Arial" w:hAnsi="Arial" w:cs="Arial"/>
              </w:rPr>
            </w:pPr>
            <w:r>
              <w:rPr>
                <w:rFonts w:ascii="Arial" w:eastAsia="Arial" w:hAnsi="Arial" w:cs="Arial"/>
              </w:rPr>
              <w:t xml:space="preserve"> 10 (4.3)</w:t>
            </w:r>
          </w:p>
          <w:p w14:paraId="58FE5379" w14:textId="28B527BB" w:rsidR="00591636" w:rsidRDefault="002D2DFC">
            <w:pPr>
              <w:spacing w:line="480" w:lineRule="auto"/>
              <w:rPr>
                <w:rFonts w:ascii="Arial" w:eastAsia="Arial" w:hAnsi="Arial" w:cs="Arial"/>
              </w:rPr>
            </w:pPr>
            <w:r>
              <w:rPr>
                <w:rFonts w:ascii="Arial" w:eastAsia="Arial" w:hAnsi="Arial" w:cs="Arial"/>
              </w:rPr>
              <w:t xml:space="preserve"> </w:t>
            </w:r>
            <w:r w:rsidR="00AB2EFA">
              <w:rPr>
                <w:rFonts w:ascii="Arial" w:eastAsia="Arial" w:hAnsi="Arial" w:cs="Arial"/>
              </w:rPr>
              <w:t>89 (</w:t>
            </w:r>
            <w:r w:rsidR="00745C03">
              <w:rPr>
                <w:rFonts w:ascii="Arial" w:eastAsia="Arial" w:hAnsi="Arial" w:cs="Arial"/>
              </w:rPr>
              <w:t>38)</w:t>
            </w:r>
          </w:p>
          <w:p w14:paraId="5FA99C38" w14:textId="0BDF63D8" w:rsidR="00CA0A75" w:rsidRDefault="002D2DFC">
            <w:pPr>
              <w:spacing w:line="480" w:lineRule="auto"/>
              <w:rPr>
                <w:rFonts w:ascii="Arial" w:eastAsia="Arial" w:hAnsi="Arial" w:cs="Arial"/>
              </w:rPr>
            </w:pPr>
            <w:r>
              <w:rPr>
                <w:rFonts w:ascii="Arial" w:eastAsia="Arial" w:hAnsi="Arial" w:cs="Arial"/>
              </w:rPr>
              <w:t>60 (25.6)</w:t>
            </w:r>
          </w:p>
        </w:tc>
      </w:tr>
      <w:tr w:rsidR="00CA0A75" w14:paraId="6320A88B" w14:textId="77777777">
        <w:tc>
          <w:tcPr>
            <w:tcW w:w="5778" w:type="dxa"/>
          </w:tcPr>
          <w:p w14:paraId="51739D74" w14:textId="1405FF95" w:rsidR="00CA0A75" w:rsidRDefault="0056001B">
            <w:pPr>
              <w:spacing w:line="480" w:lineRule="auto"/>
              <w:rPr>
                <w:rFonts w:ascii="Arial" w:eastAsia="Arial" w:hAnsi="Arial" w:cs="Arial"/>
              </w:rPr>
            </w:pPr>
            <w:r>
              <w:rPr>
                <w:rFonts w:ascii="Arial" w:eastAsia="Arial" w:hAnsi="Arial" w:cs="Arial"/>
              </w:rPr>
              <w:t>Superior vena cava obstruction</w:t>
            </w:r>
            <w:r w:rsidR="002D2DFC">
              <w:rPr>
                <w:rFonts w:ascii="Arial" w:eastAsia="Arial" w:hAnsi="Arial" w:cs="Arial"/>
              </w:rPr>
              <w:t xml:space="preserve"> (at presentation)</w:t>
            </w:r>
          </w:p>
        </w:tc>
        <w:tc>
          <w:tcPr>
            <w:tcW w:w="3148" w:type="dxa"/>
          </w:tcPr>
          <w:p w14:paraId="5B6C41AE" w14:textId="77777777" w:rsidR="00CA0A75" w:rsidRDefault="002D2DFC">
            <w:pPr>
              <w:spacing w:line="480" w:lineRule="auto"/>
              <w:rPr>
                <w:rFonts w:ascii="Arial" w:eastAsia="Arial" w:hAnsi="Arial" w:cs="Arial"/>
              </w:rPr>
            </w:pPr>
            <w:r>
              <w:rPr>
                <w:rFonts w:ascii="Arial" w:eastAsia="Arial" w:hAnsi="Arial" w:cs="Arial"/>
              </w:rPr>
              <w:t>83 (35.5)</w:t>
            </w:r>
          </w:p>
        </w:tc>
      </w:tr>
      <w:tr w:rsidR="00CA0A75" w14:paraId="54B49861" w14:textId="77777777">
        <w:tc>
          <w:tcPr>
            <w:tcW w:w="5778" w:type="dxa"/>
          </w:tcPr>
          <w:p w14:paraId="76EED1C1" w14:textId="77777777" w:rsidR="00CA0A75" w:rsidRDefault="002D2DFC">
            <w:pPr>
              <w:spacing w:line="480" w:lineRule="auto"/>
              <w:rPr>
                <w:rFonts w:ascii="Arial" w:eastAsia="Arial" w:hAnsi="Arial" w:cs="Arial"/>
              </w:rPr>
            </w:pPr>
            <w:r>
              <w:rPr>
                <w:rFonts w:ascii="Arial" w:eastAsia="Arial" w:hAnsi="Arial" w:cs="Arial"/>
              </w:rPr>
              <w:t>Presence of brain metastases at presentation</w:t>
            </w:r>
            <w:r>
              <w:rPr>
                <w:rFonts w:ascii="Arial" w:eastAsia="Arial" w:hAnsi="Arial" w:cs="Arial"/>
                <w:vertAlign w:val="superscript"/>
              </w:rPr>
              <w:t>#</w:t>
            </w:r>
          </w:p>
        </w:tc>
        <w:tc>
          <w:tcPr>
            <w:tcW w:w="3148" w:type="dxa"/>
          </w:tcPr>
          <w:p w14:paraId="42F1E395" w14:textId="77777777" w:rsidR="00CA0A75" w:rsidRDefault="002D2DFC">
            <w:pPr>
              <w:spacing w:line="480" w:lineRule="auto"/>
              <w:rPr>
                <w:rFonts w:ascii="Arial" w:eastAsia="Arial" w:hAnsi="Arial" w:cs="Arial"/>
              </w:rPr>
            </w:pPr>
            <w:r>
              <w:rPr>
                <w:rFonts w:ascii="Arial" w:eastAsia="Arial" w:hAnsi="Arial" w:cs="Arial"/>
              </w:rPr>
              <w:t>24 (10.3)</w:t>
            </w:r>
          </w:p>
        </w:tc>
      </w:tr>
    </w:tbl>
    <w:p w14:paraId="2F46A57E" w14:textId="452AADC0" w:rsidR="00CA0A75" w:rsidRDefault="002D2DFC">
      <w:pPr>
        <w:spacing w:after="0" w:line="480" w:lineRule="auto"/>
        <w:rPr>
          <w:rFonts w:ascii="Arial" w:eastAsia="Arial" w:hAnsi="Arial" w:cs="Arial"/>
        </w:rPr>
      </w:pPr>
      <w:r>
        <w:rPr>
          <w:rFonts w:ascii="Arial" w:eastAsia="Arial" w:hAnsi="Arial" w:cs="Arial"/>
        </w:rPr>
        <w:t>*</w:t>
      </w:r>
      <w:r w:rsidR="00ED6C86">
        <w:rPr>
          <w:rFonts w:ascii="Arial" w:eastAsia="Arial" w:hAnsi="Arial" w:cs="Arial"/>
        </w:rPr>
        <w:t>*Chronic obstructive pulmonary disease-21 (9%), hypertension-19 (8%), diabetes-13 (6%), cardiac-13 (6%), stroke -1 (0.4%), rheumatoid arthritis-1 (0.4%), schizophrenia-1 (0.4%), multiple</w:t>
      </w:r>
      <w:r w:rsidR="00985795">
        <w:rPr>
          <w:rFonts w:ascii="Arial" w:eastAsia="Arial" w:hAnsi="Arial" w:cs="Arial"/>
        </w:rPr>
        <w:t xml:space="preserve"> (&gt;1)</w:t>
      </w:r>
      <w:r w:rsidR="00ED6C86">
        <w:rPr>
          <w:rFonts w:ascii="Arial" w:eastAsia="Arial" w:hAnsi="Arial" w:cs="Arial"/>
        </w:rPr>
        <w:t>-36 (15%)</w:t>
      </w:r>
      <w:r>
        <w:rPr>
          <w:rFonts w:ascii="Arial" w:eastAsia="Arial" w:hAnsi="Arial" w:cs="Arial"/>
        </w:rPr>
        <w:t xml:space="preserve"> </w:t>
      </w:r>
    </w:p>
    <w:p w14:paraId="4447ADF6" w14:textId="77777777" w:rsidR="00CA0A75" w:rsidRDefault="002D2DFC">
      <w:pPr>
        <w:spacing w:after="0" w:line="480" w:lineRule="auto"/>
        <w:rPr>
          <w:rFonts w:ascii="Arial" w:eastAsia="Arial" w:hAnsi="Arial" w:cs="Arial"/>
        </w:rPr>
      </w:pPr>
      <w:r>
        <w:rPr>
          <w:rFonts w:ascii="Arial" w:eastAsia="Arial" w:hAnsi="Arial" w:cs="Arial"/>
        </w:rPr>
        <w:t>**Glomerular filtration rate (GFR) was calculated by the Cockcroft-Gault formula</w:t>
      </w:r>
    </w:p>
    <w:p w14:paraId="0CE99262" w14:textId="5324CC36" w:rsidR="00CA0A75" w:rsidRDefault="002D2DFC">
      <w:pPr>
        <w:spacing w:after="0" w:line="480" w:lineRule="auto"/>
        <w:rPr>
          <w:rFonts w:ascii="Arial" w:eastAsia="Arial" w:hAnsi="Arial" w:cs="Arial"/>
        </w:rPr>
      </w:pPr>
      <w:r>
        <w:rPr>
          <w:rFonts w:ascii="Arial" w:eastAsia="Arial" w:hAnsi="Arial" w:cs="Arial"/>
          <w:vertAlign w:val="superscript"/>
        </w:rPr>
        <w:t>#</w:t>
      </w:r>
      <w:r>
        <w:rPr>
          <w:rFonts w:ascii="Arial" w:eastAsia="Arial" w:hAnsi="Arial" w:cs="Arial"/>
        </w:rPr>
        <w:t>Brain imaging was done at baseline in only 65 (28%) patients (MRI brain in 52 and CT brain in 13)</w:t>
      </w:r>
    </w:p>
    <w:p w14:paraId="45BB054A" w14:textId="0B2A0090" w:rsidR="00D86042" w:rsidRDefault="00D86042">
      <w:pPr>
        <w:spacing w:after="0" w:line="480" w:lineRule="auto"/>
        <w:rPr>
          <w:rFonts w:ascii="Arial" w:eastAsia="Arial" w:hAnsi="Arial" w:cs="Arial"/>
        </w:rPr>
      </w:pPr>
      <w:r w:rsidRPr="006905CE">
        <w:rPr>
          <w:rFonts w:ascii="Arial" w:eastAsia="Arial" w:hAnsi="Arial" w:cs="Arial"/>
          <w:vertAlign w:val="superscript"/>
        </w:rPr>
        <w:t>#</w:t>
      </w:r>
      <w:r w:rsidR="00CF4B28">
        <w:rPr>
          <w:rFonts w:ascii="Arial" w:eastAsia="Arial" w:hAnsi="Arial" w:cs="Arial"/>
        </w:rPr>
        <w:t xml:space="preserve">Bones-32 (14%), </w:t>
      </w:r>
      <w:r w:rsidR="00FE35E9">
        <w:rPr>
          <w:rFonts w:ascii="Arial" w:eastAsia="Arial" w:hAnsi="Arial" w:cs="Arial"/>
        </w:rPr>
        <w:t>liver-26 (11%),</w:t>
      </w:r>
      <w:r w:rsidR="00D853E9">
        <w:rPr>
          <w:rFonts w:ascii="Arial" w:eastAsia="Arial" w:hAnsi="Arial" w:cs="Arial"/>
        </w:rPr>
        <w:t xml:space="preserve"> adrenal-14 (6%), </w:t>
      </w:r>
      <w:r w:rsidR="005678BD">
        <w:rPr>
          <w:rFonts w:ascii="Arial" w:eastAsia="Arial" w:hAnsi="Arial" w:cs="Arial"/>
        </w:rPr>
        <w:t>brain-10 (4%), non-regional lymph nodes-</w:t>
      </w:r>
      <w:r w:rsidR="008E6269">
        <w:rPr>
          <w:rFonts w:ascii="Arial" w:eastAsia="Arial" w:hAnsi="Arial" w:cs="Arial"/>
        </w:rPr>
        <w:t xml:space="preserve">6 (3%), </w:t>
      </w:r>
      <w:r w:rsidR="00403546">
        <w:rPr>
          <w:rFonts w:ascii="Arial" w:eastAsia="Arial" w:hAnsi="Arial" w:cs="Arial"/>
        </w:rPr>
        <w:t>spleen-1 (0.4%)</w:t>
      </w:r>
      <w:r w:rsidR="00FE35E9">
        <w:rPr>
          <w:rFonts w:ascii="Arial" w:eastAsia="Arial" w:hAnsi="Arial" w:cs="Arial"/>
        </w:rPr>
        <w:t xml:space="preserve"> </w:t>
      </w:r>
    </w:p>
    <w:p w14:paraId="77A16F2C" w14:textId="77777777" w:rsidR="00CA0A75" w:rsidRDefault="00CA0A75">
      <w:pPr>
        <w:spacing w:after="0" w:line="480" w:lineRule="auto"/>
        <w:rPr>
          <w:rFonts w:ascii="Arial" w:eastAsia="Arial" w:hAnsi="Arial" w:cs="Arial"/>
          <w:b/>
        </w:rPr>
      </w:pPr>
    </w:p>
    <w:p w14:paraId="0732E652" w14:textId="77777777" w:rsidR="00CA0A75" w:rsidRDefault="002D2DFC">
      <w:pPr>
        <w:spacing w:after="0" w:line="480" w:lineRule="auto"/>
        <w:rPr>
          <w:rFonts w:ascii="Arial" w:eastAsia="Arial" w:hAnsi="Arial" w:cs="Arial"/>
        </w:rPr>
      </w:pPr>
      <w:r>
        <w:rPr>
          <w:rFonts w:ascii="Arial" w:eastAsia="Arial" w:hAnsi="Arial" w:cs="Arial"/>
          <w:b/>
        </w:rPr>
        <w:t>Table 2</w:t>
      </w:r>
      <w:r>
        <w:rPr>
          <w:rFonts w:ascii="Arial" w:eastAsia="Arial" w:hAnsi="Arial" w:cs="Arial"/>
        </w:rPr>
        <w:t>: Therapy details of small cell lung cancer patients with poor performance status, i.e. ECOG PS 3 or 4.</w:t>
      </w:r>
    </w:p>
    <w:tbl>
      <w:tblPr>
        <w:tblStyle w:val="a4"/>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30"/>
        <w:gridCol w:w="1559"/>
      </w:tblGrid>
      <w:tr w:rsidR="00CA0A75" w14:paraId="60A5CA23" w14:textId="77777777">
        <w:tc>
          <w:tcPr>
            <w:tcW w:w="8330" w:type="dxa"/>
          </w:tcPr>
          <w:p w14:paraId="46BA8AAA" w14:textId="77777777" w:rsidR="00CA0A75" w:rsidRDefault="002D2DFC">
            <w:pPr>
              <w:spacing w:line="480" w:lineRule="auto"/>
              <w:rPr>
                <w:rFonts w:ascii="Arial" w:eastAsia="Arial" w:hAnsi="Arial" w:cs="Arial"/>
                <w:b/>
              </w:rPr>
            </w:pPr>
            <w:r>
              <w:rPr>
                <w:rFonts w:ascii="Arial" w:eastAsia="Arial" w:hAnsi="Arial" w:cs="Arial"/>
                <w:b/>
              </w:rPr>
              <w:lastRenderedPageBreak/>
              <w:t>Treatment details</w:t>
            </w:r>
          </w:p>
        </w:tc>
        <w:tc>
          <w:tcPr>
            <w:tcW w:w="1559" w:type="dxa"/>
          </w:tcPr>
          <w:p w14:paraId="7D668268" w14:textId="77777777" w:rsidR="00CA0A75" w:rsidRDefault="002D2DFC">
            <w:pPr>
              <w:spacing w:line="480" w:lineRule="auto"/>
              <w:rPr>
                <w:rFonts w:ascii="Arial" w:eastAsia="Arial" w:hAnsi="Arial" w:cs="Arial"/>
                <w:b/>
              </w:rPr>
            </w:pPr>
            <w:r>
              <w:rPr>
                <w:rFonts w:ascii="Arial" w:eastAsia="Arial" w:hAnsi="Arial" w:cs="Arial"/>
                <w:b/>
              </w:rPr>
              <w:t>Patients-number (%) N=234</w:t>
            </w:r>
          </w:p>
        </w:tc>
      </w:tr>
      <w:tr w:rsidR="00CA0A75" w14:paraId="55812374" w14:textId="77777777">
        <w:tc>
          <w:tcPr>
            <w:tcW w:w="8330" w:type="dxa"/>
          </w:tcPr>
          <w:p w14:paraId="53489261" w14:textId="77777777" w:rsidR="00CA0A75" w:rsidRDefault="002D2DFC">
            <w:pPr>
              <w:spacing w:line="480" w:lineRule="auto"/>
              <w:rPr>
                <w:rFonts w:ascii="Arial" w:eastAsia="Arial" w:hAnsi="Arial" w:cs="Arial"/>
              </w:rPr>
            </w:pPr>
            <w:r>
              <w:rPr>
                <w:rFonts w:ascii="Arial" w:eastAsia="Arial" w:hAnsi="Arial" w:cs="Arial"/>
              </w:rPr>
              <w:t>Initial therapy-no. (%)</w:t>
            </w:r>
          </w:p>
          <w:p w14:paraId="22248222" w14:textId="77777777" w:rsidR="00CA0A75" w:rsidRDefault="002D2DFC">
            <w:pPr>
              <w:numPr>
                <w:ilvl w:val="0"/>
                <w:numId w:val="7"/>
              </w:numPr>
              <w:pBdr>
                <w:top w:val="nil"/>
                <w:left w:val="nil"/>
                <w:bottom w:val="nil"/>
                <w:right w:val="nil"/>
                <w:between w:val="nil"/>
              </w:pBdr>
              <w:spacing w:line="480" w:lineRule="auto"/>
              <w:rPr>
                <w:rFonts w:ascii="Arial" w:eastAsia="Arial" w:hAnsi="Arial" w:cs="Arial"/>
                <w:color w:val="000000"/>
              </w:rPr>
            </w:pPr>
            <w:r>
              <w:rPr>
                <w:rFonts w:ascii="Arial" w:eastAsia="Arial" w:hAnsi="Arial" w:cs="Arial"/>
                <w:color w:val="000000"/>
              </w:rPr>
              <w:t>Best supportive care</w:t>
            </w:r>
          </w:p>
          <w:p w14:paraId="6DA12598" w14:textId="77777777" w:rsidR="00CA0A75" w:rsidRDefault="002D2DFC">
            <w:pPr>
              <w:numPr>
                <w:ilvl w:val="0"/>
                <w:numId w:val="7"/>
              </w:numPr>
              <w:pBdr>
                <w:top w:val="nil"/>
                <w:left w:val="nil"/>
                <w:bottom w:val="nil"/>
                <w:right w:val="nil"/>
                <w:between w:val="nil"/>
              </w:pBdr>
              <w:spacing w:line="480" w:lineRule="auto"/>
              <w:rPr>
                <w:rFonts w:ascii="Arial" w:eastAsia="Arial" w:hAnsi="Arial" w:cs="Arial"/>
                <w:color w:val="000000"/>
              </w:rPr>
            </w:pPr>
            <w:r>
              <w:rPr>
                <w:rFonts w:ascii="Arial" w:eastAsia="Arial" w:hAnsi="Arial" w:cs="Arial"/>
                <w:color w:val="000000"/>
              </w:rPr>
              <w:t>Single agent chemotherapy</w:t>
            </w:r>
          </w:p>
          <w:p w14:paraId="5A2C30DA" w14:textId="77777777" w:rsidR="00CA0A75" w:rsidRDefault="002D2DFC">
            <w:pPr>
              <w:numPr>
                <w:ilvl w:val="0"/>
                <w:numId w:val="1"/>
              </w:numPr>
              <w:pBdr>
                <w:top w:val="nil"/>
                <w:left w:val="nil"/>
                <w:bottom w:val="nil"/>
                <w:right w:val="nil"/>
                <w:between w:val="nil"/>
              </w:pBdr>
              <w:spacing w:line="480" w:lineRule="auto"/>
              <w:rPr>
                <w:color w:val="000000"/>
              </w:rPr>
            </w:pPr>
            <w:r>
              <w:rPr>
                <w:rFonts w:ascii="Arial" w:eastAsia="Arial" w:hAnsi="Arial" w:cs="Arial"/>
                <w:color w:val="000000"/>
              </w:rPr>
              <w:t>Carboplatin AUC</w:t>
            </w:r>
            <w:r>
              <w:rPr>
                <w:rFonts w:ascii="Arial" w:eastAsia="Arial" w:hAnsi="Arial" w:cs="Arial"/>
                <w:color w:val="000000"/>
                <w:vertAlign w:val="superscript"/>
              </w:rPr>
              <w:t>*</w:t>
            </w:r>
            <w:r>
              <w:rPr>
                <w:rFonts w:ascii="Arial" w:eastAsia="Arial" w:hAnsi="Arial" w:cs="Arial"/>
                <w:color w:val="000000"/>
              </w:rPr>
              <w:t xml:space="preserve"> 2 IV</w:t>
            </w:r>
            <w:r>
              <w:rPr>
                <w:rFonts w:ascii="Arial" w:eastAsia="Arial" w:hAnsi="Arial" w:cs="Arial"/>
                <w:color w:val="000000"/>
                <w:vertAlign w:val="superscript"/>
              </w:rPr>
              <w:t>**</w:t>
            </w:r>
            <w:r>
              <w:rPr>
                <w:rFonts w:ascii="Arial" w:eastAsia="Arial" w:hAnsi="Arial" w:cs="Arial"/>
                <w:color w:val="000000"/>
              </w:rPr>
              <w:t xml:space="preserve"> for 1 to 3 doses, at daily to weekly intervals</w:t>
            </w:r>
          </w:p>
          <w:p w14:paraId="6C5B061E" w14:textId="77777777" w:rsidR="00CA0A75" w:rsidRDefault="002D2DFC">
            <w:pPr>
              <w:numPr>
                <w:ilvl w:val="0"/>
                <w:numId w:val="1"/>
              </w:numPr>
              <w:pBdr>
                <w:top w:val="nil"/>
                <w:left w:val="nil"/>
                <w:bottom w:val="nil"/>
                <w:right w:val="nil"/>
                <w:between w:val="nil"/>
              </w:pBdr>
              <w:spacing w:line="480" w:lineRule="auto"/>
              <w:rPr>
                <w:color w:val="000000"/>
              </w:rPr>
            </w:pPr>
            <w:r>
              <w:rPr>
                <w:rFonts w:ascii="Arial" w:eastAsia="Arial" w:hAnsi="Arial" w:cs="Arial"/>
                <w:color w:val="000000"/>
              </w:rPr>
              <w:t>Cisplatin flat dose (20 mg daily) or 33 mg/m</w:t>
            </w:r>
            <w:r>
              <w:rPr>
                <w:rFonts w:ascii="Arial" w:eastAsia="Arial" w:hAnsi="Arial" w:cs="Arial"/>
                <w:color w:val="000000"/>
                <w:vertAlign w:val="superscript"/>
              </w:rPr>
              <w:t>2</w:t>
            </w:r>
            <w:r>
              <w:rPr>
                <w:rFonts w:ascii="Arial" w:eastAsia="Arial" w:hAnsi="Arial" w:cs="Arial"/>
                <w:color w:val="000000"/>
              </w:rPr>
              <w:t xml:space="preserve"> IV</w:t>
            </w:r>
            <w:r>
              <w:rPr>
                <w:rFonts w:ascii="Arial" w:eastAsia="Arial" w:hAnsi="Arial" w:cs="Arial"/>
                <w:color w:val="000000"/>
                <w:vertAlign w:val="superscript"/>
              </w:rPr>
              <w:t>**</w:t>
            </w:r>
            <w:r>
              <w:rPr>
                <w:rFonts w:ascii="Arial" w:eastAsia="Arial" w:hAnsi="Arial" w:cs="Arial"/>
                <w:color w:val="000000"/>
              </w:rPr>
              <w:t xml:space="preserve"> daily for 3 doses</w:t>
            </w:r>
          </w:p>
          <w:p w14:paraId="7B068E74" w14:textId="77777777" w:rsidR="00CA0A75" w:rsidRDefault="002D2DFC">
            <w:pPr>
              <w:numPr>
                <w:ilvl w:val="0"/>
                <w:numId w:val="1"/>
              </w:numPr>
              <w:pBdr>
                <w:top w:val="nil"/>
                <w:left w:val="nil"/>
                <w:bottom w:val="nil"/>
                <w:right w:val="nil"/>
                <w:between w:val="nil"/>
              </w:pBdr>
              <w:spacing w:line="480" w:lineRule="auto"/>
              <w:rPr>
                <w:color w:val="000000"/>
              </w:rPr>
            </w:pPr>
            <w:r>
              <w:rPr>
                <w:rFonts w:ascii="Arial" w:eastAsia="Arial" w:hAnsi="Arial" w:cs="Arial"/>
                <w:color w:val="000000"/>
              </w:rPr>
              <w:t>Carboplatin AUC</w:t>
            </w:r>
            <w:r>
              <w:rPr>
                <w:rFonts w:ascii="Arial" w:eastAsia="Arial" w:hAnsi="Arial" w:cs="Arial"/>
                <w:color w:val="000000"/>
                <w:vertAlign w:val="superscript"/>
              </w:rPr>
              <w:t>*</w:t>
            </w:r>
            <w:r>
              <w:rPr>
                <w:rFonts w:ascii="Arial" w:eastAsia="Arial" w:hAnsi="Arial" w:cs="Arial"/>
                <w:color w:val="000000"/>
              </w:rPr>
              <w:t xml:space="preserve"> 5 IV</w:t>
            </w:r>
            <w:r>
              <w:rPr>
                <w:rFonts w:ascii="Arial" w:eastAsia="Arial" w:hAnsi="Arial" w:cs="Arial"/>
                <w:color w:val="000000"/>
                <w:vertAlign w:val="superscript"/>
              </w:rPr>
              <w:t>**</w:t>
            </w:r>
          </w:p>
          <w:p w14:paraId="4593E529" w14:textId="77777777" w:rsidR="00CA0A75" w:rsidRDefault="002D2DFC">
            <w:pPr>
              <w:numPr>
                <w:ilvl w:val="0"/>
                <w:numId w:val="1"/>
              </w:numPr>
              <w:pBdr>
                <w:top w:val="nil"/>
                <w:left w:val="nil"/>
                <w:bottom w:val="nil"/>
                <w:right w:val="nil"/>
                <w:between w:val="nil"/>
              </w:pBdr>
              <w:spacing w:line="480" w:lineRule="auto"/>
              <w:rPr>
                <w:color w:val="000000"/>
              </w:rPr>
            </w:pPr>
            <w:r>
              <w:rPr>
                <w:rFonts w:ascii="Arial" w:eastAsia="Arial" w:hAnsi="Arial" w:cs="Arial"/>
                <w:color w:val="000000"/>
              </w:rPr>
              <w:t>Carboplatin AUC</w:t>
            </w:r>
            <w:r>
              <w:rPr>
                <w:rFonts w:ascii="Arial" w:eastAsia="Arial" w:hAnsi="Arial" w:cs="Arial"/>
                <w:color w:val="000000"/>
                <w:vertAlign w:val="superscript"/>
              </w:rPr>
              <w:t>*</w:t>
            </w:r>
            <w:r>
              <w:rPr>
                <w:rFonts w:ascii="Arial" w:eastAsia="Arial" w:hAnsi="Arial" w:cs="Arial"/>
                <w:color w:val="000000"/>
              </w:rPr>
              <w:t xml:space="preserve"> 2 IV</w:t>
            </w:r>
            <w:r>
              <w:rPr>
                <w:rFonts w:ascii="Arial" w:eastAsia="Arial" w:hAnsi="Arial" w:cs="Arial"/>
                <w:color w:val="000000"/>
                <w:vertAlign w:val="superscript"/>
              </w:rPr>
              <w:t>**</w:t>
            </w:r>
            <w:r>
              <w:rPr>
                <w:rFonts w:ascii="Arial" w:eastAsia="Arial" w:hAnsi="Arial" w:cs="Arial"/>
                <w:color w:val="000000"/>
              </w:rPr>
              <w:t>, followed by attenuated dose of carboplatin/cisplatin with etoposide IV</w:t>
            </w:r>
            <w:r>
              <w:rPr>
                <w:rFonts w:ascii="Arial" w:eastAsia="Arial" w:hAnsi="Arial" w:cs="Arial"/>
                <w:color w:val="000000"/>
                <w:vertAlign w:val="superscript"/>
              </w:rPr>
              <w:t>**</w:t>
            </w:r>
          </w:p>
          <w:p w14:paraId="55CB3AD2" w14:textId="77777777" w:rsidR="00CA0A75" w:rsidRDefault="002D2DFC">
            <w:pPr>
              <w:numPr>
                <w:ilvl w:val="0"/>
                <w:numId w:val="1"/>
              </w:numPr>
              <w:pBdr>
                <w:top w:val="nil"/>
                <w:left w:val="nil"/>
                <w:bottom w:val="nil"/>
                <w:right w:val="nil"/>
                <w:between w:val="nil"/>
              </w:pBdr>
              <w:spacing w:line="480" w:lineRule="auto"/>
              <w:rPr>
                <w:color w:val="000000"/>
              </w:rPr>
            </w:pPr>
            <w:r>
              <w:rPr>
                <w:rFonts w:ascii="Arial" w:eastAsia="Arial" w:hAnsi="Arial" w:cs="Arial"/>
                <w:color w:val="000000"/>
              </w:rPr>
              <w:t>Oral etoposide</w:t>
            </w:r>
          </w:p>
          <w:p w14:paraId="709C7DD3" w14:textId="77777777" w:rsidR="00CA0A75" w:rsidRDefault="002D2DFC">
            <w:pPr>
              <w:numPr>
                <w:ilvl w:val="0"/>
                <w:numId w:val="1"/>
              </w:numPr>
              <w:pBdr>
                <w:top w:val="nil"/>
                <w:left w:val="nil"/>
                <w:bottom w:val="nil"/>
                <w:right w:val="nil"/>
                <w:between w:val="nil"/>
              </w:pBdr>
              <w:spacing w:line="480" w:lineRule="auto"/>
              <w:rPr>
                <w:color w:val="000000"/>
              </w:rPr>
            </w:pPr>
            <w:r>
              <w:rPr>
                <w:rFonts w:ascii="Arial" w:eastAsia="Arial" w:hAnsi="Arial" w:cs="Arial"/>
                <w:color w:val="000000"/>
              </w:rPr>
              <w:t>Other</w:t>
            </w:r>
            <w:r>
              <w:rPr>
                <w:rFonts w:ascii="Arial" w:eastAsia="Arial" w:hAnsi="Arial" w:cs="Arial"/>
                <w:color w:val="000000"/>
                <w:vertAlign w:val="superscript"/>
              </w:rPr>
              <w:t>#</w:t>
            </w:r>
          </w:p>
          <w:p w14:paraId="3E940B4D" w14:textId="77777777" w:rsidR="00CA0A75" w:rsidRDefault="002D2DFC">
            <w:pPr>
              <w:numPr>
                <w:ilvl w:val="0"/>
                <w:numId w:val="7"/>
              </w:numPr>
              <w:pBdr>
                <w:top w:val="nil"/>
                <w:left w:val="nil"/>
                <w:bottom w:val="nil"/>
                <w:right w:val="nil"/>
                <w:between w:val="nil"/>
              </w:pBdr>
              <w:spacing w:line="480" w:lineRule="auto"/>
              <w:rPr>
                <w:rFonts w:ascii="Arial" w:eastAsia="Arial" w:hAnsi="Arial" w:cs="Arial"/>
                <w:color w:val="000000"/>
              </w:rPr>
            </w:pPr>
            <w:r>
              <w:rPr>
                <w:rFonts w:ascii="Arial" w:eastAsia="Arial" w:hAnsi="Arial" w:cs="Arial"/>
                <w:color w:val="000000"/>
              </w:rPr>
              <w:t>Combination chemotherapy-attenuated dose</w:t>
            </w:r>
          </w:p>
          <w:p w14:paraId="5082685B" w14:textId="77777777" w:rsidR="00CA0A75" w:rsidRDefault="002D2DFC">
            <w:pPr>
              <w:numPr>
                <w:ilvl w:val="0"/>
                <w:numId w:val="2"/>
              </w:numPr>
              <w:pBdr>
                <w:top w:val="nil"/>
                <w:left w:val="nil"/>
                <w:bottom w:val="nil"/>
                <w:right w:val="nil"/>
                <w:between w:val="nil"/>
              </w:pBdr>
              <w:spacing w:line="480" w:lineRule="auto"/>
              <w:rPr>
                <w:color w:val="000000"/>
              </w:rPr>
            </w:pPr>
            <w:r>
              <w:rPr>
                <w:rFonts w:ascii="Arial" w:eastAsia="Arial" w:hAnsi="Arial" w:cs="Arial"/>
                <w:color w:val="000000"/>
              </w:rPr>
              <w:t>Cisplatin/etoposide</w:t>
            </w:r>
          </w:p>
          <w:p w14:paraId="35EA4DAA" w14:textId="77777777" w:rsidR="00CA0A75" w:rsidRDefault="002D2DFC">
            <w:pPr>
              <w:numPr>
                <w:ilvl w:val="0"/>
                <w:numId w:val="2"/>
              </w:numPr>
              <w:pBdr>
                <w:top w:val="nil"/>
                <w:left w:val="nil"/>
                <w:bottom w:val="nil"/>
                <w:right w:val="nil"/>
                <w:between w:val="nil"/>
              </w:pBdr>
              <w:spacing w:line="480" w:lineRule="auto"/>
              <w:rPr>
                <w:color w:val="000000"/>
              </w:rPr>
            </w:pPr>
            <w:r>
              <w:rPr>
                <w:rFonts w:ascii="Arial" w:eastAsia="Arial" w:hAnsi="Arial" w:cs="Arial"/>
                <w:color w:val="000000"/>
              </w:rPr>
              <w:t>Carboplatin/etoposide</w:t>
            </w:r>
          </w:p>
          <w:p w14:paraId="78B24E18" w14:textId="77777777" w:rsidR="00CA0A75" w:rsidRDefault="002D2DFC">
            <w:pPr>
              <w:numPr>
                <w:ilvl w:val="0"/>
                <w:numId w:val="2"/>
              </w:numPr>
              <w:pBdr>
                <w:top w:val="nil"/>
                <w:left w:val="nil"/>
                <w:bottom w:val="nil"/>
                <w:right w:val="nil"/>
                <w:between w:val="nil"/>
              </w:pBdr>
              <w:spacing w:line="480" w:lineRule="auto"/>
              <w:rPr>
                <w:color w:val="000000"/>
              </w:rPr>
            </w:pPr>
            <w:r>
              <w:rPr>
                <w:rFonts w:ascii="Arial" w:eastAsia="Arial" w:hAnsi="Arial" w:cs="Arial"/>
                <w:color w:val="000000"/>
              </w:rPr>
              <w:t>Carboplatin/pemetrexed</w:t>
            </w:r>
          </w:p>
          <w:p w14:paraId="6B6AD8AA" w14:textId="77777777" w:rsidR="00CA0A75" w:rsidRDefault="002D2DFC">
            <w:pPr>
              <w:numPr>
                <w:ilvl w:val="0"/>
                <w:numId w:val="2"/>
              </w:numPr>
              <w:pBdr>
                <w:top w:val="nil"/>
                <w:left w:val="nil"/>
                <w:bottom w:val="nil"/>
                <w:right w:val="nil"/>
                <w:between w:val="nil"/>
              </w:pBdr>
              <w:spacing w:line="480" w:lineRule="auto"/>
              <w:rPr>
                <w:color w:val="000000"/>
              </w:rPr>
            </w:pPr>
            <w:r>
              <w:rPr>
                <w:rFonts w:ascii="Arial" w:eastAsia="Arial" w:hAnsi="Arial" w:cs="Arial"/>
                <w:color w:val="000000"/>
              </w:rPr>
              <w:t xml:space="preserve">Carboplatin/paclitaxel </w:t>
            </w:r>
          </w:p>
          <w:p w14:paraId="7D06EBF6" w14:textId="77777777" w:rsidR="00CA0A75" w:rsidRDefault="002D2DFC">
            <w:pPr>
              <w:numPr>
                <w:ilvl w:val="0"/>
                <w:numId w:val="7"/>
              </w:numPr>
              <w:pBdr>
                <w:top w:val="nil"/>
                <w:left w:val="nil"/>
                <w:bottom w:val="nil"/>
                <w:right w:val="nil"/>
                <w:between w:val="nil"/>
              </w:pBdr>
              <w:spacing w:after="160" w:line="480" w:lineRule="auto"/>
              <w:rPr>
                <w:rFonts w:ascii="Arial" w:eastAsia="Arial" w:hAnsi="Arial" w:cs="Arial"/>
                <w:color w:val="000000"/>
              </w:rPr>
            </w:pPr>
            <w:r>
              <w:rPr>
                <w:rFonts w:ascii="Arial" w:eastAsia="Arial" w:hAnsi="Arial" w:cs="Arial"/>
                <w:color w:val="000000"/>
              </w:rPr>
              <w:t>Standard full dose chemotherapy (platinum with etoposide)</w:t>
            </w:r>
          </w:p>
        </w:tc>
        <w:tc>
          <w:tcPr>
            <w:tcW w:w="1559" w:type="dxa"/>
          </w:tcPr>
          <w:p w14:paraId="0D974677" w14:textId="77777777" w:rsidR="00CA0A75" w:rsidRDefault="00CA0A75">
            <w:pPr>
              <w:spacing w:line="480" w:lineRule="auto"/>
              <w:rPr>
                <w:rFonts w:ascii="Arial" w:eastAsia="Arial" w:hAnsi="Arial" w:cs="Arial"/>
              </w:rPr>
            </w:pPr>
          </w:p>
          <w:p w14:paraId="7F76EDB6" w14:textId="77777777" w:rsidR="00CA0A75" w:rsidRDefault="002D2DFC">
            <w:pPr>
              <w:spacing w:line="480" w:lineRule="auto"/>
              <w:rPr>
                <w:rFonts w:ascii="Arial" w:eastAsia="Arial" w:hAnsi="Arial" w:cs="Arial"/>
              </w:rPr>
            </w:pPr>
            <w:r>
              <w:rPr>
                <w:rFonts w:ascii="Arial" w:eastAsia="Arial" w:hAnsi="Arial" w:cs="Arial"/>
              </w:rPr>
              <w:t>49 (20.9)</w:t>
            </w:r>
          </w:p>
          <w:p w14:paraId="108A5EF3" w14:textId="77777777" w:rsidR="00CA0A75" w:rsidRDefault="002D2DFC">
            <w:pPr>
              <w:spacing w:line="480" w:lineRule="auto"/>
              <w:rPr>
                <w:rFonts w:ascii="Arial" w:eastAsia="Arial" w:hAnsi="Arial" w:cs="Arial"/>
              </w:rPr>
            </w:pPr>
            <w:r>
              <w:rPr>
                <w:rFonts w:ascii="Arial" w:eastAsia="Arial" w:hAnsi="Arial" w:cs="Arial"/>
              </w:rPr>
              <w:t>93 (39.7)</w:t>
            </w:r>
          </w:p>
          <w:p w14:paraId="27693F42" w14:textId="77777777" w:rsidR="00CA0A75" w:rsidRDefault="002D2DFC">
            <w:pPr>
              <w:spacing w:line="480" w:lineRule="auto"/>
              <w:rPr>
                <w:rFonts w:ascii="Arial" w:eastAsia="Arial" w:hAnsi="Arial" w:cs="Arial"/>
              </w:rPr>
            </w:pPr>
            <w:r>
              <w:rPr>
                <w:rFonts w:ascii="Arial" w:eastAsia="Arial" w:hAnsi="Arial" w:cs="Arial"/>
              </w:rPr>
              <w:t>30</w:t>
            </w:r>
          </w:p>
          <w:p w14:paraId="0BAC9C8C" w14:textId="77777777" w:rsidR="00CA0A75" w:rsidRDefault="002D2DFC">
            <w:pPr>
              <w:spacing w:line="480" w:lineRule="auto"/>
              <w:rPr>
                <w:rFonts w:ascii="Arial" w:eastAsia="Arial" w:hAnsi="Arial" w:cs="Arial"/>
              </w:rPr>
            </w:pPr>
            <w:r>
              <w:rPr>
                <w:rFonts w:ascii="Arial" w:eastAsia="Arial" w:hAnsi="Arial" w:cs="Arial"/>
              </w:rPr>
              <w:t>2</w:t>
            </w:r>
          </w:p>
          <w:p w14:paraId="77FE6AF7" w14:textId="77777777" w:rsidR="00CA0A75" w:rsidRDefault="002D2DFC">
            <w:pPr>
              <w:spacing w:line="480" w:lineRule="auto"/>
              <w:rPr>
                <w:rFonts w:ascii="Arial" w:eastAsia="Arial" w:hAnsi="Arial" w:cs="Arial"/>
              </w:rPr>
            </w:pPr>
            <w:r>
              <w:rPr>
                <w:rFonts w:ascii="Arial" w:eastAsia="Arial" w:hAnsi="Arial" w:cs="Arial"/>
              </w:rPr>
              <w:t>28</w:t>
            </w:r>
          </w:p>
          <w:p w14:paraId="0A74CC21" w14:textId="77777777" w:rsidR="00CA0A75" w:rsidRDefault="002D2DFC">
            <w:pPr>
              <w:spacing w:line="480" w:lineRule="auto"/>
              <w:rPr>
                <w:rFonts w:ascii="Arial" w:eastAsia="Arial" w:hAnsi="Arial" w:cs="Arial"/>
              </w:rPr>
            </w:pPr>
            <w:r>
              <w:rPr>
                <w:rFonts w:ascii="Arial" w:eastAsia="Arial" w:hAnsi="Arial" w:cs="Arial"/>
              </w:rPr>
              <w:t>24</w:t>
            </w:r>
          </w:p>
          <w:p w14:paraId="350411F6" w14:textId="77777777" w:rsidR="00C03D8F" w:rsidRDefault="00C03D8F">
            <w:pPr>
              <w:spacing w:line="480" w:lineRule="auto"/>
              <w:rPr>
                <w:rFonts w:ascii="Arial" w:eastAsia="Arial" w:hAnsi="Arial" w:cs="Arial"/>
              </w:rPr>
            </w:pPr>
          </w:p>
          <w:p w14:paraId="32924CB3" w14:textId="5DB2F23E" w:rsidR="00CA0A75" w:rsidRDefault="002D2DFC">
            <w:pPr>
              <w:spacing w:line="480" w:lineRule="auto"/>
              <w:rPr>
                <w:rFonts w:ascii="Arial" w:eastAsia="Arial" w:hAnsi="Arial" w:cs="Arial"/>
              </w:rPr>
            </w:pPr>
            <w:r>
              <w:rPr>
                <w:rFonts w:ascii="Arial" w:eastAsia="Arial" w:hAnsi="Arial" w:cs="Arial"/>
              </w:rPr>
              <w:t>7</w:t>
            </w:r>
          </w:p>
          <w:p w14:paraId="31952DBE" w14:textId="77777777" w:rsidR="00CA0A75" w:rsidRDefault="002D2DFC">
            <w:pPr>
              <w:spacing w:line="480" w:lineRule="auto"/>
              <w:rPr>
                <w:rFonts w:ascii="Arial" w:eastAsia="Arial" w:hAnsi="Arial" w:cs="Arial"/>
              </w:rPr>
            </w:pPr>
            <w:r>
              <w:rPr>
                <w:rFonts w:ascii="Arial" w:eastAsia="Arial" w:hAnsi="Arial" w:cs="Arial"/>
              </w:rPr>
              <w:t>2</w:t>
            </w:r>
          </w:p>
          <w:p w14:paraId="4308AD23" w14:textId="77777777" w:rsidR="00CA0A75" w:rsidRDefault="002D2DFC">
            <w:pPr>
              <w:spacing w:line="480" w:lineRule="auto"/>
              <w:rPr>
                <w:rFonts w:ascii="Arial" w:eastAsia="Arial" w:hAnsi="Arial" w:cs="Arial"/>
              </w:rPr>
            </w:pPr>
            <w:r>
              <w:rPr>
                <w:rFonts w:ascii="Arial" w:eastAsia="Arial" w:hAnsi="Arial" w:cs="Arial"/>
              </w:rPr>
              <w:t>61 (26.1)</w:t>
            </w:r>
          </w:p>
          <w:p w14:paraId="3EE6ECC2" w14:textId="77777777" w:rsidR="00CA0A75" w:rsidRDefault="002D2DFC">
            <w:pPr>
              <w:spacing w:line="480" w:lineRule="auto"/>
              <w:rPr>
                <w:rFonts w:ascii="Arial" w:eastAsia="Arial" w:hAnsi="Arial" w:cs="Arial"/>
              </w:rPr>
            </w:pPr>
            <w:r>
              <w:rPr>
                <w:rFonts w:ascii="Arial" w:eastAsia="Arial" w:hAnsi="Arial" w:cs="Arial"/>
              </w:rPr>
              <w:t>16</w:t>
            </w:r>
          </w:p>
          <w:p w14:paraId="3C15AE89" w14:textId="77777777" w:rsidR="00CA0A75" w:rsidRDefault="002D2DFC">
            <w:pPr>
              <w:spacing w:line="480" w:lineRule="auto"/>
              <w:rPr>
                <w:rFonts w:ascii="Arial" w:eastAsia="Arial" w:hAnsi="Arial" w:cs="Arial"/>
              </w:rPr>
            </w:pPr>
            <w:r>
              <w:rPr>
                <w:rFonts w:ascii="Arial" w:eastAsia="Arial" w:hAnsi="Arial" w:cs="Arial"/>
              </w:rPr>
              <w:t>43</w:t>
            </w:r>
          </w:p>
          <w:p w14:paraId="26D5925E" w14:textId="77777777" w:rsidR="00CA0A75" w:rsidRDefault="002D2DFC">
            <w:pPr>
              <w:spacing w:line="480" w:lineRule="auto"/>
              <w:rPr>
                <w:rFonts w:ascii="Arial" w:eastAsia="Arial" w:hAnsi="Arial" w:cs="Arial"/>
              </w:rPr>
            </w:pPr>
            <w:r>
              <w:rPr>
                <w:rFonts w:ascii="Arial" w:eastAsia="Arial" w:hAnsi="Arial" w:cs="Arial"/>
              </w:rPr>
              <w:t>1</w:t>
            </w:r>
          </w:p>
          <w:p w14:paraId="6A5CD665" w14:textId="77777777" w:rsidR="00CA0A75" w:rsidRDefault="002D2DFC">
            <w:pPr>
              <w:spacing w:line="480" w:lineRule="auto"/>
              <w:rPr>
                <w:rFonts w:ascii="Arial" w:eastAsia="Arial" w:hAnsi="Arial" w:cs="Arial"/>
              </w:rPr>
            </w:pPr>
            <w:r>
              <w:rPr>
                <w:rFonts w:ascii="Arial" w:eastAsia="Arial" w:hAnsi="Arial" w:cs="Arial"/>
              </w:rPr>
              <w:t>1</w:t>
            </w:r>
          </w:p>
          <w:p w14:paraId="0699CE04" w14:textId="77777777" w:rsidR="00CA0A75" w:rsidRDefault="002D2DFC">
            <w:pPr>
              <w:spacing w:line="480" w:lineRule="auto"/>
              <w:rPr>
                <w:rFonts w:ascii="Arial" w:eastAsia="Arial" w:hAnsi="Arial" w:cs="Arial"/>
              </w:rPr>
            </w:pPr>
            <w:r>
              <w:rPr>
                <w:rFonts w:ascii="Arial" w:eastAsia="Arial" w:hAnsi="Arial" w:cs="Arial"/>
              </w:rPr>
              <w:t>31 (13.2)</w:t>
            </w:r>
          </w:p>
        </w:tc>
      </w:tr>
      <w:tr w:rsidR="00CA0A75" w14:paraId="44EF7E5D" w14:textId="77777777">
        <w:tc>
          <w:tcPr>
            <w:tcW w:w="8330" w:type="dxa"/>
          </w:tcPr>
          <w:p w14:paraId="5639F53A" w14:textId="77777777" w:rsidR="00CA0A75" w:rsidRDefault="002D2DFC">
            <w:pPr>
              <w:spacing w:line="480" w:lineRule="auto"/>
              <w:rPr>
                <w:rFonts w:ascii="Arial" w:eastAsia="Arial" w:hAnsi="Arial" w:cs="Arial"/>
              </w:rPr>
            </w:pPr>
            <w:r>
              <w:rPr>
                <w:rFonts w:ascii="Arial" w:eastAsia="Arial" w:hAnsi="Arial" w:cs="Arial"/>
              </w:rPr>
              <w:t>Delivery of full dose chemotherapy-no. (%)</w:t>
            </w:r>
          </w:p>
          <w:p w14:paraId="088194FB" w14:textId="77777777" w:rsidR="00CA0A75" w:rsidRDefault="002D2DFC">
            <w:pPr>
              <w:numPr>
                <w:ilvl w:val="0"/>
                <w:numId w:val="3"/>
              </w:numPr>
              <w:pBdr>
                <w:top w:val="nil"/>
                <w:left w:val="nil"/>
                <w:bottom w:val="nil"/>
                <w:right w:val="nil"/>
                <w:between w:val="nil"/>
              </w:pBdr>
              <w:spacing w:line="480" w:lineRule="auto"/>
              <w:contextualSpacing/>
              <w:rPr>
                <w:color w:val="000000"/>
              </w:rPr>
            </w:pPr>
            <w:r>
              <w:rPr>
                <w:rFonts w:ascii="Arial" w:eastAsia="Arial" w:hAnsi="Arial" w:cs="Arial"/>
                <w:color w:val="000000"/>
              </w:rPr>
              <w:t>No</w:t>
            </w:r>
          </w:p>
          <w:p w14:paraId="6E3D0BAA" w14:textId="77777777" w:rsidR="00CA0A75" w:rsidRDefault="002D2DFC">
            <w:pPr>
              <w:numPr>
                <w:ilvl w:val="0"/>
                <w:numId w:val="3"/>
              </w:numPr>
              <w:pBdr>
                <w:top w:val="nil"/>
                <w:left w:val="nil"/>
                <w:bottom w:val="nil"/>
                <w:right w:val="nil"/>
                <w:between w:val="nil"/>
              </w:pBdr>
              <w:spacing w:after="160" w:line="480" w:lineRule="auto"/>
              <w:contextualSpacing/>
              <w:rPr>
                <w:color w:val="000000"/>
              </w:rPr>
            </w:pPr>
            <w:r>
              <w:rPr>
                <w:rFonts w:ascii="Arial" w:eastAsia="Arial" w:hAnsi="Arial" w:cs="Arial"/>
                <w:color w:val="000000"/>
              </w:rPr>
              <w:t>Yes</w:t>
            </w:r>
          </w:p>
          <w:p w14:paraId="36F57896" w14:textId="77777777" w:rsidR="00CA0A75" w:rsidRDefault="002D2DFC">
            <w:pPr>
              <w:spacing w:line="480" w:lineRule="auto"/>
              <w:ind w:left="360"/>
              <w:contextualSpacing/>
              <w:rPr>
                <w:rFonts w:ascii="Arial" w:eastAsia="Arial" w:hAnsi="Arial" w:cs="Arial"/>
              </w:rPr>
            </w:pPr>
            <w:r>
              <w:rPr>
                <w:rFonts w:ascii="Arial" w:eastAsia="Arial" w:hAnsi="Arial" w:cs="Arial"/>
              </w:rPr>
              <w:t xml:space="preserve">          Upfront</w:t>
            </w:r>
          </w:p>
          <w:p w14:paraId="021FE7D7" w14:textId="77777777" w:rsidR="00CA0A75" w:rsidRDefault="002D2DFC">
            <w:pPr>
              <w:spacing w:line="480" w:lineRule="auto"/>
              <w:ind w:left="360"/>
              <w:contextualSpacing/>
              <w:rPr>
                <w:rFonts w:ascii="Arial" w:eastAsia="Arial" w:hAnsi="Arial" w:cs="Arial"/>
              </w:rPr>
            </w:pPr>
            <w:r>
              <w:rPr>
                <w:rFonts w:ascii="Arial" w:eastAsia="Arial" w:hAnsi="Arial" w:cs="Arial"/>
              </w:rPr>
              <w:t xml:space="preserve">          After initial attenuated chemotherapy</w:t>
            </w:r>
          </w:p>
          <w:p w14:paraId="1D0DD250" w14:textId="77777777" w:rsidR="00CA0A75" w:rsidRDefault="002D2DFC">
            <w:pPr>
              <w:numPr>
                <w:ilvl w:val="0"/>
                <w:numId w:val="4"/>
              </w:numPr>
              <w:pBdr>
                <w:top w:val="nil"/>
                <w:left w:val="nil"/>
                <w:bottom w:val="nil"/>
                <w:right w:val="nil"/>
                <w:between w:val="nil"/>
              </w:pBdr>
              <w:spacing w:after="160" w:line="480" w:lineRule="auto"/>
              <w:contextualSpacing/>
              <w:rPr>
                <w:color w:val="000000"/>
              </w:rPr>
            </w:pPr>
            <w:r>
              <w:rPr>
                <w:rFonts w:ascii="Arial" w:eastAsia="Arial" w:hAnsi="Arial" w:cs="Arial"/>
                <w:color w:val="000000"/>
              </w:rPr>
              <w:t xml:space="preserve">Unknown </w:t>
            </w:r>
          </w:p>
        </w:tc>
        <w:tc>
          <w:tcPr>
            <w:tcW w:w="1559" w:type="dxa"/>
          </w:tcPr>
          <w:p w14:paraId="364A0B2D" w14:textId="77777777" w:rsidR="00CA0A75" w:rsidRDefault="00CA0A75">
            <w:pPr>
              <w:spacing w:line="480" w:lineRule="auto"/>
              <w:rPr>
                <w:rFonts w:ascii="Arial" w:eastAsia="Arial" w:hAnsi="Arial" w:cs="Arial"/>
              </w:rPr>
            </w:pPr>
          </w:p>
          <w:p w14:paraId="519B8C19" w14:textId="77777777" w:rsidR="00CA0A75" w:rsidRDefault="002D2DFC">
            <w:pPr>
              <w:spacing w:line="480" w:lineRule="auto"/>
              <w:contextualSpacing/>
              <w:rPr>
                <w:rFonts w:ascii="Arial" w:eastAsia="Arial" w:hAnsi="Arial" w:cs="Arial"/>
              </w:rPr>
            </w:pPr>
            <w:r>
              <w:rPr>
                <w:rFonts w:ascii="Arial" w:eastAsia="Arial" w:hAnsi="Arial" w:cs="Arial"/>
              </w:rPr>
              <w:t>128 (54.7)</w:t>
            </w:r>
          </w:p>
          <w:p w14:paraId="575A7140" w14:textId="77777777" w:rsidR="00CA0A75" w:rsidRDefault="002D2DFC">
            <w:pPr>
              <w:spacing w:line="480" w:lineRule="auto"/>
              <w:contextualSpacing/>
              <w:rPr>
                <w:rFonts w:ascii="Arial" w:eastAsia="Arial" w:hAnsi="Arial" w:cs="Arial"/>
              </w:rPr>
            </w:pPr>
            <w:r>
              <w:rPr>
                <w:rFonts w:ascii="Arial" w:eastAsia="Arial" w:hAnsi="Arial" w:cs="Arial"/>
              </w:rPr>
              <w:t>105 (44.9)</w:t>
            </w:r>
          </w:p>
          <w:p w14:paraId="43B779BE" w14:textId="77777777" w:rsidR="00CA0A75" w:rsidRDefault="002D2DFC">
            <w:pPr>
              <w:spacing w:line="480" w:lineRule="auto"/>
              <w:contextualSpacing/>
              <w:rPr>
                <w:rFonts w:ascii="Arial" w:eastAsia="Arial" w:hAnsi="Arial" w:cs="Arial"/>
              </w:rPr>
            </w:pPr>
            <w:r>
              <w:rPr>
                <w:rFonts w:ascii="Arial" w:eastAsia="Arial" w:hAnsi="Arial" w:cs="Arial"/>
              </w:rPr>
              <w:t xml:space="preserve">  31</w:t>
            </w:r>
          </w:p>
          <w:p w14:paraId="70C65187" w14:textId="77777777" w:rsidR="00CA0A75" w:rsidRDefault="002D2DFC">
            <w:pPr>
              <w:spacing w:line="480" w:lineRule="auto"/>
              <w:contextualSpacing/>
              <w:rPr>
                <w:rFonts w:ascii="Arial" w:eastAsia="Arial" w:hAnsi="Arial" w:cs="Arial"/>
              </w:rPr>
            </w:pPr>
            <w:r>
              <w:rPr>
                <w:rFonts w:ascii="Arial" w:eastAsia="Arial" w:hAnsi="Arial" w:cs="Arial"/>
              </w:rPr>
              <w:t xml:space="preserve">  74</w:t>
            </w:r>
          </w:p>
          <w:p w14:paraId="03328A47" w14:textId="77777777" w:rsidR="00CA0A75" w:rsidRDefault="002D2DFC">
            <w:pPr>
              <w:spacing w:line="480" w:lineRule="auto"/>
              <w:contextualSpacing/>
              <w:rPr>
                <w:rFonts w:ascii="Arial" w:eastAsia="Arial" w:hAnsi="Arial" w:cs="Arial"/>
              </w:rPr>
            </w:pPr>
            <w:r>
              <w:rPr>
                <w:rFonts w:ascii="Arial" w:eastAsia="Arial" w:hAnsi="Arial" w:cs="Arial"/>
              </w:rPr>
              <w:t xml:space="preserve"> 1 (0.4)</w:t>
            </w:r>
          </w:p>
        </w:tc>
      </w:tr>
      <w:tr w:rsidR="00CA0A75" w14:paraId="58EB97D6" w14:textId="77777777">
        <w:tc>
          <w:tcPr>
            <w:tcW w:w="8330" w:type="dxa"/>
          </w:tcPr>
          <w:p w14:paraId="32CF94F3" w14:textId="77777777" w:rsidR="00CA0A75" w:rsidRDefault="002D2DFC">
            <w:pPr>
              <w:spacing w:line="480" w:lineRule="auto"/>
              <w:rPr>
                <w:rFonts w:ascii="Arial" w:eastAsia="Arial" w:hAnsi="Arial" w:cs="Arial"/>
              </w:rPr>
            </w:pPr>
            <w:r>
              <w:rPr>
                <w:rFonts w:ascii="Arial" w:eastAsia="Arial" w:hAnsi="Arial" w:cs="Arial"/>
              </w:rPr>
              <w:t>Reason for non-receipt of full dose chemotherapy (n= 128)</w:t>
            </w:r>
          </w:p>
          <w:p w14:paraId="6091EC9E" w14:textId="77777777" w:rsidR="00CA0A75" w:rsidRDefault="002D2DFC">
            <w:pPr>
              <w:numPr>
                <w:ilvl w:val="0"/>
                <w:numId w:val="4"/>
              </w:numPr>
              <w:pBdr>
                <w:top w:val="nil"/>
                <w:left w:val="nil"/>
                <w:bottom w:val="nil"/>
                <w:right w:val="nil"/>
                <w:between w:val="nil"/>
              </w:pBdr>
              <w:spacing w:line="480" w:lineRule="auto"/>
              <w:rPr>
                <w:color w:val="000000"/>
              </w:rPr>
            </w:pPr>
            <w:r>
              <w:rPr>
                <w:rFonts w:ascii="Arial" w:eastAsia="Arial" w:hAnsi="Arial" w:cs="Arial"/>
                <w:color w:val="000000"/>
              </w:rPr>
              <w:t>Patient or physician decided on no systemic therapy at presentation</w:t>
            </w:r>
          </w:p>
          <w:p w14:paraId="592F4808" w14:textId="77777777" w:rsidR="00CA0A75" w:rsidRDefault="002D2DFC">
            <w:pPr>
              <w:numPr>
                <w:ilvl w:val="0"/>
                <w:numId w:val="4"/>
              </w:numPr>
              <w:pBdr>
                <w:top w:val="nil"/>
                <w:left w:val="nil"/>
                <w:bottom w:val="nil"/>
                <w:right w:val="nil"/>
                <w:between w:val="nil"/>
              </w:pBdr>
              <w:spacing w:line="480" w:lineRule="auto"/>
              <w:rPr>
                <w:color w:val="000000"/>
              </w:rPr>
            </w:pPr>
            <w:r>
              <w:rPr>
                <w:rFonts w:ascii="Arial" w:eastAsia="Arial" w:hAnsi="Arial" w:cs="Arial"/>
                <w:color w:val="000000"/>
              </w:rPr>
              <w:lastRenderedPageBreak/>
              <w:t>Patient went to local place and continued initial attenuated regimen, or stopped therapy locally</w:t>
            </w:r>
          </w:p>
          <w:p w14:paraId="05EB448F" w14:textId="77777777" w:rsidR="00CA0A75" w:rsidRDefault="002D2DFC">
            <w:pPr>
              <w:numPr>
                <w:ilvl w:val="0"/>
                <w:numId w:val="4"/>
              </w:numPr>
              <w:pBdr>
                <w:top w:val="nil"/>
                <w:left w:val="nil"/>
                <w:bottom w:val="nil"/>
                <w:right w:val="nil"/>
                <w:between w:val="nil"/>
              </w:pBdr>
              <w:spacing w:line="480" w:lineRule="auto"/>
              <w:rPr>
                <w:color w:val="000000"/>
              </w:rPr>
            </w:pPr>
            <w:r>
              <w:rPr>
                <w:rFonts w:ascii="Arial" w:eastAsia="Arial" w:hAnsi="Arial" w:cs="Arial"/>
                <w:color w:val="000000"/>
              </w:rPr>
              <w:t>Patient died of disease before chemotherapy could be administered</w:t>
            </w:r>
          </w:p>
          <w:p w14:paraId="2DB1D9C6" w14:textId="77777777" w:rsidR="00CA0A75" w:rsidRDefault="002D2DFC">
            <w:pPr>
              <w:numPr>
                <w:ilvl w:val="0"/>
                <w:numId w:val="4"/>
              </w:numPr>
              <w:pBdr>
                <w:top w:val="nil"/>
                <w:left w:val="nil"/>
                <w:bottom w:val="nil"/>
                <w:right w:val="nil"/>
                <w:between w:val="nil"/>
              </w:pBdr>
              <w:spacing w:line="480" w:lineRule="auto"/>
              <w:rPr>
                <w:color w:val="000000"/>
              </w:rPr>
            </w:pPr>
            <w:r>
              <w:rPr>
                <w:rFonts w:ascii="Arial" w:eastAsia="Arial" w:hAnsi="Arial" w:cs="Arial"/>
                <w:color w:val="000000"/>
              </w:rPr>
              <w:t>Performance status did not improve with attenuated chemotherapy</w:t>
            </w:r>
          </w:p>
          <w:p w14:paraId="1AFC40C5" w14:textId="77777777" w:rsidR="00CA0A75" w:rsidRDefault="002D2DFC">
            <w:pPr>
              <w:numPr>
                <w:ilvl w:val="0"/>
                <w:numId w:val="4"/>
              </w:numPr>
              <w:pBdr>
                <w:top w:val="nil"/>
                <w:left w:val="nil"/>
                <w:bottom w:val="nil"/>
                <w:right w:val="nil"/>
                <w:between w:val="nil"/>
              </w:pBdr>
              <w:spacing w:line="480" w:lineRule="auto"/>
              <w:rPr>
                <w:color w:val="000000"/>
              </w:rPr>
            </w:pPr>
            <w:r>
              <w:rPr>
                <w:rFonts w:ascii="Arial" w:eastAsia="Arial" w:hAnsi="Arial" w:cs="Arial"/>
                <w:color w:val="000000"/>
              </w:rPr>
              <w:t>Toxicity of attenuated chemotherapy regimen</w:t>
            </w:r>
          </w:p>
          <w:p w14:paraId="5A4D961D" w14:textId="77777777" w:rsidR="00CA0A75" w:rsidRDefault="002D2DFC">
            <w:pPr>
              <w:numPr>
                <w:ilvl w:val="0"/>
                <w:numId w:val="4"/>
              </w:numPr>
              <w:pBdr>
                <w:top w:val="nil"/>
                <w:left w:val="nil"/>
                <w:bottom w:val="nil"/>
                <w:right w:val="nil"/>
                <w:between w:val="nil"/>
              </w:pBdr>
              <w:spacing w:line="480" w:lineRule="auto"/>
              <w:rPr>
                <w:color w:val="000000"/>
              </w:rPr>
            </w:pPr>
            <w:r>
              <w:rPr>
                <w:rFonts w:ascii="Arial" w:eastAsia="Arial" w:hAnsi="Arial" w:cs="Arial"/>
                <w:color w:val="000000"/>
              </w:rPr>
              <w:t>Organ dysfunction or advanced age</w:t>
            </w:r>
          </w:p>
          <w:p w14:paraId="6D84BA7D" w14:textId="77777777" w:rsidR="00CA0A75" w:rsidRDefault="002D2DFC">
            <w:pPr>
              <w:numPr>
                <w:ilvl w:val="0"/>
                <w:numId w:val="4"/>
              </w:numPr>
              <w:pBdr>
                <w:top w:val="nil"/>
                <w:left w:val="nil"/>
                <w:bottom w:val="nil"/>
                <w:right w:val="nil"/>
                <w:between w:val="nil"/>
              </w:pBdr>
              <w:spacing w:after="160" w:line="480" w:lineRule="auto"/>
              <w:rPr>
                <w:color w:val="000000"/>
              </w:rPr>
            </w:pPr>
            <w:r>
              <w:rPr>
                <w:rFonts w:ascii="Arial" w:eastAsia="Arial" w:hAnsi="Arial" w:cs="Arial"/>
                <w:color w:val="000000"/>
              </w:rPr>
              <w:t>Unknown</w:t>
            </w:r>
          </w:p>
        </w:tc>
        <w:tc>
          <w:tcPr>
            <w:tcW w:w="1559" w:type="dxa"/>
          </w:tcPr>
          <w:p w14:paraId="17F33317" w14:textId="77777777" w:rsidR="00CA0A75" w:rsidRDefault="00CA0A75">
            <w:pPr>
              <w:spacing w:line="480" w:lineRule="auto"/>
              <w:rPr>
                <w:rFonts w:ascii="Arial" w:eastAsia="Arial" w:hAnsi="Arial" w:cs="Arial"/>
              </w:rPr>
            </w:pPr>
          </w:p>
          <w:p w14:paraId="67FBBF90" w14:textId="77777777" w:rsidR="00CA0A75" w:rsidRDefault="002D2DFC">
            <w:pPr>
              <w:spacing w:line="480" w:lineRule="auto"/>
              <w:rPr>
                <w:rFonts w:ascii="Arial" w:eastAsia="Arial" w:hAnsi="Arial" w:cs="Arial"/>
              </w:rPr>
            </w:pPr>
            <w:r>
              <w:rPr>
                <w:rFonts w:ascii="Arial" w:eastAsia="Arial" w:hAnsi="Arial" w:cs="Arial"/>
              </w:rPr>
              <w:t>45</w:t>
            </w:r>
          </w:p>
          <w:p w14:paraId="3FF0D8B8" w14:textId="77777777" w:rsidR="00CA0A75" w:rsidRDefault="002D2DFC">
            <w:pPr>
              <w:spacing w:line="480" w:lineRule="auto"/>
              <w:rPr>
                <w:rFonts w:ascii="Arial" w:eastAsia="Arial" w:hAnsi="Arial" w:cs="Arial"/>
              </w:rPr>
            </w:pPr>
            <w:r>
              <w:rPr>
                <w:rFonts w:ascii="Arial" w:eastAsia="Arial" w:hAnsi="Arial" w:cs="Arial"/>
              </w:rPr>
              <w:lastRenderedPageBreak/>
              <w:t>30</w:t>
            </w:r>
          </w:p>
          <w:p w14:paraId="15B6E9C8" w14:textId="77777777" w:rsidR="00CA0A75" w:rsidRDefault="00CA0A75">
            <w:pPr>
              <w:spacing w:line="480" w:lineRule="auto"/>
              <w:rPr>
                <w:rFonts w:ascii="Arial" w:eastAsia="Arial" w:hAnsi="Arial" w:cs="Arial"/>
              </w:rPr>
            </w:pPr>
          </w:p>
          <w:p w14:paraId="25335674" w14:textId="77777777" w:rsidR="00CA0A75" w:rsidRDefault="002D2DFC">
            <w:pPr>
              <w:spacing w:line="480" w:lineRule="auto"/>
              <w:rPr>
                <w:rFonts w:ascii="Arial" w:eastAsia="Arial" w:hAnsi="Arial" w:cs="Arial"/>
              </w:rPr>
            </w:pPr>
            <w:r>
              <w:rPr>
                <w:rFonts w:ascii="Arial" w:eastAsia="Arial" w:hAnsi="Arial" w:cs="Arial"/>
              </w:rPr>
              <w:t>15</w:t>
            </w:r>
          </w:p>
          <w:p w14:paraId="3D886DD7" w14:textId="77777777" w:rsidR="00CA0A75" w:rsidRDefault="002D2DFC">
            <w:pPr>
              <w:spacing w:line="480" w:lineRule="auto"/>
              <w:rPr>
                <w:rFonts w:ascii="Arial" w:eastAsia="Arial" w:hAnsi="Arial" w:cs="Arial"/>
              </w:rPr>
            </w:pPr>
            <w:r>
              <w:rPr>
                <w:rFonts w:ascii="Arial" w:eastAsia="Arial" w:hAnsi="Arial" w:cs="Arial"/>
              </w:rPr>
              <w:t>18</w:t>
            </w:r>
          </w:p>
          <w:p w14:paraId="35EAB8CF" w14:textId="77777777" w:rsidR="00CA0A75" w:rsidRDefault="002D2DFC">
            <w:pPr>
              <w:spacing w:line="480" w:lineRule="auto"/>
              <w:rPr>
                <w:rFonts w:ascii="Arial" w:eastAsia="Arial" w:hAnsi="Arial" w:cs="Arial"/>
              </w:rPr>
            </w:pPr>
            <w:r>
              <w:rPr>
                <w:rFonts w:ascii="Arial" w:eastAsia="Arial" w:hAnsi="Arial" w:cs="Arial"/>
              </w:rPr>
              <w:t>10</w:t>
            </w:r>
          </w:p>
          <w:p w14:paraId="08C09FAA" w14:textId="77777777" w:rsidR="00CA0A75" w:rsidRDefault="002D2DFC">
            <w:pPr>
              <w:spacing w:line="480" w:lineRule="auto"/>
              <w:rPr>
                <w:rFonts w:ascii="Arial" w:eastAsia="Arial" w:hAnsi="Arial" w:cs="Arial"/>
              </w:rPr>
            </w:pPr>
            <w:r>
              <w:rPr>
                <w:rFonts w:ascii="Arial" w:eastAsia="Arial" w:hAnsi="Arial" w:cs="Arial"/>
              </w:rPr>
              <w:t>5</w:t>
            </w:r>
          </w:p>
          <w:p w14:paraId="60B9F4A7" w14:textId="77777777" w:rsidR="00CA0A75" w:rsidRDefault="002D2DFC">
            <w:pPr>
              <w:spacing w:line="480" w:lineRule="auto"/>
              <w:rPr>
                <w:rFonts w:ascii="Arial" w:eastAsia="Arial" w:hAnsi="Arial" w:cs="Arial"/>
              </w:rPr>
            </w:pPr>
            <w:r>
              <w:rPr>
                <w:rFonts w:ascii="Arial" w:eastAsia="Arial" w:hAnsi="Arial" w:cs="Arial"/>
              </w:rPr>
              <w:t>5</w:t>
            </w:r>
          </w:p>
        </w:tc>
      </w:tr>
    </w:tbl>
    <w:p w14:paraId="612CDF88" w14:textId="77777777" w:rsidR="00CA0A75" w:rsidRDefault="002D2DFC">
      <w:pPr>
        <w:spacing w:after="0" w:line="480" w:lineRule="auto"/>
        <w:rPr>
          <w:rFonts w:ascii="Arial" w:eastAsia="Arial" w:hAnsi="Arial" w:cs="Arial"/>
        </w:rPr>
      </w:pPr>
      <w:r>
        <w:rPr>
          <w:rFonts w:ascii="Arial" w:eastAsia="Arial" w:hAnsi="Arial" w:cs="Arial"/>
          <w:vertAlign w:val="superscript"/>
        </w:rPr>
        <w:lastRenderedPageBreak/>
        <w:t>*</w:t>
      </w:r>
      <w:r>
        <w:rPr>
          <w:rFonts w:ascii="Arial" w:eastAsia="Arial" w:hAnsi="Arial" w:cs="Arial"/>
        </w:rPr>
        <w:t xml:space="preserve">AUC, area under the curve, calculated by Calvert’s formula. </w:t>
      </w:r>
    </w:p>
    <w:p w14:paraId="118848BD" w14:textId="77777777" w:rsidR="00CA0A75" w:rsidRDefault="002D2DFC">
      <w:pPr>
        <w:spacing w:after="0" w:line="480" w:lineRule="auto"/>
        <w:rPr>
          <w:rFonts w:ascii="Arial" w:eastAsia="Arial" w:hAnsi="Arial" w:cs="Arial"/>
        </w:rPr>
      </w:pPr>
      <w:r>
        <w:rPr>
          <w:rFonts w:ascii="Arial" w:eastAsia="Arial" w:hAnsi="Arial" w:cs="Arial"/>
          <w:vertAlign w:val="superscript"/>
        </w:rPr>
        <w:t>**</w:t>
      </w:r>
      <w:r>
        <w:rPr>
          <w:rFonts w:ascii="Arial" w:eastAsia="Arial" w:hAnsi="Arial" w:cs="Arial"/>
        </w:rPr>
        <w:t>IV,</w:t>
      </w:r>
      <w:r>
        <w:rPr>
          <w:rFonts w:ascii="Arial" w:eastAsia="Arial" w:hAnsi="Arial" w:cs="Arial"/>
          <w:vertAlign w:val="superscript"/>
        </w:rPr>
        <w:t xml:space="preserve"> </w:t>
      </w:r>
      <w:r>
        <w:rPr>
          <w:rFonts w:ascii="Arial" w:eastAsia="Arial" w:hAnsi="Arial" w:cs="Arial"/>
        </w:rPr>
        <w:t xml:space="preserve">intravenous; </w:t>
      </w:r>
      <w:r>
        <w:rPr>
          <w:rFonts w:ascii="Arial" w:eastAsia="Arial" w:hAnsi="Arial" w:cs="Arial"/>
          <w:vertAlign w:val="superscript"/>
        </w:rPr>
        <w:t>#</w:t>
      </w:r>
      <w:r>
        <w:rPr>
          <w:rFonts w:ascii="Arial" w:eastAsia="Arial" w:hAnsi="Arial" w:cs="Arial"/>
        </w:rPr>
        <w:t>Other single agent chemotherapy regimens: 1-erlotinib, 1-cyclophosphamide 1g IV</w:t>
      </w:r>
    </w:p>
    <w:p w14:paraId="63EBB0F3" w14:textId="77777777" w:rsidR="005530E5" w:rsidRDefault="005530E5">
      <w:pPr>
        <w:spacing w:line="480" w:lineRule="auto"/>
        <w:rPr>
          <w:rFonts w:ascii="Arial" w:eastAsia="Arial" w:hAnsi="Arial" w:cs="Arial"/>
          <w:b/>
        </w:rPr>
      </w:pPr>
    </w:p>
    <w:p w14:paraId="345B3674" w14:textId="4743A8C6" w:rsidR="00CA0A75" w:rsidRPr="00D5337C" w:rsidRDefault="002D2DFC">
      <w:pPr>
        <w:spacing w:line="480" w:lineRule="auto"/>
        <w:rPr>
          <w:rFonts w:ascii="Arial" w:eastAsia="Arial" w:hAnsi="Arial" w:cs="Arial"/>
        </w:rPr>
      </w:pPr>
      <w:r w:rsidRPr="00D5337C">
        <w:rPr>
          <w:rFonts w:ascii="Arial" w:eastAsia="Arial" w:hAnsi="Arial" w:cs="Arial"/>
          <w:b/>
        </w:rPr>
        <w:t>Table 3</w:t>
      </w:r>
      <w:r w:rsidRPr="00D5337C">
        <w:rPr>
          <w:rFonts w:ascii="Arial" w:eastAsia="Arial" w:hAnsi="Arial" w:cs="Arial"/>
        </w:rPr>
        <w:t xml:space="preserve">: The demographics and baseline disease characteristics of the patients </w:t>
      </w:r>
      <w:r w:rsidR="00267639">
        <w:rPr>
          <w:rFonts w:ascii="Arial" w:eastAsia="Arial" w:hAnsi="Arial" w:cs="Arial"/>
        </w:rPr>
        <w:t xml:space="preserve">with small cell lung cancer and poor performance status, </w:t>
      </w:r>
      <w:r w:rsidRPr="00D5337C">
        <w:rPr>
          <w:rFonts w:ascii="Arial" w:eastAsia="Arial" w:hAnsi="Arial" w:cs="Arial"/>
        </w:rPr>
        <w:t xml:space="preserve">grouped according to the initial therapy they received-best supportive care, attenuated </w:t>
      </w:r>
      <w:proofErr w:type="gramStart"/>
      <w:r w:rsidRPr="00D5337C">
        <w:rPr>
          <w:rFonts w:ascii="Arial" w:eastAsia="Arial" w:hAnsi="Arial" w:cs="Arial"/>
        </w:rPr>
        <w:t>chemotherapy</w:t>
      </w:r>
      <w:proofErr w:type="gramEnd"/>
      <w:r w:rsidRPr="00D5337C">
        <w:rPr>
          <w:rFonts w:ascii="Arial" w:eastAsia="Arial" w:hAnsi="Arial" w:cs="Arial"/>
        </w:rPr>
        <w:t xml:space="preserve"> and standard full-dose chemotherapy.</w:t>
      </w:r>
    </w:p>
    <w:tbl>
      <w:tblPr>
        <w:tblStyle w:val="a5"/>
        <w:tblW w:w="9006" w:type="dxa"/>
        <w:tblLayout w:type="fixed"/>
        <w:tblLook w:val="0400" w:firstRow="0" w:lastRow="0" w:firstColumn="0" w:lastColumn="0" w:noHBand="0" w:noVBand="1"/>
      </w:tblPr>
      <w:tblGrid>
        <w:gridCol w:w="1671"/>
        <w:gridCol w:w="1682"/>
        <w:gridCol w:w="2623"/>
        <w:gridCol w:w="1669"/>
        <w:gridCol w:w="1361"/>
      </w:tblGrid>
      <w:tr w:rsidR="00CA0A75" w:rsidRPr="00D5337C" w14:paraId="18654AD0" w14:textId="77777777" w:rsidTr="006F7AB5">
        <w:trPr>
          <w:trHeight w:val="600"/>
        </w:trPr>
        <w:tc>
          <w:tcPr>
            <w:tcW w:w="1671" w:type="dxa"/>
            <w:tcBorders>
              <w:top w:val="single" w:sz="8" w:space="0" w:color="000000"/>
              <w:left w:val="single" w:sz="8" w:space="0" w:color="000000"/>
              <w:bottom w:val="single" w:sz="8" w:space="0" w:color="000000"/>
              <w:right w:val="single" w:sz="8" w:space="0" w:color="000000"/>
            </w:tcBorders>
            <w:shd w:val="clear" w:color="auto" w:fill="auto"/>
          </w:tcPr>
          <w:p w14:paraId="2A44D808" w14:textId="77777777"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Characteristics</w:t>
            </w:r>
          </w:p>
        </w:tc>
        <w:tc>
          <w:tcPr>
            <w:tcW w:w="1682" w:type="dxa"/>
            <w:tcBorders>
              <w:top w:val="single" w:sz="8" w:space="0" w:color="000000"/>
              <w:left w:val="nil"/>
              <w:bottom w:val="single" w:sz="8" w:space="0" w:color="000000"/>
              <w:right w:val="single" w:sz="8" w:space="0" w:color="000000"/>
            </w:tcBorders>
            <w:shd w:val="clear" w:color="auto" w:fill="auto"/>
          </w:tcPr>
          <w:p w14:paraId="2E208738" w14:textId="77777777"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Best supportive care (n=49)</w:t>
            </w:r>
          </w:p>
        </w:tc>
        <w:tc>
          <w:tcPr>
            <w:tcW w:w="2623" w:type="dxa"/>
            <w:tcBorders>
              <w:top w:val="single" w:sz="8" w:space="0" w:color="000000"/>
              <w:left w:val="nil"/>
              <w:bottom w:val="single" w:sz="8" w:space="0" w:color="000000"/>
              <w:right w:val="single" w:sz="8" w:space="0" w:color="000000"/>
            </w:tcBorders>
            <w:shd w:val="clear" w:color="auto" w:fill="auto"/>
          </w:tcPr>
          <w:p w14:paraId="30F040CB" w14:textId="77777777"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Attenuated chemotherapy (n=154)</w:t>
            </w:r>
          </w:p>
        </w:tc>
        <w:tc>
          <w:tcPr>
            <w:tcW w:w="1669" w:type="dxa"/>
            <w:tcBorders>
              <w:top w:val="single" w:sz="8" w:space="0" w:color="000000"/>
              <w:left w:val="nil"/>
              <w:bottom w:val="single" w:sz="8" w:space="0" w:color="000000"/>
              <w:right w:val="single" w:sz="8" w:space="0" w:color="000000"/>
            </w:tcBorders>
            <w:shd w:val="clear" w:color="auto" w:fill="auto"/>
          </w:tcPr>
          <w:p w14:paraId="0BF2703C" w14:textId="77777777"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Standard full dose chemotherapy (n=31)</w:t>
            </w:r>
          </w:p>
        </w:tc>
        <w:tc>
          <w:tcPr>
            <w:tcW w:w="1361" w:type="dxa"/>
            <w:tcBorders>
              <w:top w:val="single" w:sz="8" w:space="0" w:color="000000"/>
              <w:left w:val="nil"/>
              <w:bottom w:val="single" w:sz="8" w:space="0" w:color="000000"/>
              <w:right w:val="single" w:sz="8" w:space="0" w:color="000000"/>
            </w:tcBorders>
            <w:shd w:val="clear" w:color="auto" w:fill="auto"/>
          </w:tcPr>
          <w:p w14:paraId="6EC86205" w14:textId="77777777" w:rsidR="00CA0A75" w:rsidRPr="00D5337C" w:rsidRDefault="002D2DFC" w:rsidP="006F7AB5">
            <w:pPr>
              <w:spacing w:after="0" w:line="480" w:lineRule="auto"/>
              <w:jc w:val="center"/>
              <w:rPr>
                <w:rFonts w:ascii="Arial" w:eastAsia="Arial" w:hAnsi="Arial" w:cs="Arial"/>
                <w:i/>
                <w:color w:val="000000"/>
              </w:rPr>
            </w:pPr>
            <w:r w:rsidRPr="00D5337C">
              <w:rPr>
                <w:rFonts w:ascii="Arial" w:eastAsia="Arial" w:hAnsi="Arial" w:cs="Arial"/>
                <w:color w:val="000000"/>
              </w:rPr>
              <w:t>P-value</w:t>
            </w:r>
          </w:p>
        </w:tc>
      </w:tr>
      <w:tr w:rsidR="00CA0A75" w:rsidRPr="00D5337C" w14:paraId="2D3891A9" w14:textId="77777777" w:rsidTr="006F7AB5">
        <w:trPr>
          <w:trHeight w:val="600"/>
        </w:trPr>
        <w:tc>
          <w:tcPr>
            <w:tcW w:w="1671" w:type="dxa"/>
            <w:tcBorders>
              <w:top w:val="nil"/>
              <w:left w:val="single" w:sz="8" w:space="0" w:color="000000"/>
              <w:bottom w:val="single" w:sz="8" w:space="0" w:color="000000"/>
              <w:right w:val="single" w:sz="8" w:space="0" w:color="000000"/>
            </w:tcBorders>
            <w:shd w:val="clear" w:color="auto" w:fill="auto"/>
          </w:tcPr>
          <w:p w14:paraId="00F3BDBF" w14:textId="1158888D"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 xml:space="preserve">Age-mean in years </w:t>
            </w:r>
          </w:p>
        </w:tc>
        <w:tc>
          <w:tcPr>
            <w:tcW w:w="1682" w:type="dxa"/>
            <w:tcBorders>
              <w:top w:val="nil"/>
              <w:left w:val="nil"/>
              <w:bottom w:val="single" w:sz="8" w:space="0" w:color="000000"/>
              <w:right w:val="single" w:sz="8" w:space="0" w:color="000000"/>
            </w:tcBorders>
            <w:shd w:val="clear" w:color="auto" w:fill="auto"/>
          </w:tcPr>
          <w:p w14:paraId="21C2F3FF" w14:textId="0C7B4EFC"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63</w:t>
            </w:r>
          </w:p>
        </w:tc>
        <w:tc>
          <w:tcPr>
            <w:tcW w:w="2623" w:type="dxa"/>
            <w:tcBorders>
              <w:top w:val="nil"/>
              <w:left w:val="nil"/>
              <w:bottom w:val="single" w:sz="8" w:space="0" w:color="000000"/>
              <w:right w:val="single" w:sz="8" w:space="0" w:color="000000"/>
            </w:tcBorders>
            <w:shd w:val="clear" w:color="auto" w:fill="auto"/>
          </w:tcPr>
          <w:p w14:paraId="4F174C89" w14:textId="7191D124"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60</w:t>
            </w:r>
          </w:p>
        </w:tc>
        <w:tc>
          <w:tcPr>
            <w:tcW w:w="1669" w:type="dxa"/>
            <w:tcBorders>
              <w:top w:val="nil"/>
              <w:left w:val="nil"/>
              <w:bottom w:val="single" w:sz="8" w:space="0" w:color="000000"/>
              <w:right w:val="single" w:sz="8" w:space="0" w:color="000000"/>
            </w:tcBorders>
            <w:shd w:val="clear" w:color="auto" w:fill="auto"/>
          </w:tcPr>
          <w:p w14:paraId="4BE01360" w14:textId="021149BE"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54</w:t>
            </w:r>
          </w:p>
        </w:tc>
        <w:tc>
          <w:tcPr>
            <w:tcW w:w="1361" w:type="dxa"/>
            <w:tcBorders>
              <w:top w:val="nil"/>
              <w:left w:val="nil"/>
              <w:bottom w:val="single" w:sz="8" w:space="0" w:color="000000"/>
              <w:right w:val="single" w:sz="8" w:space="0" w:color="000000"/>
            </w:tcBorders>
            <w:shd w:val="clear" w:color="auto" w:fill="auto"/>
          </w:tcPr>
          <w:p w14:paraId="6E5425BC" w14:textId="77777777" w:rsidR="00CA0A75" w:rsidRPr="00D5337C" w:rsidRDefault="002D2DFC" w:rsidP="006F7AB5">
            <w:pPr>
              <w:spacing w:after="0" w:line="480" w:lineRule="auto"/>
              <w:jc w:val="center"/>
              <w:rPr>
                <w:rFonts w:ascii="Arial" w:eastAsia="Arial" w:hAnsi="Arial" w:cs="Arial"/>
                <w:color w:val="000000"/>
              </w:rPr>
            </w:pPr>
            <w:r w:rsidRPr="00D5337C">
              <w:rPr>
                <w:rFonts w:ascii="Arial" w:eastAsia="Arial" w:hAnsi="Arial" w:cs="Arial"/>
                <w:color w:val="000000"/>
              </w:rPr>
              <w:t>&lt;0.001</w:t>
            </w:r>
          </w:p>
        </w:tc>
      </w:tr>
      <w:tr w:rsidR="00CA0A75" w:rsidRPr="00D5337C" w14:paraId="3B6A1440" w14:textId="77777777" w:rsidTr="006F7AB5">
        <w:trPr>
          <w:trHeight w:val="300"/>
        </w:trPr>
        <w:tc>
          <w:tcPr>
            <w:tcW w:w="1671" w:type="dxa"/>
            <w:tcBorders>
              <w:top w:val="nil"/>
              <w:left w:val="single" w:sz="8" w:space="0" w:color="000000"/>
              <w:bottom w:val="single" w:sz="8" w:space="0" w:color="000000"/>
              <w:right w:val="single" w:sz="8" w:space="0" w:color="000000"/>
            </w:tcBorders>
            <w:shd w:val="clear" w:color="auto" w:fill="auto"/>
          </w:tcPr>
          <w:p w14:paraId="6E38DDAE" w14:textId="77777777"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PS 4 patients (%)</w:t>
            </w:r>
          </w:p>
        </w:tc>
        <w:tc>
          <w:tcPr>
            <w:tcW w:w="1682" w:type="dxa"/>
            <w:tcBorders>
              <w:top w:val="nil"/>
              <w:left w:val="nil"/>
              <w:bottom w:val="single" w:sz="8" w:space="0" w:color="000000"/>
              <w:right w:val="single" w:sz="8" w:space="0" w:color="000000"/>
            </w:tcBorders>
            <w:shd w:val="clear" w:color="auto" w:fill="auto"/>
          </w:tcPr>
          <w:p w14:paraId="169D3B86" w14:textId="77777777"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15 (30.6)</w:t>
            </w:r>
          </w:p>
        </w:tc>
        <w:tc>
          <w:tcPr>
            <w:tcW w:w="2623" w:type="dxa"/>
            <w:tcBorders>
              <w:top w:val="nil"/>
              <w:left w:val="nil"/>
              <w:bottom w:val="single" w:sz="8" w:space="0" w:color="000000"/>
              <w:right w:val="single" w:sz="8" w:space="0" w:color="000000"/>
            </w:tcBorders>
            <w:shd w:val="clear" w:color="auto" w:fill="auto"/>
          </w:tcPr>
          <w:p w14:paraId="290138F5" w14:textId="77777777"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29 (18.8)</w:t>
            </w:r>
          </w:p>
        </w:tc>
        <w:tc>
          <w:tcPr>
            <w:tcW w:w="1669" w:type="dxa"/>
            <w:tcBorders>
              <w:top w:val="nil"/>
              <w:left w:val="nil"/>
              <w:bottom w:val="single" w:sz="8" w:space="0" w:color="000000"/>
              <w:right w:val="single" w:sz="8" w:space="0" w:color="000000"/>
            </w:tcBorders>
            <w:shd w:val="clear" w:color="auto" w:fill="auto"/>
          </w:tcPr>
          <w:p w14:paraId="2EF2C81A" w14:textId="77777777"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5 (16.1)</w:t>
            </w:r>
          </w:p>
        </w:tc>
        <w:tc>
          <w:tcPr>
            <w:tcW w:w="1361" w:type="dxa"/>
            <w:tcBorders>
              <w:top w:val="nil"/>
              <w:left w:val="nil"/>
              <w:bottom w:val="single" w:sz="8" w:space="0" w:color="000000"/>
              <w:right w:val="single" w:sz="8" w:space="0" w:color="000000"/>
            </w:tcBorders>
            <w:shd w:val="clear" w:color="auto" w:fill="auto"/>
          </w:tcPr>
          <w:p w14:paraId="32F350A8" w14:textId="77777777" w:rsidR="00CA0A75" w:rsidRPr="00D5337C" w:rsidRDefault="002D2DFC" w:rsidP="006F7AB5">
            <w:pPr>
              <w:spacing w:after="0" w:line="480" w:lineRule="auto"/>
              <w:jc w:val="center"/>
              <w:rPr>
                <w:rFonts w:ascii="Arial" w:eastAsia="Arial" w:hAnsi="Arial" w:cs="Arial"/>
                <w:color w:val="000000"/>
              </w:rPr>
            </w:pPr>
            <w:r w:rsidRPr="00D5337C">
              <w:rPr>
                <w:rFonts w:ascii="Arial" w:eastAsia="Arial" w:hAnsi="Arial" w:cs="Arial"/>
                <w:color w:val="000000"/>
              </w:rPr>
              <w:t>0.164</w:t>
            </w:r>
          </w:p>
        </w:tc>
      </w:tr>
      <w:tr w:rsidR="00CA0A75" w:rsidRPr="00D5337C" w14:paraId="7461CF05" w14:textId="77777777" w:rsidTr="006F7AB5">
        <w:trPr>
          <w:trHeight w:val="600"/>
        </w:trPr>
        <w:tc>
          <w:tcPr>
            <w:tcW w:w="1671" w:type="dxa"/>
            <w:tcBorders>
              <w:top w:val="nil"/>
              <w:left w:val="single" w:sz="8" w:space="0" w:color="000000"/>
              <w:bottom w:val="single" w:sz="8" w:space="0" w:color="000000"/>
              <w:right w:val="single" w:sz="8" w:space="0" w:color="000000"/>
            </w:tcBorders>
            <w:shd w:val="clear" w:color="auto" w:fill="auto"/>
          </w:tcPr>
          <w:p w14:paraId="6F979F35" w14:textId="77777777"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Multiple comorbidities (%)</w:t>
            </w:r>
          </w:p>
        </w:tc>
        <w:tc>
          <w:tcPr>
            <w:tcW w:w="1682" w:type="dxa"/>
            <w:tcBorders>
              <w:top w:val="nil"/>
              <w:left w:val="nil"/>
              <w:bottom w:val="single" w:sz="8" w:space="0" w:color="000000"/>
              <w:right w:val="single" w:sz="8" w:space="0" w:color="000000"/>
            </w:tcBorders>
            <w:shd w:val="clear" w:color="auto" w:fill="auto"/>
          </w:tcPr>
          <w:p w14:paraId="26C3AACB" w14:textId="77777777"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7 (14.3)</w:t>
            </w:r>
          </w:p>
        </w:tc>
        <w:tc>
          <w:tcPr>
            <w:tcW w:w="2623" w:type="dxa"/>
            <w:tcBorders>
              <w:top w:val="nil"/>
              <w:left w:val="nil"/>
              <w:bottom w:val="single" w:sz="8" w:space="0" w:color="000000"/>
              <w:right w:val="single" w:sz="8" w:space="0" w:color="000000"/>
            </w:tcBorders>
            <w:shd w:val="clear" w:color="auto" w:fill="auto"/>
          </w:tcPr>
          <w:p w14:paraId="3B7BEF02" w14:textId="77777777"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27 (17.5)</w:t>
            </w:r>
          </w:p>
        </w:tc>
        <w:tc>
          <w:tcPr>
            <w:tcW w:w="1669" w:type="dxa"/>
            <w:tcBorders>
              <w:top w:val="nil"/>
              <w:left w:val="nil"/>
              <w:bottom w:val="single" w:sz="8" w:space="0" w:color="000000"/>
              <w:right w:val="single" w:sz="8" w:space="0" w:color="000000"/>
            </w:tcBorders>
            <w:shd w:val="clear" w:color="auto" w:fill="auto"/>
          </w:tcPr>
          <w:p w14:paraId="1C8D0196" w14:textId="77777777"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2 (6.5)</w:t>
            </w:r>
          </w:p>
        </w:tc>
        <w:tc>
          <w:tcPr>
            <w:tcW w:w="1361" w:type="dxa"/>
            <w:tcBorders>
              <w:top w:val="nil"/>
              <w:left w:val="nil"/>
              <w:bottom w:val="single" w:sz="8" w:space="0" w:color="000000"/>
              <w:right w:val="single" w:sz="8" w:space="0" w:color="000000"/>
            </w:tcBorders>
            <w:shd w:val="clear" w:color="auto" w:fill="auto"/>
          </w:tcPr>
          <w:p w14:paraId="68829382" w14:textId="77777777" w:rsidR="00CA0A75" w:rsidRPr="00D5337C" w:rsidRDefault="002D2DFC" w:rsidP="006F7AB5">
            <w:pPr>
              <w:spacing w:after="0" w:line="480" w:lineRule="auto"/>
              <w:jc w:val="center"/>
              <w:rPr>
                <w:rFonts w:ascii="Arial" w:eastAsia="Arial" w:hAnsi="Arial" w:cs="Arial"/>
                <w:color w:val="000000"/>
              </w:rPr>
            </w:pPr>
            <w:r w:rsidRPr="00D5337C">
              <w:rPr>
                <w:rFonts w:ascii="Arial" w:eastAsia="Arial" w:hAnsi="Arial" w:cs="Arial"/>
                <w:color w:val="000000"/>
              </w:rPr>
              <w:t>0.288</w:t>
            </w:r>
          </w:p>
        </w:tc>
      </w:tr>
      <w:tr w:rsidR="00CA0A75" w:rsidRPr="00D5337C" w14:paraId="64818BD0" w14:textId="77777777" w:rsidTr="006F7AB5">
        <w:trPr>
          <w:trHeight w:val="1200"/>
        </w:trPr>
        <w:tc>
          <w:tcPr>
            <w:tcW w:w="1671" w:type="dxa"/>
            <w:tcBorders>
              <w:top w:val="nil"/>
              <w:left w:val="single" w:sz="8" w:space="0" w:color="000000"/>
              <w:bottom w:val="single" w:sz="8" w:space="0" w:color="000000"/>
              <w:right w:val="single" w:sz="8" w:space="0" w:color="000000"/>
            </w:tcBorders>
            <w:shd w:val="clear" w:color="auto" w:fill="auto"/>
          </w:tcPr>
          <w:p w14:paraId="6231B87C" w14:textId="77777777"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lastRenderedPageBreak/>
              <w:t>GFR-mean, calculated by Cockcroft-Gault formula, in cc/min</w:t>
            </w:r>
          </w:p>
        </w:tc>
        <w:tc>
          <w:tcPr>
            <w:tcW w:w="1682" w:type="dxa"/>
            <w:tcBorders>
              <w:top w:val="nil"/>
              <w:left w:val="nil"/>
              <w:bottom w:val="single" w:sz="8" w:space="0" w:color="000000"/>
              <w:right w:val="single" w:sz="8" w:space="0" w:color="000000"/>
            </w:tcBorders>
            <w:shd w:val="clear" w:color="auto" w:fill="auto"/>
          </w:tcPr>
          <w:p w14:paraId="287F5234" w14:textId="77777777"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50.98 (18.12)</w:t>
            </w:r>
          </w:p>
        </w:tc>
        <w:tc>
          <w:tcPr>
            <w:tcW w:w="2623" w:type="dxa"/>
            <w:tcBorders>
              <w:top w:val="nil"/>
              <w:left w:val="nil"/>
              <w:bottom w:val="single" w:sz="8" w:space="0" w:color="000000"/>
              <w:right w:val="single" w:sz="8" w:space="0" w:color="000000"/>
            </w:tcBorders>
            <w:shd w:val="clear" w:color="auto" w:fill="auto"/>
          </w:tcPr>
          <w:p w14:paraId="3781509C" w14:textId="77777777"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63.51 (22.91)</w:t>
            </w:r>
          </w:p>
        </w:tc>
        <w:tc>
          <w:tcPr>
            <w:tcW w:w="1669" w:type="dxa"/>
            <w:tcBorders>
              <w:top w:val="nil"/>
              <w:left w:val="nil"/>
              <w:bottom w:val="single" w:sz="8" w:space="0" w:color="000000"/>
              <w:right w:val="single" w:sz="8" w:space="0" w:color="000000"/>
            </w:tcBorders>
            <w:shd w:val="clear" w:color="auto" w:fill="auto"/>
          </w:tcPr>
          <w:p w14:paraId="76FE4197" w14:textId="77777777"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73.18 (21.24)</w:t>
            </w:r>
          </w:p>
        </w:tc>
        <w:tc>
          <w:tcPr>
            <w:tcW w:w="1361" w:type="dxa"/>
            <w:tcBorders>
              <w:top w:val="nil"/>
              <w:left w:val="nil"/>
              <w:bottom w:val="single" w:sz="8" w:space="0" w:color="000000"/>
              <w:right w:val="single" w:sz="8" w:space="0" w:color="000000"/>
            </w:tcBorders>
            <w:shd w:val="clear" w:color="auto" w:fill="auto"/>
          </w:tcPr>
          <w:p w14:paraId="132744A8" w14:textId="77777777" w:rsidR="00CA0A75" w:rsidRPr="00D5337C" w:rsidRDefault="002D2DFC" w:rsidP="006F7AB5">
            <w:pPr>
              <w:spacing w:after="0" w:line="480" w:lineRule="auto"/>
              <w:jc w:val="center"/>
              <w:rPr>
                <w:rFonts w:ascii="Arial" w:eastAsia="Arial" w:hAnsi="Arial" w:cs="Arial"/>
                <w:color w:val="000000"/>
              </w:rPr>
            </w:pPr>
            <w:r w:rsidRPr="00D5337C">
              <w:rPr>
                <w:rFonts w:ascii="Arial" w:eastAsia="Arial" w:hAnsi="Arial" w:cs="Arial"/>
                <w:color w:val="000000"/>
              </w:rPr>
              <w:t>0.001</w:t>
            </w:r>
          </w:p>
        </w:tc>
      </w:tr>
      <w:tr w:rsidR="00CA0A75" w:rsidRPr="00D5337C" w14:paraId="3F471706" w14:textId="77777777" w:rsidTr="006F7AB5">
        <w:trPr>
          <w:trHeight w:val="300"/>
        </w:trPr>
        <w:tc>
          <w:tcPr>
            <w:tcW w:w="1671" w:type="dxa"/>
            <w:tcBorders>
              <w:top w:val="nil"/>
              <w:left w:val="single" w:sz="8" w:space="0" w:color="000000"/>
              <w:bottom w:val="single" w:sz="8" w:space="0" w:color="000000"/>
              <w:right w:val="single" w:sz="8" w:space="0" w:color="000000"/>
            </w:tcBorders>
            <w:shd w:val="clear" w:color="auto" w:fill="auto"/>
          </w:tcPr>
          <w:p w14:paraId="58DD9FE6" w14:textId="77777777"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LDH-mean in U/L</w:t>
            </w:r>
          </w:p>
        </w:tc>
        <w:tc>
          <w:tcPr>
            <w:tcW w:w="1682" w:type="dxa"/>
            <w:tcBorders>
              <w:top w:val="nil"/>
              <w:left w:val="nil"/>
              <w:bottom w:val="single" w:sz="8" w:space="0" w:color="000000"/>
              <w:right w:val="single" w:sz="8" w:space="0" w:color="000000"/>
            </w:tcBorders>
            <w:shd w:val="clear" w:color="auto" w:fill="auto"/>
          </w:tcPr>
          <w:p w14:paraId="494C25A1" w14:textId="77777777"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655.65 (895.52)</w:t>
            </w:r>
          </w:p>
        </w:tc>
        <w:tc>
          <w:tcPr>
            <w:tcW w:w="2623" w:type="dxa"/>
            <w:tcBorders>
              <w:top w:val="nil"/>
              <w:left w:val="nil"/>
              <w:bottom w:val="single" w:sz="8" w:space="0" w:color="000000"/>
              <w:right w:val="single" w:sz="8" w:space="0" w:color="000000"/>
            </w:tcBorders>
            <w:shd w:val="clear" w:color="auto" w:fill="auto"/>
          </w:tcPr>
          <w:p w14:paraId="094C5A9F" w14:textId="77777777"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545.07 (445.49)</w:t>
            </w:r>
          </w:p>
        </w:tc>
        <w:tc>
          <w:tcPr>
            <w:tcW w:w="1669" w:type="dxa"/>
            <w:tcBorders>
              <w:top w:val="nil"/>
              <w:left w:val="nil"/>
              <w:bottom w:val="single" w:sz="8" w:space="0" w:color="000000"/>
              <w:right w:val="single" w:sz="8" w:space="0" w:color="000000"/>
            </w:tcBorders>
            <w:shd w:val="clear" w:color="auto" w:fill="auto"/>
          </w:tcPr>
          <w:p w14:paraId="513D4407" w14:textId="77777777"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558.73 (299.34)</w:t>
            </w:r>
          </w:p>
        </w:tc>
        <w:tc>
          <w:tcPr>
            <w:tcW w:w="1361" w:type="dxa"/>
            <w:tcBorders>
              <w:top w:val="nil"/>
              <w:left w:val="nil"/>
              <w:bottom w:val="single" w:sz="8" w:space="0" w:color="000000"/>
              <w:right w:val="single" w:sz="8" w:space="0" w:color="000000"/>
            </w:tcBorders>
            <w:shd w:val="clear" w:color="auto" w:fill="auto"/>
          </w:tcPr>
          <w:p w14:paraId="36679836" w14:textId="77777777" w:rsidR="00CA0A75" w:rsidRPr="00D5337C" w:rsidRDefault="002D2DFC" w:rsidP="006F7AB5">
            <w:pPr>
              <w:spacing w:after="0" w:line="480" w:lineRule="auto"/>
              <w:jc w:val="center"/>
              <w:rPr>
                <w:rFonts w:ascii="Arial" w:eastAsia="Arial" w:hAnsi="Arial" w:cs="Arial"/>
                <w:color w:val="000000"/>
              </w:rPr>
            </w:pPr>
            <w:r w:rsidRPr="00D5337C">
              <w:rPr>
                <w:rFonts w:ascii="Arial" w:eastAsia="Arial" w:hAnsi="Arial" w:cs="Arial"/>
                <w:color w:val="000000"/>
              </w:rPr>
              <w:t>0.645</w:t>
            </w:r>
          </w:p>
        </w:tc>
      </w:tr>
      <w:tr w:rsidR="00CA0A75" w14:paraId="2B4D7EAD" w14:textId="77777777" w:rsidTr="006F7AB5">
        <w:trPr>
          <w:trHeight w:val="300"/>
        </w:trPr>
        <w:tc>
          <w:tcPr>
            <w:tcW w:w="1671" w:type="dxa"/>
            <w:tcBorders>
              <w:top w:val="nil"/>
              <w:left w:val="single" w:sz="8" w:space="0" w:color="000000"/>
              <w:bottom w:val="single" w:sz="8" w:space="0" w:color="000000"/>
              <w:right w:val="single" w:sz="8" w:space="0" w:color="000000"/>
            </w:tcBorders>
            <w:shd w:val="clear" w:color="auto" w:fill="auto"/>
          </w:tcPr>
          <w:p w14:paraId="254B1EFE" w14:textId="77777777"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Weight-mean in kg</w:t>
            </w:r>
          </w:p>
        </w:tc>
        <w:tc>
          <w:tcPr>
            <w:tcW w:w="1682" w:type="dxa"/>
            <w:tcBorders>
              <w:top w:val="nil"/>
              <w:left w:val="nil"/>
              <w:bottom w:val="single" w:sz="8" w:space="0" w:color="000000"/>
              <w:right w:val="single" w:sz="8" w:space="0" w:color="000000"/>
            </w:tcBorders>
            <w:shd w:val="clear" w:color="auto" w:fill="auto"/>
          </w:tcPr>
          <w:p w14:paraId="4DF0B9A2" w14:textId="77777777"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49.48 (8.64)</w:t>
            </w:r>
          </w:p>
        </w:tc>
        <w:tc>
          <w:tcPr>
            <w:tcW w:w="2623" w:type="dxa"/>
            <w:tcBorders>
              <w:top w:val="nil"/>
              <w:left w:val="nil"/>
              <w:bottom w:val="single" w:sz="8" w:space="0" w:color="000000"/>
              <w:right w:val="single" w:sz="8" w:space="0" w:color="000000"/>
            </w:tcBorders>
            <w:shd w:val="clear" w:color="auto" w:fill="auto"/>
          </w:tcPr>
          <w:p w14:paraId="270E6102" w14:textId="77777777"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52.45 (11.51)</w:t>
            </w:r>
          </w:p>
        </w:tc>
        <w:tc>
          <w:tcPr>
            <w:tcW w:w="1669" w:type="dxa"/>
            <w:tcBorders>
              <w:top w:val="nil"/>
              <w:left w:val="nil"/>
              <w:bottom w:val="single" w:sz="8" w:space="0" w:color="000000"/>
              <w:right w:val="single" w:sz="8" w:space="0" w:color="000000"/>
            </w:tcBorders>
            <w:shd w:val="clear" w:color="auto" w:fill="auto"/>
          </w:tcPr>
          <w:p w14:paraId="6DAC4571" w14:textId="77777777" w:rsidR="00CA0A75" w:rsidRPr="00D5337C" w:rsidRDefault="002D2DFC">
            <w:pPr>
              <w:spacing w:after="0" w:line="480" w:lineRule="auto"/>
              <w:rPr>
                <w:rFonts w:ascii="Arial" w:eastAsia="Arial" w:hAnsi="Arial" w:cs="Arial"/>
                <w:color w:val="000000"/>
              </w:rPr>
            </w:pPr>
            <w:r w:rsidRPr="00D5337C">
              <w:rPr>
                <w:rFonts w:ascii="Arial" w:eastAsia="Arial" w:hAnsi="Arial" w:cs="Arial"/>
                <w:color w:val="000000"/>
              </w:rPr>
              <w:t>57.15 (8.66)</w:t>
            </w:r>
          </w:p>
        </w:tc>
        <w:tc>
          <w:tcPr>
            <w:tcW w:w="1361" w:type="dxa"/>
            <w:tcBorders>
              <w:top w:val="nil"/>
              <w:left w:val="nil"/>
              <w:bottom w:val="single" w:sz="8" w:space="0" w:color="000000"/>
              <w:right w:val="single" w:sz="8" w:space="0" w:color="000000"/>
            </w:tcBorders>
            <w:shd w:val="clear" w:color="auto" w:fill="auto"/>
          </w:tcPr>
          <w:p w14:paraId="04F0F757" w14:textId="77777777" w:rsidR="00CA0A75" w:rsidRDefault="002D2DFC" w:rsidP="006F7AB5">
            <w:pPr>
              <w:spacing w:after="0" w:line="480" w:lineRule="auto"/>
              <w:jc w:val="center"/>
              <w:rPr>
                <w:rFonts w:ascii="Arial" w:eastAsia="Arial" w:hAnsi="Arial" w:cs="Arial"/>
                <w:color w:val="000000"/>
              </w:rPr>
            </w:pPr>
            <w:r w:rsidRPr="00D5337C">
              <w:rPr>
                <w:rFonts w:ascii="Arial" w:eastAsia="Arial" w:hAnsi="Arial" w:cs="Arial"/>
                <w:color w:val="000000"/>
              </w:rPr>
              <w:t>0.023</w:t>
            </w:r>
          </w:p>
        </w:tc>
      </w:tr>
    </w:tbl>
    <w:p w14:paraId="31036AEF" w14:textId="77777777" w:rsidR="00CA0A75" w:rsidRDefault="00CA0A75">
      <w:pPr>
        <w:spacing w:line="480" w:lineRule="auto"/>
        <w:rPr>
          <w:rFonts w:ascii="Georgia" w:eastAsia="Georgia" w:hAnsi="Georgia" w:cs="Georgia"/>
          <w:sz w:val="24"/>
          <w:szCs w:val="24"/>
        </w:rPr>
      </w:pPr>
    </w:p>
    <w:p w14:paraId="6B2A0E17" w14:textId="1309F00E" w:rsidR="00CA0A75" w:rsidRDefault="002D2DFC">
      <w:pPr>
        <w:spacing w:after="0" w:line="480" w:lineRule="auto"/>
        <w:rPr>
          <w:rFonts w:ascii="Arial" w:eastAsia="Arial" w:hAnsi="Arial" w:cs="Arial"/>
        </w:rPr>
      </w:pPr>
      <w:r w:rsidRPr="006905CE">
        <w:rPr>
          <w:rFonts w:ascii="Arial" w:eastAsia="Arial" w:hAnsi="Arial" w:cs="Arial"/>
          <w:b/>
          <w:bCs/>
        </w:rPr>
        <w:t>Fig</w:t>
      </w:r>
      <w:r w:rsidR="00A52C9D" w:rsidRPr="006905CE">
        <w:rPr>
          <w:rFonts w:ascii="Arial" w:eastAsia="Arial" w:hAnsi="Arial" w:cs="Arial"/>
          <w:b/>
          <w:bCs/>
        </w:rPr>
        <w:t>ure</w:t>
      </w:r>
      <w:r w:rsidRPr="006905CE">
        <w:rPr>
          <w:rFonts w:ascii="Arial" w:eastAsia="Arial" w:hAnsi="Arial" w:cs="Arial"/>
          <w:b/>
          <w:bCs/>
        </w:rPr>
        <w:t xml:space="preserve"> 1</w:t>
      </w:r>
      <w:r>
        <w:rPr>
          <w:rFonts w:ascii="Arial" w:eastAsia="Arial" w:hAnsi="Arial" w:cs="Arial"/>
        </w:rPr>
        <w:t>:</w:t>
      </w:r>
    </w:p>
    <w:p w14:paraId="476B7C32" w14:textId="1EC749B6" w:rsidR="00CA0A75" w:rsidRDefault="009D53DB">
      <w:pPr>
        <w:spacing w:after="0" w:line="480" w:lineRule="auto"/>
        <w:rPr>
          <w:rFonts w:ascii="Arial" w:eastAsia="Arial" w:hAnsi="Arial" w:cs="Arial"/>
        </w:rPr>
      </w:pPr>
      <w:r w:rsidRPr="00667A4C">
        <w:rPr>
          <w:noProof/>
        </w:rPr>
        <w:drawing>
          <wp:inline distT="0" distB="0" distL="0" distR="0" wp14:anchorId="5E637CA5" wp14:editId="6A27F132">
            <wp:extent cx="5731510" cy="433006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4330065"/>
                    </a:xfrm>
                    <a:prstGeom prst="rect">
                      <a:avLst/>
                    </a:prstGeom>
                    <a:noFill/>
                    <a:ln>
                      <a:noFill/>
                    </a:ln>
                  </pic:spPr>
                </pic:pic>
              </a:graphicData>
            </a:graphic>
          </wp:inline>
        </w:drawing>
      </w:r>
    </w:p>
    <w:p w14:paraId="01885D1D" w14:textId="36B6D2F1" w:rsidR="00CA0A75" w:rsidRDefault="00CA0A75">
      <w:pPr>
        <w:spacing w:after="0" w:line="480" w:lineRule="auto"/>
        <w:rPr>
          <w:rFonts w:ascii="Arial" w:eastAsia="Arial" w:hAnsi="Arial" w:cs="Arial"/>
        </w:rPr>
      </w:pPr>
    </w:p>
    <w:p w14:paraId="48279A0E" w14:textId="77777777" w:rsidR="00DC357A" w:rsidRDefault="00DC357A">
      <w:pPr>
        <w:spacing w:after="0" w:line="480" w:lineRule="auto"/>
        <w:rPr>
          <w:rFonts w:ascii="Arial" w:eastAsia="Arial" w:hAnsi="Arial" w:cs="Arial"/>
          <w:b/>
        </w:rPr>
      </w:pPr>
    </w:p>
    <w:p w14:paraId="3C30C0B8" w14:textId="2C1F4F07" w:rsidR="00CA0A75" w:rsidRDefault="002D2DFC">
      <w:pPr>
        <w:spacing w:after="0" w:line="480" w:lineRule="auto"/>
        <w:rPr>
          <w:rFonts w:ascii="Arial" w:eastAsia="Arial" w:hAnsi="Arial" w:cs="Arial"/>
        </w:rPr>
      </w:pPr>
      <w:r>
        <w:rPr>
          <w:rFonts w:ascii="Arial" w:eastAsia="Arial" w:hAnsi="Arial" w:cs="Arial"/>
          <w:b/>
        </w:rPr>
        <w:lastRenderedPageBreak/>
        <w:t>Figure 2</w:t>
      </w:r>
      <w:r>
        <w:rPr>
          <w:rFonts w:ascii="Arial" w:eastAsia="Arial" w:hAnsi="Arial" w:cs="Arial"/>
        </w:rPr>
        <w:t xml:space="preserve">: </w:t>
      </w:r>
    </w:p>
    <w:p w14:paraId="355E306E" w14:textId="52AB46EE" w:rsidR="002D2DFC" w:rsidRDefault="00F0388A">
      <w:pPr>
        <w:spacing w:after="0" w:line="480" w:lineRule="auto"/>
        <w:rPr>
          <w:rFonts w:ascii="Arial" w:eastAsia="Arial" w:hAnsi="Arial" w:cs="Arial"/>
        </w:rPr>
      </w:pPr>
      <w:r>
        <w:rPr>
          <w:rFonts w:ascii="Arial" w:eastAsia="Arial" w:hAnsi="Arial" w:cs="Arial"/>
          <w:noProof/>
        </w:rPr>
        <w:drawing>
          <wp:inline distT="0" distB="0" distL="0" distR="0" wp14:anchorId="248C4D94" wp14:editId="3588EE96">
            <wp:extent cx="5575300" cy="3949700"/>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S_Tx.jpe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575300" cy="3949700"/>
                    </a:xfrm>
                    <a:prstGeom prst="rect">
                      <a:avLst/>
                    </a:prstGeom>
                  </pic:spPr>
                </pic:pic>
              </a:graphicData>
            </a:graphic>
          </wp:inline>
        </w:drawing>
      </w:r>
    </w:p>
    <w:p w14:paraId="7974C0C7" w14:textId="77777777" w:rsidR="00CA0A75" w:rsidRDefault="00CA0A75">
      <w:pPr>
        <w:spacing w:after="0" w:line="480" w:lineRule="auto"/>
        <w:rPr>
          <w:rFonts w:ascii="Arial" w:eastAsia="Arial" w:hAnsi="Arial" w:cs="Arial"/>
        </w:rPr>
      </w:pPr>
    </w:p>
    <w:p w14:paraId="1E986D43" w14:textId="77777777" w:rsidR="00CA0A75" w:rsidRDefault="00CA0A75">
      <w:pPr>
        <w:spacing w:line="480" w:lineRule="auto"/>
        <w:rPr>
          <w:rFonts w:ascii="Arial" w:eastAsia="Arial" w:hAnsi="Arial" w:cs="Arial"/>
        </w:rPr>
      </w:pPr>
    </w:p>
    <w:sectPr w:rsidR="00CA0A75" w:rsidSect="00E43E1E">
      <w:pgSz w:w="11906" w:h="16838"/>
      <w:pgMar w:top="1440" w:right="1440" w:bottom="1440" w:left="1440"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MT">
    <w:altName w:val="Arial"/>
    <w:charset w:val="00"/>
    <w:family w:val="swiss"/>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6E6AE9"/>
    <w:multiLevelType w:val="multilevel"/>
    <w:tmpl w:val="89D8BD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97D0052"/>
    <w:multiLevelType w:val="multilevel"/>
    <w:tmpl w:val="013A8B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1CD7F4B"/>
    <w:multiLevelType w:val="multilevel"/>
    <w:tmpl w:val="8D5682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CEB25AE"/>
    <w:multiLevelType w:val="multilevel"/>
    <w:tmpl w:val="753A9E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45E09D4"/>
    <w:multiLevelType w:val="multilevel"/>
    <w:tmpl w:val="9620BE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51F037B"/>
    <w:multiLevelType w:val="multilevel"/>
    <w:tmpl w:val="4EA2FD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C8847D1"/>
    <w:multiLevelType w:val="multilevel"/>
    <w:tmpl w:val="D5723776"/>
    <w:lvl w:ilvl="0">
      <w:start w:val="1"/>
      <w:numFmt w:val="bullet"/>
      <w:lvlText w:val="●"/>
      <w:lvlJc w:val="left"/>
      <w:pPr>
        <w:ind w:left="1300" w:hanging="360"/>
      </w:pPr>
      <w:rPr>
        <w:rFonts w:ascii="Noto Sans Symbols" w:eastAsia="Noto Sans Symbols" w:hAnsi="Noto Sans Symbols" w:cs="Noto Sans Symbols"/>
      </w:rPr>
    </w:lvl>
    <w:lvl w:ilvl="1">
      <w:start w:val="1"/>
      <w:numFmt w:val="bullet"/>
      <w:lvlText w:val="o"/>
      <w:lvlJc w:val="left"/>
      <w:pPr>
        <w:ind w:left="2020" w:hanging="360"/>
      </w:pPr>
      <w:rPr>
        <w:rFonts w:ascii="Courier New" w:eastAsia="Courier New" w:hAnsi="Courier New" w:cs="Courier New"/>
      </w:rPr>
    </w:lvl>
    <w:lvl w:ilvl="2">
      <w:start w:val="1"/>
      <w:numFmt w:val="bullet"/>
      <w:lvlText w:val="▪"/>
      <w:lvlJc w:val="left"/>
      <w:pPr>
        <w:ind w:left="2740" w:hanging="360"/>
      </w:pPr>
      <w:rPr>
        <w:rFonts w:ascii="Noto Sans Symbols" w:eastAsia="Noto Sans Symbols" w:hAnsi="Noto Sans Symbols" w:cs="Noto Sans Symbols"/>
      </w:rPr>
    </w:lvl>
    <w:lvl w:ilvl="3">
      <w:start w:val="1"/>
      <w:numFmt w:val="bullet"/>
      <w:lvlText w:val="●"/>
      <w:lvlJc w:val="left"/>
      <w:pPr>
        <w:ind w:left="3460" w:hanging="360"/>
      </w:pPr>
      <w:rPr>
        <w:rFonts w:ascii="Noto Sans Symbols" w:eastAsia="Noto Sans Symbols" w:hAnsi="Noto Sans Symbols" w:cs="Noto Sans Symbols"/>
      </w:rPr>
    </w:lvl>
    <w:lvl w:ilvl="4">
      <w:start w:val="1"/>
      <w:numFmt w:val="bullet"/>
      <w:lvlText w:val="o"/>
      <w:lvlJc w:val="left"/>
      <w:pPr>
        <w:ind w:left="4180" w:hanging="360"/>
      </w:pPr>
      <w:rPr>
        <w:rFonts w:ascii="Courier New" w:eastAsia="Courier New" w:hAnsi="Courier New" w:cs="Courier New"/>
      </w:rPr>
    </w:lvl>
    <w:lvl w:ilvl="5">
      <w:start w:val="1"/>
      <w:numFmt w:val="bullet"/>
      <w:lvlText w:val="▪"/>
      <w:lvlJc w:val="left"/>
      <w:pPr>
        <w:ind w:left="4900" w:hanging="360"/>
      </w:pPr>
      <w:rPr>
        <w:rFonts w:ascii="Noto Sans Symbols" w:eastAsia="Noto Sans Symbols" w:hAnsi="Noto Sans Symbols" w:cs="Noto Sans Symbols"/>
      </w:rPr>
    </w:lvl>
    <w:lvl w:ilvl="6">
      <w:start w:val="1"/>
      <w:numFmt w:val="bullet"/>
      <w:lvlText w:val="●"/>
      <w:lvlJc w:val="left"/>
      <w:pPr>
        <w:ind w:left="5620" w:hanging="360"/>
      </w:pPr>
      <w:rPr>
        <w:rFonts w:ascii="Noto Sans Symbols" w:eastAsia="Noto Sans Symbols" w:hAnsi="Noto Sans Symbols" w:cs="Noto Sans Symbols"/>
      </w:rPr>
    </w:lvl>
    <w:lvl w:ilvl="7">
      <w:start w:val="1"/>
      <w:numFmt w:val="bullet"/>
      <w:lvlText w:val="o"/>
      <w:lvlJc w:val="left"/>
      <w:pPr>
        <w:ind w:left="6340" w:hanging="360"/>
      </w:pPr>
      <w:rPr>
        <w:rFonts w:ascii="Courier New" w:eastAsia="Courier New" w:hAnsi="Courier New" w:cs="Courier New"/>
      </w:rPr>
    </w:lvl>
    <w:lvl w:ilvl="8">
      <w:start w:val="1"/>
      <w:numFmt w:val="bullet"/>
      <w:lvlText w:val="▪"/>
      <w:lvlJc w:val="left"/>
      <w:pPr>
        <w:ind w:left="7060" w:hanging="360"/>
      </w:pPr>
      <w:rPr>
        <w:rFonts w:ascii="Noto Sans Symbols" w:eastAsia="Noto Sans Symbols" w:hAnsi="Noto Sans Symbols" w:cs="Noto Sans Symbols"/>
      </w:rPr>
    </w:lvl>
  </w:abstractNum>
  <w:num w:numId="1">
    <w:abstractNumId w:val="4"/>
  </w:num>
  <w:num w:numId="2">
    <w:abstractNumId w:val="6"/>
  </w:num>
  <w:num w:numId="3">
    <w:abstractNumId w:val="1"/>
  </w:num>
  <w:num w:numId="4">
    <w:abstractNumId w:val="5"/>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A75"/>
    <w:rsid w:val="00003F1B"/>
    <w:rsid w:val="000051E4"/>
    <w:rsid w:val="0001044E"/>
    <w:rsid w:val="0001161D"/>
    <w:rsid w:val="00013B9F"/>
    <w:rsid w:val="000141E7"/>
    <w:rsid w:val="00015FF0"/>
    <w:rsid w:val="00016555"/>
    <w:rsid w:val="0001684E"/>
    <w:rsid w:val="000168F9"/>
    <w:rsid w:val="0002013B"/>
    <w:rsid w:val="00020B5C"/>
    <w:rsid w:val="00021763"/>
    <w:rsid w:val="000247F6"/>
    <w:rsid w:val="00025DF8"/>
    <w:rsid w:val="000275E7"/>
    <w:rsid w:val="000333D1"/>
    <w:rsid w:val="00033AAE"/>
    <w:rsid w:val="000355F1"/>
    <w:rsid w:val="00035AB8"/>
    <w:rsid w:val="0003661D"/>
    <w:rsid w:val="00040121"/>
    <w:rsid w:val="00043838"/>
    <w:rsid w:val="00044046"/>
    <w:rsid w:val="000477EF"/>
    <w:rsid w:val="0004784E"/>
    <w:rsid w:val="00047FFA"/>
    <w:rsid w:val="00050B55"/>
    <w:rsid w:val="000527DE"/>
    <w:rsid w:val="00052C3D"/>
    <w:rsid w:val="00054971"/>
    <w:rsid w:val="00055B6F"/>
    <w:rsid w:val="00060CD1"/>
    <w:rsid w:val="000610A9"/>
    <w:rsid w:val="00061113"/>
    <w:rsid w:val="00063244"/>
    <w:rsid w:val="000636A1"/>
    <w:rsid w:val="000656F8"/>
    <w:rsid w:val="000723C2"/>
    <w:rsid w:val="00072580"/>
    <w:rsid w:val="0007304D"/>
    <w:rsid w:val="00073636"/>
    <w:rsid w:val="000816AC"/>
    <w:rsid w:val="00082AD8"/>
    <w:rsid w:val="00082C21"/>
    <w:rsid w:val="00083E35"/>
    <w:rsid w:val="00091E3F"/>
    <w:rsid w:val="00093D4D"/>
    <w:rsid w:val="00094BAD"/>
    <w:rsid w:val="00095F55"/>
    <w:rsid w:val="0009643A"/>
    <w:rsid w:val="000A0629"/>
    <w:rsid w:val="000A0779"/>
    <w:rsid w:val="000A21F5"/>
    <w:rsid w:val="000A3929"/>
    <w:rsid w:val="000A572E"/>
    <w:rsid w:val="000A5B62"/>
    <w:rsid w:val="000B72D5"/>
    <w:rsid w:val="000C4E20"/>
    <w:rsid w:val="000C53D6"/>
    <w:rsid w:val="000D3339"/>
    <w:rsid w:val="000E193E"/>
    <w:rsid w:val="000E678D"/>
    <w:rsid w:val="000E72E4"/>
    <w:rsid w:val="000F0422"/>
    <w:rsid w:val="000F6960"/>
    <w:rsid w:val="00102596"/>
    <w:rsid w:val="001116DA"/>
    <w:rsid w:val="001138C2"/>
    <w:rsid w:val="00113913"/>
    <w:rsid w:val="00115B0E"/>
    <w:rsid w:val="001229AC"/>
    <w:rsid w:val="00124191"/>
    <w:rsid w:val="001253A9"/>
    <w:rsid w:val="001256C7"/>
    <w:rsid w:val="0013132A"/>
    <w:rsid w:val="001319FD"/>
    <w:rsid w:val="001321B9"/>
    <w:rsid w:val="00135BFA"/>
    <w:rsid w:val="00137226"/>
    <w:rsid w:val="001404AA"/>
    <w:rsid w:val="00141975"/>
    <w:rsid w:val="00142425"/>
    <w:rsid w:val="00143527"/>
    <w:rsid w:val="0014373D"/>
    <w:rsid w:val="00145913"/>
    <w:rsid w:val="00147F8F"/>
    <w:rsid w:val="001512F3"/>
    <w:rsid w:val="00151FA0"/>
    <w:rsid w:val="00156E65"/>
    <w:rsid w:val="0016147F"/>
    <w:rsid w:val="001678CC"/>
    <w:rsid w:val="00172907"/>
    <w:rsid w:val="001757D9"/>
    <w:rsid w:val="001770A0"/>
    <w:rsid w:val="00181034"/>
    <w:rsid w:val="00184612"/>
    <w:rsid w:val="0018509D"/>
    <w:rsid w:val="001913C9"/>
    <w:rsid w:val="00193CF9"/>
    <w:rsid w:val="00195D53"/>
    <w:rsid w:val="00196322"/>
    <w:rsid w:val="001A55BC"/>
    <w:rsid w:val="001A6C04"/>
    <w:rsid w:val="001A7937"/>
    <w:rsid w:val="001B0D48"/>
    <w:rsid w:val="001C01F5"/>
    <w:rsid w:val="001C2F04"/>
    <w:rsid w:val="001D0919"/>
    <w:rsid w:val="001D4122"/>
    <w:rsid w:val="001E1D32"/>
    <w:rsid w:val="001E2010"/>
    <w:rsid w:val="001E494F"/>
    <w:rsid w:val="001E5509"/>
    <w:rsid w:val="001F1EBC"/>
    <w:rsid w:val="001F219D"/>
    <w:rsid w:val="001F4762"/>
    <w:rsid w:val="00203A16"/>
    <w:rsid w:val="00204D1E"/>
    <w:rsid w:val="002055EC"/>
    <w:rsid w:val="0020593D"/>
    <w:rsid w:val="00205CA7"/>
    <w:rsid w:val="002150AE"/>
    <w:rsid w:val="00222822"/>
    <w:rsid w:val="002236BE"/>
    <w:rsid w:val="00230372"/>
    <w:rsid w:val="00232CC0"/>
    <w:rsid w:val="00233D5E"/>
    <w:rsid w:val="00235586"/>
    <w:rsid w:val="00236BE7"/>
    <w:rsid w:val="002401D1"/>
    <w:rsid w:val="002462D4"/>
    <w:rsid w:val="00246BF7"/>
    <w:rsid w:val="002476D6"/>
    <w:rsid w:val="0026145D"/>
    <w:rsid w:val="002642EB"/>
    <w:rsid w:val="002655EA"/>
    <w:rsid w:val="00266911"/>
    <w:rsid w:val="00267639"/>
    <w:rsid w:val="00274EF3"/>
    <w:rsid w:val="00276E5A"/>
    <w:rsid w:val="002773A4"/>
    <w:rsid w:val="00281127"/>
    <w:rsid w:val="00282646"/>
    <w:rsid w:val="00283710"/>
    <w:rsid w:val="002873CA"/>
    <w:rsid w:val="00290682"/>
    <w:rsid w:val="00292773"/>
    <w:rsid w:val="00295CD7"/>
    <w:rsid w:val="002977BE"/>
    <w:rsid w:val="00297FF4"/>
    <w:rsid w:val="002A0EFF"/>
    <w:rsid w:val="002A16D3"/>
    <w:rsid w:val="002A794E"/>
    <w:rsid w:val="002B1B5D"/>
    <w:rsid w:val="002B2690"/>
    <w:rsid w:val="002B2EC0"/>
    <w:rsid w:val="002B2F59"/>
    <w:rsid w:val="002B32E8"/>
    <w:rsid w:val="002B52C2"/>
    <w:rsid w:val="002C32A3"/>
    <w:rsid w:val="002C662D"/>
    <w:rsid w:val="002C759B"/>
    <w:rsid w:val="002D2DFC"/>
    <w:rsid w:val="002D3A78"/>
    <w:rsid w:val="002D477F"/>
    <w:rsid w:val="002D5794"/>
    <w:rsid w:val="002D595E"/>
    <w:rsid w:val="002E11EB"/>
    <w:rsid w:val="002E6F09"/>
    <w:rsid w:val="002F1CE6"/>
    <w:rsid w:val="002F4DA5"/>
    <w:rsid w:val="002F5761"/>
    <w:rsid w:val="002F5879"/>
    <w:rsid w:val="0030610D"/>
    <w:rsid w:val="00306CE8"/>
    <w:rsid w:val="00306D1E"/>
    <w:rsid w:val="00310A33"/>
    <w:rsid w:val="00310C9B"/>
    <w:rsid w:val="0031130F"/>
    <w:rsid w:val="00311C3E"/>
    <w:rsid w:val="00312757"/>
    <w:rsid w:val="003135B4"/>
    <w:rsid w:val="00313B4A"/>
    <w:rsid w:val="00316243"/>
    <w:rsid w:val="00320053"/>
    <w:rsid w:val="00326510"/>
    <w:rsid w:val="00331FC0"/>
    <w:rsid w:val="003346C0"/>
    <w:rsid w:val="003369D4"/>
    <w:rsid w:val="00340F8D"/>
    <w:rsid w:val="0034172F"/>
    <w:rsid w:val="00341E45"/>
    <w:rsid w:val="00342ABF"/>
    <w:rsid w:val="00344457"/>
    <w:rsid w:val="00344970"/>
    <w:rsid w:val="00346EF0"/>
    <w:rsid w:val="003504EB"/>
    <w:rsid w:val="00352C6D"/>
    <w:rsid w:val="00354693"/>
    <w:rsid w:val="00356E49"/>
    <w:rsid w:val="00361C9C"/>
    <w:rsid w:val="00364093"/>
    <w:rsid w:val="0037022D"/>
    <w:rsid w:val="00370732"/>
    <w:rsid w:val="003714F1"/>
    <w:rsid w:val="00375F4B"/>
    <w:rsid w:val="00377DE7"/>
    <w:rsid w:val="0038640E"/>
    <w:rsid w:val="00390381"/>
    <w:rsid w:val="003906D5"/>
    <w:rsid w:val="003942A5"/>
    <w:rsid w:val="003953FE"/>
    <w:rsid w:val="003964E0"/>
    <w:rsid w:val="00397683"/>
    <w:rsid w:val="003A02F8"/>
    <w:rsid w:val="003A0ED9"/>
    <w:rsid w:val="003A1170"/>
    <w:rsid w:val="003A17A4"/>
    <w:rsid w:val="003A1967"/>
    <w:rsid w:val="003A2A30"/>
    <w:rsid w:val="003C15A3"/>
    <w:rsid w:val="003D2463"/>
    <w:rsid w:val="003D4315"/>
    <w:rsid w:val="003D6CFD"/>
    <w:rsid w:val="003D7E9F"/>
    <w:rsid w:val="003E18F3"/>
    <w:rsid w:val="003E1934"/>
    <w:rsid w:val="003E381D"/>
    <w:rsid w:val="003E4DB8"/>
    <w:rsid w:val="003F1472"/>
    <w:rsid w:val="003F1E61"/>
    <w:rsid w:val="003F58E1"/>
    <w:rsid w:val="00400A0B"/>
    <w:rsid w:val="00402240"/>
    <w:rsid w:val="00402839"/>
    <w:rsid w:val="00403192"/>
    <w:rsid w:val="00403546"/>
    <w:rsid w:val="004057D7"/>
    <w:rsid w:val="00405D20"/>
    <w:rsid w:val="00406E9C"/>
    <w:rsid w:val="00407F62"/>
    <w:rsid w:val="0041032A"/>
    <w:rsid w:val="00410D00"/>
    <w:rsid w:val="00412A09"/>
    <w:rsid w:val="00414A4A"/>
    <w:rsid w:val="004201B4"/>
    <w:rsid w:val="004236E3"/>
    <w:rsid w:val="00423D77"/>
    <w:rsid w:val="00424A47"/>
    <w:rsid w:val="00427812"/>
    <w:rsid w:val="00431F1A"/>
    <w:rsid w:val="004324C8"/>
    <w:rsid w:val="00434CC9"/>
    <w:rsid w:val="00440EA1"/>
    <w:rsid w:val="004415ED"/>
    <w:rsid w:val="00444CCB"/>
    <w:rsid w:val="004476B8"/>
    <w:rsid w:val="00450F2C"/>
    <w:rsid w:val="004556DE"/>
    <w:rsid w:val="004604F5"/>
    <w:rsid w:val="00463273"/>
    <w:rsid w:val="004632EE"/>
    <w:rsid w:val="00470F06"/>
    <w:rsid w:val="00472C34"/>
    <w:rsid w:val="00472E8D"/>
    <w:rsid w:val="004745C5"/>
    <w:rsid w:val="00477301"/>
    <w:rsid w:val="00477553"/>
    <w:rsid w:val="0048066B"/>
    <w:rsid w:val="00485AF4"/>
    <w:rsid w:val="00485E24"/>
    <w:rsid w:val="00493948"/>
    <w:rsid w:val="00496483"/>
    <w:rsid w:val="004A2F69"/>
    <w:rsid w:val="004A3FE8"/>
    <w:rsid w:val="004A6592"/>
    <w:rsid w:val="004B6F7B"/>
    <w:rsid w:val="004C11C9"/>
    <w:rsid w:val="004C3426"/>
    <w:rsid w:val="004C73DB"/>
    <w:rsid w:val="004D1774"/>
    <w:rsid w:val="004D2620"/>
    <w:rsid w:val="004D5DB9"/>
    <w:rsid w:val="004E7C16"/>
    <w:rsid w:val="004F0CDC"/>
    <w:rsid w:val="004F239A"/>
    <w:rsid w:val="004F5D3D"/>
    <w:rsid w:val="004F631B"/>
    <w:rsid w:val="00502AA1"/>
    <w:rsid w:val="005035C8"/>
    <w:rsid w:val="00512B43"/>
    <w:rsid w:val="00515B31"/>
    <w:rsid w:val="00517369"/>
    <w:rsid w:val="00522398"/>
    <w:rsid w:val="00536622"/>
    <w:rsid w:val="00541A8A"/>
    <w:rsid w:val="00546B78"/>
    <w:rsid w:val="005509FB"/>
    <w:rsid w:val="0055297E"/>
    <w:rsid w:val="005530E5"/>
    <w:rsid w:val="0055333A"/>
    <w:rsid w:val="00553791"/>
    <w:rsid w:val="0056001B"/>
    <w:rsid w:val="005608A2"/>
    <w:rsid w:val="005678BD"/>
    <w:rsid w:val="005812BC"/>
    <w:rsid w:val="00582233"/>
    <w:rsid w:val="00583581"/>
    <w:rsid w:val="00585908"/>
    <w:rsid w:val="00590DB2"/>
    <w:rsid w:val="005911D1"/>
    <w:rsid w:val="00591636"/>
    <w:rsid w:val="00591BF4"/>
    <w:rsid w:val="00592DCA"/>
    <w:rsid w:val="00593E84"/>
    <w:rsid w:val="0059674B"/>
    <w:rsid w:val="005A1242"/>
    <w:rsid w:val="005A1739"/>
    <w:rsid w:val="005A1CDE"/>
    <w:rsid w:val="005A22FD"/>
    <w:rsid w:val="005A2510"/>
    <w:rsid w:val="005A31A2"/>
    <w:rsid w:val="005A5C0C"/>
    <w:rsid w:val="005A7E6F"/>
    <w:rsid w:val="005B2530"/>
    <w:rsid w:val="005C082C"/>
    <w:rsid w:val="005C265E"/>
    <w:rsid w:val="005D22C4"/>
    <w:rsid w:val="005D68AD"/>
    <w:rsid w:val="005E3DF5"/>
    <w:rsid w:val="005E7F37"/>
    <w:rsid w:val="005F41ED"/>
    <w:rsid w:val="005F78C2"/>
    <w:rsid w:val="00600845"/>
    <w:rsid w:val="00600CBE"/>
    <w:rsid w:val="00600F49"/>
    <w:rsid w:val="006011CB"/>
    <w:rsid w:val="006013D3"/>
    <w:rsid w:val="006072C0"/>
    <w:rsid w:val="006100E3"/>
    <w:rsid w:val="00611968"/>
    <w:rsid w:val="006139B0"/>
    <w:rsid w:val="00614D76"/>
    <w:rsid w:val="00615BA1"/>
    <w:rsid w:val="00617297"/>
    <w:rsid w:val="00621644"/>
    <w:rsid w:val="006230EC"/>
    <w:rsid w:val="00623871"/>
    <w:rsid w:val="00623DE2"/>
    <w:rsid w:val="00624577"/>
    <w:rsid w:val="00632217"/>
    <w:rsid w:val="00632918"/>
    <w:rsid w:val="0063428F"/>
    <w:rsid w:val="0063546C"/>
    <w:rsid w:val="00635BD1"/>
    <w:rsid w:val="00637006"/>
    <w:rsid w:val="00640FB7"/>
    <w:rsid w:val="00645AB2"/>
    <w:rsid w:val="006467A8"/>
    <w:rsid w:val="00657CB6"/>
    <w:rsid w:val="006601D6"/>
    <w:rsid w:val="00664FDA"/>
    <w:rsid w:val="0066583D"/>
    <w:rsid w:val="00666D1D"/>
    <w:rsid w:val="006705F1"/>
    <w:rsid w:val="00674B62"/>
    <w:rsid w:val="006821C6"/>
    <w:rsid w:val="0068396E"/>
    <w:rsid w:val="006867A9"/>
    <w:rsid w:val="006905CE"/>
    <w:rsid w:val="0069076A"/>
    <w:rsid w:val="00690DEF"/>
    <w:rsid w:val="00691198"/>
    <w:rsid w:val="00691465"/>
    <w:rsid w:val="0069422C"/>
    <w:rsid w:val="00694C8B"/>
    <w:rsid w:val="00695651"/>
    <w:rsid w:val="00696580"/>
    <w:rsid w:val="006A0AE3"/>
    <w:rsid w:val="006A0B82"/>
    <w:rsid w:val="006A246F"/>
    <w:rsid w:val="006A6CFA"/>
    <w:rsid w:val="006B05CF"/>
    <w:rsid w:val="006B4602"/>
    <w:rsid w:val="006B7AEC"/>
    <w:rsid w:val="006C0F32"/>
    <w:rsid w:val="006C1339"/>
    <w:rsid w:val="006C1BE3"/>
    <w:rsid w:val="006C47AD"/>
    <w:rsid w:val="006C4A50"/>
    <w:rsid w:val="006D737F"/>
    <w:rsid w:val="006E31BA"/>
    <w:rsid w:val="006E4149"/>
    <w:rsid w:val="006F3C94"/>
    <w:rsid w:val="006F445B"/>
    <w:rsid w:val="006F7AB5"/>
    <w:rsid w:val="0070243E"/>
    <w:rsid w:val="0070686C"/>
    <w:rsid w:val="00706A7F"/>
    <w:rsid w:val="00710002"/>
    <w:rsid w:val="00710218"/>
    <w:rsid w:val="00714499"/>
    <w:rsid w:val="00715D2B"/>
    <w:rsid w:val="007220D7"/>
    <w:rsid w:val="00725DA0"/>
    <w:rsid w:val="00730320"/>
    <w:rsid w:val="00730B71"/>
    <w:rsid w:val="007355F4"/>
    <w:rsid w:val="00741055"/>
    <w:rsid w:val="00741BA6"/>
    <w:rsid w:val="00742FA3"/>
    <w:rsid w:val="007449A2"/>
    <w:rsid w:val="00745C03"/>
    <w:rsid w:val="00747AB4"/>
    <w:rsid w:val="007525A8"/>
    <w:rsid w:val="00755285"/>
    <w:rsid w:val="007610A7"/>
    <w:rsid w:val="00761130"/>
    <w:rsid w:val="00761D45"/>
    <w:rsid w:val="00775C60"/>
    <w:rsid w:val="0077632C"/>
    <w:rsid w:val="007807F0"/>
    <w:rsid w:val="0078363A"/>
    <w:rsid w:val="00784F35"/>
    <w:rsid w:val="00791B1D"/>
    <w:rsid w:val="00792003"/>
    <w:rsid w:val="00797934"/>
    <w:rsid w:val="007A134D"/>
    <w:rsid w:val="007A1B37"/>
    <w:rsid w:val="007A5C82"/>
    <w:rsid w:val="007B64B0"/>
    <w:rsid w:val="007C1AF7"/>
    <w:rsid w:val="007C26A7"/>
    <w:rsid w:val="007C293E"/>
    <w:rsid w:val="007D0766"/>
    <w:rsid w:val="007D1301"/>
    <w:rsid w:val="007D31D0"/>
    <w:rsid w:val="007D49ED"/>
    <w:rsid w:val="007D7D4D"/>
    <w:rsid w:val="007E08E3"/>
    <w:rsid w:val="007E0A76"/>
    <w:rsid w:val="007E0B23"/>
    <w:rsid w:val="007E1A5F"/>
    <w:rsid w:val="007E5508"/>
    <w:rsid w:val="007E60D6"/>
    <w:rsid w:val="007F1903"/>
    <w:rsid w:val="007F3524"/>
    <w:rsid w:val="007F4697"/>
    <w:rsid w:val="007F499A"/>
    <w:rsid w:val="00800FAE"/>
    <w:rsid w:val="0080258D"/>
    <w:rsid w:val="00802FDE"/>
    <w:rsid w:val="00803ABD"/>
    <w:rsid w:val="00805F26"/>
    <w:rsid w:val="00810312"/>
    <w:rsid w:val="00810E8D"/>
    <w:rsid w:val="0081342B"/>
    <w:rsid w:val="00816DC9"/>
    <w:rsid w:val="0081769B"/>
    <w:rsid w:val="008209E9"/>
    <w:rsid w:val="00820CB6"/>
    <w:rsid w:val="008265F4"/>
    <w:rsid w:val="00826CE4"/>
    <w:rsid w:val="00826DC8"/>
    <w:rsid w:val="0083124D"/>
    <w:rsid w:val="00831CF9"/>
    <w:rsid w:val="008326F4"/>
    <w:rsid w:val="0083385C"/>
    <w:rsid w:val="008402F5"/>
    <w:rsid w:val="00840A41"/>
    <w:rsid w:val="00847C0E"/>
    <w:rsid w:val="008502A5"/>
    <w:rsid w:val="008510DA"/>
    <w:rsid w:val="00851580"/>
    <w:rsid w:val="0086386A"/>
    <w:rsid w:val="00866A64"/>
    <w:rsid w:val="00866DDA"/>
    <w:rsid w:val="0087221E"/>
    <w:rsid w:val="00872AAF"/>
    <w:rsid w:val="00874A7E"/>
    <w:rsid w:val="00875797"/>
    <w:rsid w:val="00883C3C"/>
    <w:rsid w:val="00883FFD"/>
    <w:rsid w:val="008852C0"/>
    <w:rsid w:val="00887A3C"/>
    <w:rsid w:val="00887FD0"/>
    <w:rsid w:val="00890BF8"/>
    <w:rsid w:val="00892873"/>
    <w:rsid w:val="00892CCA"/>
    <w:rsid w:val="008A1C5B"/>
    <w:rsid w:val="008A31E9"/>
    <w:rsid w:val="008A7FC5"/>
    <w:rsid w:val="008B13FD"/>
    <w:rsid w:val="008B77E2"/>
    <w:rsid w:val="008C53F4"/>
    <w:rsid w:val="008D1D3E"/>
    <w:rsid w:val="008D5415"/>
    <w:rsid w:val="008E0CFE"/>
    <w:rsid w:val="008E6269"/>
    <w:rsid w:val="008E65E8"/>
    <w:rsid w:val="008F3DBC"/>
    <w:rsid w:val="008F53A0"/>
    <w:rsid w:val="0090174C"/>
    <w:rsid w:val="009018DC"/>
    <w:rsid w:val="00903010"/>
    <w:rsid w:val="00907EE2"/>
    <w:rsid w:val="00916351"/>
    <w:rsid w:val="009215BE"/>
    <w:rsid w:val="009255DB"/>
    <w:rsid w:val="00925994"/>
    <w:rsid w:val="00930C82"/>
    <w:rsid w:val="009349D1"/>
    <w:rsid w:val="00934FFE"/>
    <w:rsid w:val="0093663B"/>
    <w:rsid w:val="00941F0C"/>
    <w:rsid w:val="00944877"/>
    <w:rsid w:val="0094702E"/>
    <w:rsid w:val="00951B0E"/>
    <w:rsid w:val="00951D02"/>
    <w:rsid w:val="00955012"/>
    <w:rsid w:val="00960AC0"/>
    <w:rsid w:val="009703D1"/>
    <w:rsid w:val="00982C94"/>
    <w:rsid w:val="00985795"/>
    <w:rsid w:val="00995345"/>
    <w:rsid w:val="0099657A"/>
    <w:rsid w:val="00996DE9"/>
    <w:rsid w:val="00997B82"/>
    <w:rsid w:val="00997F58"/>
    <w:rsid w:val="009A0E4A"/>
    <w:rsid w:val="009A2BAB"/>
    <w:rsid w:val="009A2C94"/>
    <w:rsid w:val="009A33B5"/>
    <w:rsid w:val="009A5883"/>
    <w:rsid w:val="009A7B13"/>
    <w:rsid w:val="009B050D"/>
    <w:rsid w:val="009B1FF7"/>
    <w:rsid w:val="009B204D"/>
    <w:rsid w:val="009B4E80"/>
    <w:rsid w:val="009C383D"/>
    <w:rsid w:val="009C4F98"/>
    <w:rsid w:val="009C7053"/>
    <w:rsid w:val="009D037A"/>
    <w:rsid w:val="009D0A4E"/>
    <w:rsid w:val="009D1322"/>
    <w:rsid w:val="009D361C"/>
    <w:rsid w:val="009D3CE9"/>
    <w:rsid w:val="009D4471"/>
    <w:rsid w:val="009D4686"/>
    <w:rsid w:val="009D53DB"/>
    <w:rsid w:val="009D646D"/>
    <w:rsid w:val="009E10E5"/>
    <w:rsid w:val="009E3470"/>
    <w:rsid w:val="009E4302"/>
    <w:rsid w:val="009E6221"/>
    <w:rsid w:val="009F1D87"/>
    <w:rsid w:val="009F4CAD"/>
    <w:rsid w:val="00A04A6B"/>
    <w:rsid w:val="00A05CE9"/>
    <w:rsid w:val="00A10E6F"/>
    <w:rsid w:val="00A1161C"/>
    <w:rsid w:val="00A14C64"/>
    <w:rsid w:val="00A17477"/>
    <w:rsid w:val="00A17514"/>
    <w:rsid w:val="00A23B50"/>
    <w:rsid w:val="00A32CB3"/>
    <w:rsid w:val="00A37094"/>
    <w:rsid w:val="00A37F7D"/>
    <w:rsid w:val="00A41484"/>
    <w:rsid w:val="00A41A63"/>
    <w:rsid w:val="00A50550"/>
    <w:rsid w:val="00A52C9D"/>
    <w:rsid w:val="00A530D8"/>
    <w:rsid w:val="00A54D2B"/>
    <w:rsid w:val="00A56B64"/>
    <w:rsid w:val="00A577D2"/>
    <w:rsid w:val="00A60082"/>
    <w:rsid w:val="00A604FE"/>
    <w:rsid w:val="00A638F5"/>
    <w:rsid w:val="00A67627"/>
    <w:rsid w:val="00A70D11"/>
    <w:rsid w:val="00A76255"/>
    <w:rsid w:val="00A811AD"/>
    <w:rsid w:val="00A832B9"/>
    <w:rsid w:val="00A84B98"/>
    <w:rsid w:val="00A85F1F"/>
    <w:rsid w:val="00A924CB"/>
    <w:rsid w:val="00A958D6"/>
    <w:rsid w:val="00AA660A"/>
    <w:rsid w:val="00AA6B63"/>
    <w:rsid w:val="00AB2EFA"/>
    <w:rsid w:val="00AC0727"/>
    <w:rsid w:val="00AC5CBC"/>
    <w:rsid w:val="00AD3E36"/>
    <w:rsid w:val="00AD3ECE"/>
    <w:rsid w:val="00AE2ED0"/>
    <w:rsid w:val="00AE4125"/>
    <w:rsid w:val="00AF1247"/>
    <w:rsid w:val="00AF65D3"/>
    <w:rsid w:val="00AF754D"/>
    <w:rsid w:val="00B011E5"/>
    <w:rsid w:val="00B02E50"/>
    <w:rsid w:val="00B03AAF"/>
    <w:rsid w:val="00B06A47"/>
    <w:rsid w:val="00B07168"/>
    <w:rsid w:val="00B07B4B"/>
    <w:rsid w:val="00B154CA"/>
    <w:rsid w:val="00B17FC9"/>
    <w:rsid w:val="00B20A89"/>
    <w:rsid w:val="00B23A62"/>
    <w:rsid w:val="00B245DF"/>
    <w:rsid w:val="00B26889"/>
    <w:rsid w:val="00B26DC1"/>
    <w:rsid w:val="00B30EED"/>
    <w:rsid w:val="00B349F8"/>
    <w:rsid w:val="00B34D6E"/>
    <w:rsid w:val="00B40060"/>
    <w:rsid w:val="00B44D74"/>
    <w:rsid w:val="00B44DA7"/>
    <w:rsid w:val="00B44EF4"/>
    <w:rsid w:val="00B50901"/>
    <w:rsid w:val="00B51B69"/>
    <w:rsid w:val="00B54917"/>
    <w:rsid w:val="00B549F9"/>
    <w:rsid w:val="00B54BD1"/>
    <w:rsid w:val="00B54C3D"/>
    <w:rsid w:val="00B6625B"/>
    <w:rsid w:val="00B67312"/>
    <w:rsid w:val="00B67E3F"/>
    <w:rsid w:val="00B724F1"/>
    <w:rsid w:val="00B7540F"/>
    <w:rsid w:val="00B80C2C"/>
    <w:rsid w:val="00B81150"/>
    <w:rsid w:val="00B84800"/>
    <w:rsid w:val="00B85189"/>
    <w:rsid w:val="00B85432"/>
    <w:rsid w:val="00B87B88"/>
    <w:rsid w:val="00B90ADE"/>
    <w:rsid w:val="00B90EC4"/>
    <w:rsid w:val="00B9194A"/>
    <w:rsid w:val="00B94CDE"/>
    <w:rsid w:val="00B94F35"/>
    <w:rsid w:val="00B96A16"/>
    <w:rsid w:val="00BA01D5"/>
    <w:rsid w:val="00BA186C"/>
    <w:rsid w:val="00BA21FC"/>
    <w:rsid w:val="00BA474C"/>
    <w:rsid w:val="00BA61A5"/>
    <w:rsid w:val="00BB025A"/>
    <w:rsid w:val="00BB1367"/>
    <w:rsid w:val="00BB291A"/>
    <w:rsid w:val="00BB4A59"/>
    <w:rsid w:val="00BB4D53"/>
    <w:rsid w:val="00BC25D9"/>
    <w:rsid w:val="00BC4FA8"/>
    <w:rsid w:val="00BD0697"/>
    <w:rsid w:val="00BD2C6A"/>
    <w:rsid w:val="00BD2D6B"/>
    <w:rsid w:val="00BD5D24"/>
    <w:rsid w:val="00BD7643"/>
    <w:rsid w:val="00BE0536"/>
    <w:rsid w:val="00BE79B8"/>
    <w:rsid w:val="00BF2DA7"/>
    <w:rsid w:val="00BF2F72"/>
    <w:rsid w:val="00C0279D"/>
    <w:rsid w:val="00C03651"/>
    <w:rsid w:val="00C03D8F"/>
    <w:rsid w:val="00C04F8C"/>
    <w:rsid w:val="00C06304"/>
    <w:rsid w:val="00C072C7"/>
    <w:rsid w:val="00C149C8"/>
    <w:rsid w:val="00C228CC"/>
    <w:rsid w:val="00C22CBD"/>
    <w:rsid w:val="00C263DA"/>
    <w:rsid w:val="00C27FCA"/>
    <w:rsid w:val="00C322D6"/>
    <w:rsid w:val="00C36735"/>
    <w:rsid w:val="00C3696F"/>
    <w:rsid w:val="00C376BE"/>
    <w:rsid w:val="00C379AB"/>
    <w:rsid w:val="00C40016"/>
    <w:rsid w:val="00C41BAF"/>
    <w:rsid w:val="00C425DB"/>
    <w:rsid w:val="00C439BD"/>
    <w:rsid w:val="00C54F5B"/>
    <w:rsid w:val="00C5638B"/>
    <w:rsid w:val="00C5663A"/>
    <w:rsid w:val="00C579FD"/>
    <w:rsid w:val="00C60FC4"/>
    <w:rsid w:val="00C612D9"/>
    <w:rsid w:val="00C639BA"/>
    <w:rsid w:val="00C65DF0"/>
    <w:rsid w:val="00C70F8B"/>
    <w:rsid w:val="00C7258F"/>
    <w:rsid w:val="00C74C8A"/>
    <w:rsid w:val="00C814F3"/>
    <w:rsid w:val="00C839D4"/>
    <w:rsid w:val="00C90AD6"/>
    <w:rsid w:val="00C91A2D"/>
    <w:rsid w:val="00C95503"/>
    <w:rsid w:val="00C956AA"/>
    <w:rsid w:val="00CA0A75"/>
    <w:rsid w:val="00CA1C9F"/>
    <w:rsid w:val="00CA1D50"/>
    <w:rsid w:val="00CA27E2"/>
    <w:rsid w:val="00CA2FA0"/>
    <w:rsid w:val="00CA40B5"/>
    <w:rsid w:val="00CA5169"/>
    <w:rsid w:val="00CB15D3"/>
    <w:rsid w:val="00CB2F0E"/>
    <w:rsid w:val="00CB5A06"/>
    <w:rsid w:val="00CC3A8F"/>
    <w:rsid w:val="00CC552E"/>
    <w:rsid w:val="00CD1819"/>
    <w:rsid w:val="00CD3B2C"/>
    <w:rsid w:val="00CD7354"/>
    <w:rsid w:val="00CE595B"/>
    <w:rsid w:val="00CE7EAC"/>
    <w:rsid w:val="00CF27A6"/>
    <w:rsid w:val="00CF46CB"/>
    <w:rsid w:val="00CF4B28"/>
    <w:rsid w:val="00D011CC"/>
    <w:rsid w:val="00D0140E"/>
    <w:rsid w:val="00D02908"/>
    <w:rsid w:val="00D04A2F"/>
    <w:rsid w:val="00D04CB8"/>
    <w:rsid w:val="00D112D3"/>
    <w:rsid w:val="00D11373"/>
    <w:rsid w:val="00D133DA"/>
    <w:rsid w:val="00D13DFB"/>
    <w:rsid w:val="00D203CD"/>
    <w:rsid w:val="00D23885"/>
    <w:rsid w:val="00D25198"/>
    <w:rsid w:val="00D26576"/>
    <w:rsid w:val="00D26D2D"/>
    <w:rsid w:val="00D31EE0"/>
    <w:rsid w:val="00D32C8D"/>
    <w:rsid w:val="00D32DF2"/>
    <w:rsid w:val="00D4038E"/>
    <w:rsid w:val="00D40608"/>
    <w:rsid w:val="00D41C30"/>
    <w:rsid w:val="00D4418B"/>
    <w:rsid w:val="00D44A21"/>
    <w:rsid w:val="00D46273"/>
    <w:rsid w:val="00D5337C"/>
    <w:rsid w:val="00D53C41"/>
    <w:rsid w:val="00D544A2"/>
    <w:rsid w:val="00D550D9"/>
    <w:rsid w:val="00D55161"/>
    <w:rsid w:val="00D56E11"/>
    <w:rsid w:val="00D61BF4"/>
    <w:rsid w:val="00D61DFF"/>
    <w:rsid w:val="00D63AB4"/>
    <w:rsid w:val="00D646E5"/>
    <w:rsid w:val="00D654C0"/>
    <w:rsid w:val="00D66DC2"/>
    <w:rsid w:val="00D67F9C"/>
    <w:rsid w:val="00D73154"/>
    <w:rsid w:val="00D75CE4"/>
    <w:rsid w:val="00D80120"/>
    <w:rsid w:val="00D81A20"/>
    <w:rsid w:val="00D840BD"/>
    <w:rsid w:val="00D853E9"/>
    <w:rsid w:val="00D86042"/>
    <w:rsid w:val="00D91964"/>
    <w:rsid w:val="00D943A2"/>
    <w:rsid w:val="00D96A99"/>
    <w:rsid w:val="00DA0964"/>
    <w:rsid w:val="00DA198C"/>
    <w:rsid w:val="00DA275B"/>
    <w:rsid w:val="00DA5AB9"/>
    <w:rsid w:val="00DB205E"/>
    <w:rsid w:val="00DB4A69"/>
    <w:rsid w:val="00DB6375"/>
    <w:rsid w:val="00DC06C2"/>
    <w:rsid w:val="00DC2639"/>
    <w:rsid w:val="00DC357A"/>
    <w:rsid w:val="00DC7281"/>
    <w:rsid w:val="00DD1159"/>
    <w:rsid w:val="00DD3F96"/>
    <w:rsid w:val="00DD4327"/>
    <w:rsid w:val="00DD4C2D"/>
    <w:rsid w:val="00DD717A"/>
    <w:rsid w:val="00DD72B7"/>
    <w:rsid w:val="00DE1C69"/>
    <w:rsid w:val="00DF1A0A"/>
    <w:rsid w:val="00DF2D11"/>
    <w:rsid w:val="00DF3546"/>
    <w:rsid w:val="00DF73A4"/>
    <w:rsid w:val="00DF7748"/>
    <w:rsid w:val="00E021F7"/>
    <w:rsid w:val="00E03160"/>
    <w:rsid w:val="00E10BB6"/>
    <w:rsid w:val="00E134E1"/>
    <w:rsid w:val="00E21BC1"/>
    <w:rsid w:val="00E222E4"/>
    <w:rsid w:val="00E2323E"/>
    <w:rsid w:val="00E25CFC"/>
    <w:rsid w:val="00E26548"/>
    <w:rsid w:val="00E26FBE"/>
    <w:rsid w:val="00E3070F"/>
    <w:rsid w:val="00E34CBB"/>
    <w:rsid w:val="00E35C85"/>
    <w:rsid w:val="00E41E42"/>
    <w:rsid w:val="00E42D43"/>
    <w:rsid w:val="00E43E1E"/>
    <w:rsid w:val="00E4507A"/>
    <w:rsid w:val="00E5366D"/>
    <w:rsid w:val="00E679BA"/>
    <w:rsid w:val="00E72444"/>
    <w:rsid w:val="00E72A16"/>
    <w:rsid w:val="00E77058"/>
    <w:rsid w:val="00E77276"/>
    <w:rsid w:val="00E846D8"/>
    <w:rsid w:val="00E935F9"/>
    <w:rsid w:val="00E951E6"/>
    <w:rsid w:val="00E95F1B"/>
    <w:rsid w:val="00E96FA4"/>
    <w:rsid w:val="00EA42B0"/>
    <w:rsid w:val="00EA6808"/>
    <w:rsid w:val="00EB066F"/>
    <w:rsid w:val="00EB7E30"/>
    <w:rsid w:val="00EB7EFB"/>
    <w:rsid w:val="00EC3C07"/>
    <w:rsid w:val="00EC45E9"/>
    <w:rsid w:val="00EC48EE"/>
    <w:rsid w:val="00EC5017"/>
    <w:rsid w:val="00ED28A5"/>
    <w:rsid w:val="00ED688C"/>
    <w:rsid w:val="00ED6C86"/>
    <w:rsid w:val="00EE0417"/>
    <w:rsid w:val="00EE27D0"/>
    <w:rsid w:val="00EE5D63"/>
    <w:rsid w:val="00EF0495"/>
    <w:rsid w:val="00EF0E87"/>
    <w:rsid w:val="00EF4644"/>
    <w:rsid w:val="00EF6BDA"/>
    <w:rsid w:val="00EF70B3"/>
    <w:rsid w:val="00F0388A"/>
    <w:rsid w:val="00F04ED1"/>
    <w:rsid w:val="00F1487D"/>
    <w:rsid w:val="00F16B13"/>
    <w:rsid w:val="00F2024D"/>
    <w:rsid w:val="00F22EF0"/>
    <w:rsid w:val="00F23E1F"/>
    <w:rsid w:val="00F2457A"/>
    <w:rsid w:val="00F247D6"/>
    <w:rsid w:val="00F310B2"/>
    <w:rsid w:val="00F31C2F"/>
    <w:rsid w:val="00F33E15"/>
    <w:rsid w:val="00F34228"/>
    <w:rsid w:val="00F34A58"/>
    <w:rsid w:val="00F34AB0"/>
    <w:rsid w:val="00F34DB7"/>
    <w:rsid w:val="00F35594"/>
    <w:rsid w:val="00F3560F"/>
    <w:rsid w:val="00F36553"/>
    <w:rsid w:val="00F405BF"/>
    <w:rsid w:val="00F407C5"/>
    <w:rsid w:val="00F4534B"/>
    <w:rsid w:val="00F544BB"/>
    <w:rsid w:val="00F60C93"/>
    <w:rsid w:val="00F677DB"/>
    <w:rsid w:val="00F700AB"/>
    <w:rsid w:val="00F70375"/>
    <w:rsid w:val="00F71781"/>
    <w:rsid w:val="00F75297"/>
    <w:rsid w:val="00F76C80"/>
    <w:rsid w:val="00F835E7"/>
    <w:rsid w:val="00F84C38"/>
    <w:rsid w:val="00F873FD"/>
    <w:rsid w:val="00F968A1"/>
    <w:rsid w:val="00F9713E"/>
    <w:rsid w:val="00F97A58"/>
    <w:rsid w:val="00FA5EA2"/>
    <w:rsid w:val="00FA656D"/>
    <w:rsid w:val="00FB0A1D"/>
    <w:rsid w:val="00FB4592"/>
    <w:rsid w:val="00FB6D99"/>
    <w:rsid w:val="00FC2455"/>
    <w:rsid w:val="00FC4DF5"/>
    <w:rsid w:val="00FD0A96"/>
    <w:rsid w:val="00FD1CA3"/>
    <w:rsid w:val="00FD4B5B"/>
    <w:rsid w:val="00FD5816"/>
    <w:rsid w:val="00FD6E46"/>
    <w:rsid w:val="00FE1549"/>
    <w:rsid w:val="00FE35E9"/>
    <w:rsid w:val="00FE5AF3"/>
    <w:rsid w:val="00FE68E6"/>
    <w:rsid w:val="00FF093C"/>
    <w:rsid w:val="00FF1D8C"/>
    <w:rsid w:val="00FF251A"/>
    <w:rsid w:val="00FF54B4"/>
    <w:rsid w:val="00FF5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9C750"/>
  <w15:docId w15:val="{73C9A98C-E93A-48C1-AD17-6651AFDD8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6BC"/>
  </w:style>
  <w:style w:type="paragraph" w:styleId="Heading1">
    <w:name w:val="heading 1"/>
    <w:basedOn w:val="Normal"/>
    <w:next w:val="Normal"/>
    <w:link w:val="Heading1Char"/>
    <w:uiPriority w:val="9"/>
    <w:qFormat/>
    <w:rsid w:val="000A4082"/>
    <w:pPr>
      <w:keepNext/>
      <w:outlineLvl w:val="0"/>
    </w:pPr>
    <w:rPr>
      <w:u w:val="single"/>
    </w:rPr>
  </w:style>
  <w:style w:type="paragraph" w:styleId="Heading2">
    <w:name w:val="heading 2"/>
    <w:basedOn w:val="Normal"/>
    <w:next w:val="Normal"/>
    <w:link w:val="Heading2Char"/>
    <w:uiPriority w:val="9"/>
    <w:unhideWhenUsed/>
    <w:qFormat/>
    <w:rsid w:val="00AF1004"/>
    <w:pPr>
      <w:keepNext/>
      <w:spacing w:after="0" w:line="240" w:lineRule="auto"/>
      <w:jc w:val="center"/>
      <w:outlineLvl w:val="1"/>
    </w:pPr>
    <w:rPr>
      <w:rFonts w:ascii="Times New Roman" w:hAnsi="Times New Roman" w:cs="Times New Roman"/>
      <w:b/>
    </w:rPr>
  </w:style>
  <w:style w:type="paragraph" w:styleId="Heading3">
    <w:name w:val="heading 3"/>
    <w:basedOn w:val="Normal1"/>
    <w:next w:val="Normal1"/>
    <w:rsid w:val="005556BC"/>
    <w:pPr>
      <w:keepNext/>
      <w:keepLines/>
      <w:spacing w:before="280" w:after="80"/>
      <w:outlineLvl w:val="2"/>
    </w:pPr>
    <w:rPr>
      <w:b/>
      <w:sz w:val="28"/>
      <w:szCs w:val="28"/>
    </w:rPr>
  </w:style>
  <w:style w:type="paragraph" w:styleId="Heading4">
    <w:name w:val="heading 4"/>
    <w:basedOn w:val="Normal1"/>
    <w:next w:val="Normal1"/>
    <w:rsid w:val="005556BC"/>
    <w:pPr>
      <w:keepNext/>
      <w:keepLines/>
      <w:spacing w:before="240" w:after="40"/>
      <w:outlineLvl w:val="3"/>
    </w:pPr>
    <w:rPr>
      <w:b/>
      <w:sz w:val="24"/>
      <w:szCs w:val="24"/>
    </w:rPr>
  </w:style>
  <w:style w:type="paragraph" w:styleId="Heading5">
    <w:name w:val="heading 5"/>
    <w:basedOn w:val="Normal1"/>
    <w:next w:val="Normal1"/>
    <w:rsid w:val="005556BC"/>
    <w:pPr>
      <w:keepNext/>
      <w:keepLines/>
      <w:spacing w:before="220" w:after="40"/>
      <w:outlineLvl w:val="4"/>
    </w:pPr>
    <w:rPr>
      <w:b/>
    </w:rPr>
  </w:style>
  <w:style w:type="paragraph" w:styleId="Heading6">
    <w:name w:val="heading 6"/>
    <w:basedOn w:val="Normal1"/>
    <w:next w:val="Normal1"/>
    <w:rsid w:val="005556B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1"/>
    <w:next w:val="Normal1"/>
    <w:rsid w:val="005556BC"/>
    <w:pPr>
      <w:keepNext/>
      <w:keepLines/>
      <w:spacing w:before="480" w:after="120"/>
    </w:pPr>
    <w:rPr>
      <w:b/>
      <w:sz w:val="72"/>
      <w:szCs w:val="72"/>
    </w:rPr>
  </w:style>
  <w:style w:type="paragraph" w:customStyle="1" w:styleId="Normal1">
    <w:name w:val="Normal1"/>
    <w:rsid w:val="005556BC"/>
  </w:style>
  <w:style w:type="paragraph" w:styleId="BodyText">
    <w:name w:val="Body Text"/>
    <w:basedOn w:val="Normal"/>
    <w:link w:val="BodyTextChar"/>
    <w:uiPriority w:val="99"/>
    <w:unhideWhenUsed/>
    <w:rsid w:val="0027692D"/>
    <w:pPr>
      <w:spacing w:line="480" w:lineRule="auto"/>
      <w:jc w:val="both"/>
    </w:pPr>
    <w:rPr>
      <w:u w:val="single"/>
    </w:rPr>
  </w:style>
  <w:style w:type="character" w:customStyle="1" w:styleId="BodyTextChar">
    <w:name w:val="Body Text Char"/>
    <w:basedOn w:val="DefaultParagraphFont"/>
    <w:link w:val="BodyText"/>
    <w:uiPriority w:val="99"/>
    <w:rsid w:val="0027692D"/>
    <w:rPr>
      <w:u w:val="single"/>
    </w:rPr>
  </w:style>
  <w:style w:type="character" w:customStyle="1" w:styleId="Heading1Char">
    <w:name w:val="Heading 1 Char"/>
    <w:basedOn w:val="DefaultParagraphFont"/>
    <w:link w:val="Heading1"/>
    <w:uiPriority w:val="9"/>
    <w:rsid w:val="000A4082"/>
    <w:rPr>
      <w:u w:val="single"/>
    </w:rPr>
  </w:style>
  <w:style w:type="paragraph" w:styleId="ListParagraph">
    <w:name w:val="List Paragraph"/>
    <w:basedOn w:val="Normal"/>
    <w:uiPriority w:val="34"/>
    <w:qFormat/>
    <w:rsid w:val="004C24A7"/>
    <w:pPr>
      <w:ind w:left="720"/>
      <w:contextualSpacing/>
    </w:pPr>
  </w:style>
  <w:style w:type="character" w:customStyle="1" w:styleId="z-TopofFormChar">
    <w:name w:val="z-Top of Form Char"/>
    <w:basedOn w:val="DefaultParagraphFont"/>
    <w:link w:val="z-TopofForm"/>
    <w:uiPriority w:val="99"/>
    <w:semiHidden/>
    <w:rsid w:val="00883158"/>
    <w:rPr>
      <w:rFonts w:ascii="Arial" w:eastAsia="Times New Roman" w:hAnsi="Arial" w:cs="Arial"/>
      <w:vanish/>
      <w:sz w:val="16"/>
      <w:szCs w:val="16"/>
      <w:lang w:eastAsia="en-IN"/>
    </w:rPr>
  </w:style>
  <w:style w:type="paragraph" w:styleId="z-TopofForm">
    <w:name w:val="HTML Top of Form"/>
    <w:basedOn w:val="Normal"/>
    <w:next w:val="Normal"/>
    <w:link w:val="z-TopofFormChar"/>
    <w:hidden/>
    <w:uiPriority w:val="99"/>
    <w:semiHidden/>
    <w:unhideWhenUsed/>
    <w:rsid w:val="00883158"/>
    <w:pPr>
      <w:pBdr>
        <w:bottom w:val="single" w:sz="6" w:space="1" w:color="auto"/>
      </w:pBdr>
      <w:spacing w:after="0" w:line="240" w:lineRule="auto"/>
      <w:jc w:val="center"/>
    </w:pPr>
    <w:rPr>
      <w:rFonts w:ascii="Arial" w:eastAsia="Times New Roman" w:hAnsi="Arial" w:cs="Arial"/>
      <w:vanish/>
      <w:sz w:val="16"/>
      <w:szCs w:val="16"/>
      <w:lang w:eastAsia="en-IN"/>
    </w:rPr>
  </w:style>
  <w:style w:type="character" w:customStyle="1" w:styleId="z-TopofFormChar1">
    <w:name w:val="z-Top of Form Char1"/>
    <w:basedOn w:val="DefaultParagraphFont"/>
    <w:uiPriority w:val="99"/>
    <w:semiHidden/>
    <w:rsid w:val="00883158"/>
    <w:rPr>
      <w:rFonts w:ascii="Arial" w:hAnsi="Arial" w:cs="Arial"/>
      <w:vanish/>
      <w:sz w:val="16"/>
      <w:szCs w:val="16"/>
    </w:rPr>
  </w:style>
  <w:style w:type="paragraph" w:styleId="BodyText2">
    <w:name w:val="Body Text 2"/>
    <w:basedOn w:val="Normal"/>
    <w:link w:val="BodyText2Char"/>
    <w:uiPriority w:val="99"/>
    <w:unhideWhenUsed/>
    <w:rsid w:val="00EC636D"/>
    <w:pPr>
      <w:spacing w:line="480" w:lineRule="auto"/>
      <w:jc w:val="both"/>
    </w:pPr>
    <w:rPr>
      <w:rFonts w:ascii="Times New Roman" w:hAnsi="Times New Roman" w:cs="Times New Roman"/>
      <w:sz w:val="24"/>
      <w:szCs w:val="24"/>
    </w:rPr>
  </w:style>
  <w:style w:type="character" w:customStyle="1" w:styleId="BodyText2Char">
    <w:name w:val="Body Text 2 Char"/>
    <w:basedOn w:val="DefaultParagraphFont"/>
    <w:link w:val="BodyText2"/>
    <w:uiPriority w:val="99"/>
    <w:rsid w:val="00EC636D"/>
    <w:rPr>
      <w:rFonts w:ascii="Times New Roman" w:hAnsi="Times New Roman" w:cs="Times New Roman"/>
      <w:sz w:val="24"/>
      <w:szCs w:val="24"/>
    </w:rPr>
  </w:style>
  <w:style w:type="character" w:styleId="Hyperlink">
    <w:name w:val="Hyperlink"/>
    <w:basedOn w:val="DefaultParagraphFont"/>
    <w:uiPriority w:val="99"/>
    <w:unhideWhenUsed/>
    <w:rsid w:val="00281BAF"/>
    <w:rPr>
      <w:color w:val="0000FF"/>
      <w:u w:val="single"/>
    </w:rPr>
  </w:style>
  <w:style w:type="table" w:styleId="TableGrid">
    <w:name w:val="Table Grid"/>
    <w:basedOn w:val="TableNormal"/>
    <w:uiPriority w:val="39"/>
    <w:rsid w:val="00F965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F1004"/>
    <w:rPr>
      <w:rFonts w:ascii="Times New Roman" w:hAnsi="Times New Roman" w:cs="Times New Roman"/>
      <w:b/>
    </w:rPr>
  </w:style>
  <w:style w:type="paragraph" w:styleId="NormalWeb">
    <w:name w:val="Normal (Web)"/>
    <w:basedOn w:val="Normal"/>
    <w:uiPriority w:val="99"/>
    <w:unhideWhenUsed/>
    <w:rsid w:val="00DF5FBD"/>
    <w:pPr>
      <w:spacing w:before="100" w:beforeAutospacing="1" w:after="100" w:afterAutospacing="1" w:line="240" w:lineRule="auto"/>
    </w:pPr>
    <w:rPr>
      <w:rFonts w:ascii="Times New Roman" w:eastAsiaTheme="minorEastAsia" w:hAnsi="Times New Roman" w:cs="Times New Roman"/>
      <w:sz w:val="24"/>
      <w:szCs w:val="24"/>
      <w:lang w:eastAsia="en-IN"/>
    </w:rPr>
  </w:style>
  <w:style w:type="character" w:customStyle="1" w:styleId="UnresolvedMention1">
    <w:name w:val="Unresolved Mention1"/>
    <w:basedOn w:val="DefaultParagraphFont"/>
    <w:uiPriority w:val="99"/>
    <w:semiHidden/>
    <w:unhideWhenUsed/>
    <w:rsid w:val="002D784A"/>
    <w:rPr>
      <w:color w:val="808080"/>
      <w:shd w:val="clear" w:color="auto" w:fill="E6E6E6"/>
    </w:rPr>
  </w:style>
  <w:style w:type="character" w:styleId="CommentReference">
    <w:name w:val="annotation reference"/>
    <w:basedOn w:val="DefaultParagraphFont"/>
    <w:uiPriority w:val="99"/>
    <w:semiHidden/>
    <w:unhideWhenUsed/>
    <w:rsid w:val="00FC73EF"/>
    <w:rPr>
      <w:sz w:val="16"/>
      <w:szCs w:val="16"/>
    </w:rPr>
  </w:style>
  <w:style w:type="paragraph" w:styleId="CommentText">
    <w:name w:val="annotation text"/>
    <w:basedOn w:val="Normal"/>
    <w:link w:val="CommentTextChar"/>
    <w:uiPriority w:val="99"/>
    <w:semiHidden/>
    <w:unhideWhenUsed/>
    <w:rsid w:val="00FC73EF"/>
    <w:pPr>
      <w:spacing w:line="240" w:lineRule="auto"/>
    </w:pPr>
    <w:rPr>
      <w:sz w:val="20"/>
      <w:szCs w:val="20"/>
    </w:rPr>
  </w:style>
  <w:style w:type="character" w:customStyle="1" w:styleId="CommentTextChar">
    <w:name w:val="Comment Text Char"/>
    <w:basedOn w:val="DefaultParagraphFont"/>
    <w:link w:val="CommentText"/>
    <w:uiPriority w:val="99"/>
    <w:semiHidden/>
    <w:rsid w:val="00FC73EF"/>
    <w:rPr>
      <w:sz w:val="20"/>
      <w:szCs w:val="20"/>
    </w:rPr>
  </w:style>
  <w:style w:type="paragraph" w:styleId="CommentSubject">
    <w:name w:val="annotation subject"/>
    <w:basedOn w:val="CommentText"/>
    <w:next w:val="CommentText"/>
    <w:link w:val="CommentSubjectChar"/>
    <w:uiPriority w:val="99"/>
    <w:semiHidden/>
    <w:unhideWhenUsed/>
    <w:rsid w:val="00FC73EF"/>
    <w:rPr>
      <w:b/>
      <w:bCs/>
    </w:rPr>
  </w:style>
  <w:style w:type="character" w:customStyle="1" w:styleId="CommentSubjectChar">
    <w:name w:val="Comment Subject Char"/>
    <w:basedOn w:val="CommentTextChar"/>
    <w:link w:val="CommentSubject"/>
    <w:uiPriority w:val="99"/>
    <w:semiHidden/>
    <w:rsid w:val="00FC73EF"/>
    <w:rPr>
      <w:b/>
      <w:bCs/>
      <w:sz w:val="20"/>
      <w:szCs w:val="20"/>
    </w:rPr>
  </w:style>
  <w:style w:type="paragraph" w:styleId="BalloonText">
    <w:name w:val="Balloon Text"/>
    <w:basedOn w:val="Normal"/>
    <w:link w:val="BalloonTextChar"/>
    <w:uiPriority w:val="99"/>
    <w:semiHidden/>
    <w:unhideWhenUsed/>
    <w:rsid w:val="00FC73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73EF"/>
    <w:rPr>
      <w:rFonts w:ascii="Segoe UI" w:hAnsi="Segoe UI" w:cs="Segoe UI"/>
      <w:sz w:val="18"/>
      <w:szCs w:val="18"/>
    </w:rPr>
  </w:style>
  <w:style w:type="character" w:customStyle="1" w:styleId="highlight">
    <w:name w:val="highlight"/>
    <w:basedOn w:val="DefaultParagraphFont"/>
    <w:rsid w:val="00462CCC"/>
  </w:style>
  <w:style w:type="character" w:customStyle="1" w:styleId="jrnl">
    <w:name w:val="jrnl"/>
    <w:basedOn w:val="DefaultParagraphFont"/>
    <w:rsid w:val="00462CCC"/>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rsid w:val="005556BC"/>
    <w:pPr>
      <w:spacing w:after="0" w:line="240" w:lineRule="auto"/>
    </w:pPr>
    <w:tblPr>
      <w:tblStyleRowBandSize w:val="1"/>
      <w:tblStyleColBandSize w:val="1"/>
    </w:tblPr>
  </w:style>
  <w:style w:type="table" w:customStyle="1" w:styleId="a0">
    <w:basedOn w:val="TableNormal"/>
    <w:rsid w:val="005556BC"/>
    <w:pPr>
      <w:spacing w:after="0" w:line="240" w:lineRule="auto"/>
    </w:pPr>
    <w:tblPr>
      <w:tblStyleRowBandSize w:val="1"/>
      <w:tblStyleColBandSize w:val="1"/>
    </w:tblPr>
  </w:style>
  <w:style w:type="table" w:customStyle="1" w:styleId="a1">
    <w:basedOn w:val="TableNormal"/>
    <w:rsid w:val="005556BC"/>
    <w:pPr>
      <w:spacing w:after="0" w:line="240" w:lineRule="auto"/>
    </w:pPr>
    <w:tblPr>
      <w:tblStyleRowBandSize w:val="1"/>
      <w:tblStyleColBandSize w:val="1"/>
    </w:tblPr>
  </w:style>
  <w:style w:type="table" w:customStyle="1" w:styleId="a2">
    <w:basedOn w:val="TableNormal"/>
    <w:rsid w:val="005556BC"/>
    <w:pPr>
      <w:spacing w:after="0" w:line="240" w:lineRule="auto"/>
    </w:pPr>
    <w:tblPr>
      <w:tblStyleRowBandSize w:val="1"/>
      <w:tblStyleColBandSize w:val="1"/>
    </w:tblPr>
  </w:style>
  <w:style w:type="paragraph" w:styleId="Revision">
    <w:name w:val="Revision"/>
    <w:hidden/>
    <w:uiPriority w:val="99"/>
    <w:semiHidden/>
    <w:rsid w:val="00E306FC"/>
    <w:pPr>
      <w:spacing w:after="0" w:line="240" w:lineRule="auto"/>
    </w:p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pPr>
      <w:spacing w:after="0" w:line="240" w:lineRule="auto"/>
    </w:pPr>
    <w:tblPr>
      <w:tblStyleRowBandSize w:val="1"/>
      <w:tblStyleColBandSize w:val="1"/>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pPr>
      <w:spacing w:after="0" w:line="240" w:lineRule="auto"/>
    </w:pPr>
    <w:tblPr>
      <w:tblStyleRowBandSize w:val="1"/>
      <w:tblStyleColBandSize w:val="1"/>
    </w:tblPr>
  </w:style>
  <w:style w:type="character" w:styleId="LineNumber">
    <w:name w:val="line number"/>
    <w:basedOn w:val="DefaultParagraphFont"/>
    <w:uiPriority w:val="99"/>
    <w:semiHidden/>
    <w:unhideWhenUsed/>
    <w:rsid w:val="00A37F7D"/>
  </w:style>
  <w:style w:type="character" w:styleId="HTMLCite">
    <w:name w:val="HTML Cite"/>
    <w:basedOn w:val="DefaultParagraphFont"/>
    <w:uiPriority w:val="99"/>
    <w:semiHidden/>
    <w:unhideWhenUsed/>
    <w:rsid w:val="00DD72B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56061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who.int/tobacco/surveillance/survey/gats/GATS_India_2016-17_FactSheet.pdf?ua=1" TargetMode="External"/><Relationship Id="rId3" Type="http://schemas.openxmlformats.org/officeDocument/2006/relationships/settings" Target="settings.xml"/><Relationship Id="rId7" Type="http://schemas.openxmlformats.org/officeDocument/2006/relationships/hyperlink" Target="https://tmc.gov.in/tmh/PDF/Lung-Gastric.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ccn.org/professionals/physician_gls/pdf/sclc.pdf" TargetMode="External"/><Relationship Id="rId11" Type="http://schemas.openxmlformats.org/officeDocument/2006/relationships/fontTable" Target="fontTable.xml"/><Relationship Id="rId5" Type="http://schemas.openxmlformats.org/officeDocument/2006/relationships/hyperlink" Target="mailto:kumarprabhashtmh@gmail.com"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25</Pages>
  <Words>6254</Words>
  <Characters>35654</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Vanita Noronha</dc:creator>
  <cp:lastModifiedBy>Vanita Noronha</cp:lastModifiedBy>
  <cp:revision>9</cp:revision>
  <dcterms:created xsi:type="dcterms:W3CDTF">2020-08-29T08:54:00Z</dcterms:created>
  <dcterms:modified xsi:type="dcterms:W3CDTF">2020-08-31T17:50:00Z</dcterms:modified>
</cp:coreProperties>
</file>