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AD680" w14:textId="46AC01E5" w:rsidR="006C6E9F" w:rsidRPr="00CE7FEE" w:rsidRDefault="006C6E9F">
      <w:pPr>
        <w:rPr>
          <w:rFonts w:ascii="Times" w:eastAsia="Times New Roman" w:hAnsi="Times" w:cs="Times"/>
        </w:rPr>
      </w:pPr>
      <w:r w:rsidRPr="00B330B3">
        <w:rPr>
          <w:rFonts w:ascii="Times" w:eastAsia="Times New Roman" w:hAnsi="Times" w:cs="Times"/>
        </w:rPr>
        <w:t>Supplementary Table 2: Result metrics explained</w:t>
      </w:r>
    </w:p>
    <w:tbl>
      <w:tblPr>
        <w:tblW w:w="10795" w:type="dxa"/>
        <w:tblInd w:w="-545" w:type="dxa"/>
        <w:tblLook w:val="04A0" w:firstRow="1" w:lastRow="0" w:firstColumn="1" w:lastColumn="0" w:noHBand="0" w:noVBand="1"/>
      </w:tblPr>
      <w:tblGrid>
        <w:gridCol w:w="1885"/>
        <w:gridCol w:w="8910"/>
      </w:tblGrid>
      <w:tr w:rsidR="00284334" w:rsidRPr="00B330B3" w14:paraId="1FDEF50C" w14:textId="77777777" w:rsidTr="00CE7FEE">
        <w:trPr>
          <w:trHeight w:val="320"/>
        </w:trPr>
        <w:tc>
          <w:tcPr>
            <w:tcW w:w="1885" w:type="dxa"/>
            <w:tcBorders>
              <w:top w:val="single" w:sz="4" w:space="0" w:color="auto"/>
              <w:left w:val="single" w:sz="4" w:space="0" w:color="auto"/>
              <w:bottom w:val="single" w:sz="4" w:space="0" w:color="auto"/>
              <w:right w:val="nil"/>
            </w:tcBorders>
            <w:shd w:val="clear" w:color="000000" w:fill="FFFFFF"/>
            <w:noWrap/>
            <w:vAlign w:val="center"/>
            <w:hideMark/>
          </w:tcPr>
          <w:p w14:paraId="63CFFE7F" w14:textId="20AA8E3F" w:rsidR="00284334" w:rsidRPr="00B330B3" w:rsidRDefault="00284334" w:rsidP="00284334">
            <w:pPr>
              <w:rPr>
                <w:rFonts w:ascii="Times" w:eastAsia="Times New Roman" w:hAnsi="Times" w:cs="Times"/>
                <w:b/>
                <w:bCs/>
              </w:rPr>
            </w:pPr>
            <w:r w:rsidRPr="00B330B3">
              <w:rPr>
                <w:rFonts w:ascii="Times" w:eastAsia="Times New Roman" w:hAnsi="Times" w:cs="Times"/>
                <w:b/>
                <w:bCs/>
              </w:rPr>
              <w:t>Metric</w:t>
            </w:r>
          </w:p>
        </w:tc>
        <w:tc>
          <w:tcPr>
            <w:tcW w:w="8910" w:type="dxa"/>
            <w:tcBorders>
              <w:top w:val="single" w:sz="4" w:space="0" w:color="auto"/>
              <w:left w:val="nil"/>
              <w:bottom w:val="single" w:sz="4" w:space="0" w:color="auto"/>
              <w:right w:val="single" w:sz="4" w:space="0" w:color="auto"/>
            </w:tcBorders>
            <w:shd w:val="clear" w:color="000000" w:fill="FFFFFF"/>
            <w:noWrap/>
            <w:vAlign w:val="center"/>
            <w:hideMark/>
          </w:tcPr>
          <w:p w14:paraId="3D632714" w14:textId="77777777" w:rsidR="00284334" w:rsidRPr="00B330B3" w:rsidRDefault="00284334" w:rsidP="00284334">
            <w:pPr>
              <w:rPr>
                <w:rFonts w:ascii="Times" w:eastAsia="Times New Roman" w:hAnsi="Times" w:cs="Times"/>
                <w:b/>
                <w:bCs/>
              </w:rPr>
            </w:pPr>
            <w:r w:rsidRPr="00B330B3">
              <w:rPr>
                <w:rFonts w:ascii="Times" w:eastAsia="Times New Roman" w:hAnsi="Times" w:cs="Times"/>
                <w:b/>
                <w:bCs/>
              </w:rPr>
              <w:t>Explanation</w:t>
            </w:r>
          </w:p>
        </w:tc>
      </w:tr>
      <w:tr w:rsidR="00284334" w:rsidRPr="00B330B3" w14:paraId="40136F5F" w14:textId="77777777" w:rsidTr="00CE7FEE">
        <w:trPr>
          <w:trHeight w:val="565"/>
        </w:trPr>
        <w:tc>
          <w:tcPr>
            <w:tcW w:w="1885" w:type="dxa"/>
            <w:tcBorders>
              <w:top w:val="single" w:sz="4" w:space="0" w:color="auto"/>
              <w:left w:val="single" w:sz="4" w:space="0" w:color="auto"/>
              <w:bottom w:val="nil"/>
              <w:right w:val="nil"/>
            </w:tcBorders>
            <w:shd w:val="clear" w:color="000000" w:fill="E7E6E6"/>
            <w:noWrap/>
            <w:vAlign w:val="bottom"/>
            <w:hideMark/>
          </w:tcPr>
          <w:p w14:paraId="476B8B7A" w14:textId="77777777" w:rsidR="00284334" w:rsidRPr="00B330B3" w:rsidRDefault="00284334" w:rsidP="00284334">
            <w:pPr>
              <w:rPr>
                <w:rFonts w:ascii="Times" w:eastAsia="Times New Roman" w:hAnsi="Times" w:cs="Times"/>
              </w:rPr>
            </w:pPr>
            <w:r w:rsidRPr="00B330B3">
              <w:rPr>
                <w:rFonts w:ascii="Times" w:eastAsia="Times New Roman" w:hAnsi="Times" w:cs="Times"/>
              </w:rPr>
              <w:t>AUC</w:t>
            </w:r>
          </w:p>
        </w:tc>
        <w:tc>
          <w:tcPr>
            <w:tcW w:w="8910" w:type="dxa"/>
            <w:tcBorders>
              <w:top w:val="single" w:sz="4" w:space="0" w:color="auto"/>
              <w:left w:val="nil"/>
              <w:bottom w:val="nil"/>
              <w:right w:val="single" w:sz="4" w:space="0" w:color="auto"/>
            </w:tcBorders>
            <w:shd w:val="clear" w:color="000000" w:fill="E7E6E6"/>
            <w:vAlign w:val="center"/>
            <w:hideMark/>
          </w:tcPr>
          <w:p w14:paraId="03D2910E" w14:textId="77777777" w:rsidR="00284334" w:rsidRPr="00B330B3" w:rsidRDefault="00284334" w:rsidP="00284334">
            <w:pPr>
              <w:rPr>
                <w:rFonts w:ascii="Times" w:eastAsia="Times New Roman" w:hAnsi="Times" w:cs="Times"/>
              </w:rPr>
            </w:pPr>
            <w:r w:rsidRPr="00B330B3">
              <w:rPr>
                <w:rFonts w:ascii="Times" w:eastAsia="Times New Roman" w:hAnsi="Times" w:cs="Times"/>
              </w:rPr>
              <w:t>The ability of the algorithm to discriminate between two classes ranging from 0 to 1.  Excellent performance of a model has an AUC near of 1.0, which means it has a good measure of separability.</w:t>
            </w:r>
          </w:p>
        </w:tc>
      </w:tr>
      <w:tr w:rsidR="00284334" w:rsidRPr="00B330B3" w14:paraId="7EAC7FD5" w14:textId="77777777" w:rsidTr="00CE7FEE">
        <w:trPr>
          <w:trHeight w:val="990"/>
        </w:trPr>
        <w:tc>
          <w:tcPr>
            <w:tcW w:w="1885" w:type="dxa"/>
            <w:tcBorders>
              <w:top w:val="nil"/>
              <w:left w:val="single" w:sz="4" w:space="0" w:color="auto"/>
              <w:bottom w:val="nil"/>
              <w:right w:val="nil"/>
            </w:tcBorders>
            <w:shd w:val="clear" w:color="000000" w:fill="FFFFFF"/>
            <w:noWrap/>
            <w:vAlign w:val="bottom"/>
            <w:hideMark/>
          </w:tcPr>
          <w:p w14:paraId="44A46C93" w14:textId="5B43C04A" w:rsidR="00284334" w:rsidRPr="00B330B3" w:rsidRDefault="00284334" w:rsidP="00284334">
            <w:pPr>
              <w:rPr>
                <w:rFonts w:ascii="Times" w:eastAsia="Times New Roman" w:hAnsi="Times" w:cs="Times"/>
              </w:rPr>
            </w:pPr>
            <w:r w:rsidRPr="00B330B3">
              <w:rPr>
                <w:rFonts w:ascii="Times" w:eastAsia="Times New Roman" w:hAnsi="Times" w:cs="Times"/>
              </w:rPr>
              <w:t xml:space="preserve">    - ROC</w:t>
            </w:r>
          </w:p>
        </w:tc>
        <w:tc>
          <w:tcPr>
            <w:tcW w:w="8910" w:type="dxa"/>
            <w:tcBorders>
              <w:top w:val="nil"/>
              <w:left w:val="nil"/>
              <w:bottom w:val="nil"/>
              <w:right w:val="single" w:sz="4" w:space="0" w:color="auto"/>
            </w:tcBorders>
            <w:shd w:val="clear" w:color="000000" w:fill="FFFFFF"/>
            <w:hideMark/>
          </w:tcPr>
          <w:p w14:paraId="72E60DCE" w14:textId="77777777" w:rsidR="00284334" w:rsidRPr="00B330B3" w:rsidRDefault="00284334" w:rsidP="00284334">
            <w:pPr>
              <w:rPr>
                <w:rFonts w:ascii="Times" w:eastAsia="Times New Roman" w:hAnsi="Times" w:cs="Times"/>
              </w:rPr>
            </w:pPr>
            <w:r w:rsidRPr="00B330B3">
              <w:rPr>
                <w:rFonts w:ascii="Times" w:eastAsia="Times New Roman" w:hAnsi="Times" w:cs="Times"/>
              </w:rPr>
              <w:t>Is a graphical plot illustrating the sensitivity as a function of “1 – specificity” in a binary outcome with varying thresholds. The area under the curve corresponds to how well the algorithm discriminates between the binary outcome, which ranges from 0.5 (no better than a coin-toss) to 1.0 (perfect discrimination).</w:t>
            </w:r>
          </w:p>
        </w:tc>
      </w:tr>
      <w:tr w:rsidR="00284334" w:rsidRPr="00B330B3" w14:paraId="454BB22C"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3AB11314" w14:textId="709BADEA" w:rsidR="00284334" w:rsidRPr="00B330B3" w:rsidRDefault="00284334" w:rsidP="00284334">
            <w:pPr>
              <w:rPr>
                <w:rFonts w:ascii="Times" w:eastAsia="Times New Roman" w:hAnsi="Times" w:cs="Times"/>
              </w:rPr>
            </w:pPr>
            <w:r w:rsidRPr="00B330B3">
              <w:rPr>
                <w:rFonts w:ascii="Times" w:eastAsia="Times New Roman" w:hAnsi="Times" w:cs="Times"/>
              </w:rPr>
              <w:t xml:space="preserve">    - PRC</w:t>
            </w:r>
          </w:p>
        </w:tc>
        <w:tc>
          <w:tcPr>
            <w:tcW w:w="8910" w:type="dxa"/>
            <w:tcBorders>
              <w:top w:val="nil"/>
              <w:left w:val="nil"/>
              <w:bottom w:val="nil"/>
              <w:right w:val="single" w:sz="4" w:space="0" w:color="auto"/>
            </w:tcBorders>
            <w:shd w:val="clear" w:color="000000" w:fill="E7E6E6"/>
            <w:vAlign w:val="center"/>
            <w:hideMark/>
          </w:tcPr>
          <w:p w14:paraId="3635B41E" w14:textId="6E6653B2" w:rsidR="00284334" w:rsidRPr="00B330B3" w:rsidRDefault="00284334" w:rsidP="00284334">
            <w:pPr>
              <w:rPr>
                <w:rFonts w:ascii="Times" w:eastAsia="Times New Roman" w:hAnsi="Times" w:cs="Times"/>
              </w:rPr>
            </w:pPr>
            <w:r w:rsidRPr="00B330B3">
              <w:rPr>
                <w:rFonts w:ascii="Times" w:eastAsia="Times New Roman" w:hAnsi="Times" w:cs="Times"/>
              </w:rPr>
              <w:t xml:space="preserve">Is a graphical plot of recall (sensitivity) and </w:t>
            </w:r>
            <w:proofErr w:type="gramStart"/>
            <w:r w:rsidRPr="00B330B3">
              <w:rPr>
                <w:rFonts w:ascii="Times" w:eastAsia="Times New Roman" w:hAnsi="Times" w:cs="Times"/>
              </w:rPr>
              <w:t>precision.</w:t>
            </w:r>
            <w:proofErr w:type="gramEnd"/>
            <w:r w:rsidRPr="00B330B3">
              <w:rPr>
                <w:rFonts w:ascii="Times" w:eastAsia="Times New Roman" w:hAnsi="Times" w:cs="Times"/>
              </w:rPr>
              <w:t xml:space="preserve"> This is helpful in illustrating the algorithm performance on imbalanced datasets (outcomes that occur less than 1% in the dataset). A high number (close to 1.0) corresponds with high recall and high precision. </w:t>
            </w:r>
          </w:p>
        </w:tc>
      </w:tr>
      <w:tr w:rsidR="00284334" w:rsidRPr="00B330B3" w14:paraId="76DA66B3" w14:textId="77777777" w:rsidTr="00CE7FEE">
        <w:trPr>
          <w:trHeight w:val="74"/>
        </w:trPr>
        <w:tc>
          <w:tcPr>
            <w:tcW w:w="1885" w:type="dxa"/>
            <w:tcBorders>
              <w:top w:val="nil"/>
              <w:left w:val="single" w:sz="4" w:space="0" w:color="auto"/>
              <w:bottom w:val="nil"/>
              <w:right w:val="nil"/>
            </w:tcBorders>
            <w:shd w:val="clear" w:color="000000" w:fill="FFFFFF"/>
            <w:noWrap/>
            <w:vAlign w:val="bottom"/>
            <w:hideMark/>
          </w:tcPr>
          <w:p w14:paraId="03FF2292" w14:textId="77777777" w:rsidR="00284334" w:rsidRPr="00B330B3" w:rsidRDefault="00284334" w:rsidP="00284334">
            <w:pPr>
              <w:rPr>
                <w:rFonts w:ascii="Times" w:eastAsia="Times New Roman" w:hAnsi="Times" w:cs="Times"/>
              </w:rPr>
            </w:pPr>
            <w:r w:rsidRPr="00B330B3">
              <w:rPr>
                <w:rFonts w:ascii="Times" w:eastAsia="Times New Roman" w:hAnsi="Times" w:cs="Times"/>
              </w:rPr>
              <w:t>Brier</w:t>
            </w:r>
          </w:p>
        </w:tc>
        <w:tc>
          <w:tcPr>
            <w:tcW w:w="8910" w:type="dxa"/>
            <w:tcBorders>
              <w:top w:val="nil"/>
              <w:left w:val="nil"/>
              <w:bottom w:val="nil"/>
              <w:right w:val="single" w:sz="4" w:space="0" w:color="auto"/>
            </w:tcBorders>
            <w:shd w:val="clear" w:color="000000" w:fill="FFFFFF"/>
            <w:vAlign w:val="center"/>
            <w:hideMark/>
          </w:tcPr>
          <w:p w14:paraId="6DDDF3AF" w14:textId="77777777" w:rsidR="00284334" w:rsidRPr="00B330B3" w:rsidRDefault="00284334" w:rsidP="00284334">
            <w:pPr>
              <w:rPr>
                <w:rFonts w:ascii="Times" w:eastAsia="Times New Roman" w:hAnsi="Times" w:cs="Times"/>
              </w:rPr>
            </w:pPr>
            <w:r w:rsidRPr="00B330B3">
              <w:rPr>
                <w:rFonts w:ascii="Times" w:eastAsia="Times New Roman" w:hAnsi="Times" w:cs="Times"/>
              </w:rPr>
              <w:t>Computes the average mean squared difference between the predicted and observed outcomes; it ranges from 0 (excellent prediction) to 1 (worst prediction).</w:t>
            </w:r>
          </w:p>
        </w:tc>
      </w:tr>
      <w:tr w:rsidR="00284334" w:rsidRPr="00B330B3" w14:paraId="479E7AAF"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33A2D10C"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Calibration</w:t>
            </w:r>
          </w:p>
        </w:tc>
        <w:tc>
          <w:tcPr>
            <w:tcW w:w="8910" w:type="dxa"/>
            <w:tcBorders>
              <w:top w:val="nil"/>
              <w:left w:val="nil"/>
              <w:bottom w:val="nil"/>
              <w:right w:val="single" w:sz="4" w:space="0" w:color="auto"/>
            </w:tcBorders>
            <w:shd w:val="clear" w:color="000000" w:fill="E7E6E6"/>
            <w:vAlign w:val="bottom"/>
            <w:hideMark/>
          </w:tcPr>
          <w:p w14:paraId="083A821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Compares the observed to the predicted proportion of outcomes. A perfect model has a calibration slope of 1 and calibration intercept of 0.</w:t>
            </w:r>
          </w:p>
        </w:tc>
      </w:tr>
      <w:tr w:rsidR="00284334" w:rsidRPr="00B330B3" w14:paraId="4A003034" w14:textId="77777777" w:rsidTr="00CE7FEE">
        <w:trPr>
          <w:trHeight w:val="74"/>
        </w:trPr>
        <w:tc>
          <w:tcPr>
            <w:tcW w:w="1885" w:type="dxa"/>
            <w:tcBorders>
              <w:top w:val="nil"/>
              <w:left w:val="single" w:sz="4" w:space="0" w:color="auto"/>
              <w:bottom w:val="nil"/>
              <w:right w:val="nil"/>
            </w:tcBorders>
            <w:shd w:val="clear" w:color="000000" w:fill="FFFFFF"/>
            <w:noWrap/>
            <w:vAlign w:val="bottom"/>
            <w:hideMark/>
          </w:tcPr>
          <w:p w14:paraId="25D577D9"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Intercept</w:t>
            </w:r>
          </w:p>
        </w:tc>
        <w:tc>
          <w:tcPr>
            <w:tcW w:w="8910" w:type="dxa"/>
            <w:tcBorders>
              <w:top w:val="nil"/>
              <w:left w:val="nil"/>
              <w:bottom w:val="nil"/>
              <w:right w:val="single" w:sz="4" w:space="0" w:color="auto"/>
            </w:tcBorders>
            <w:shd w:val="clear" w:color="000000" w:fill="FFFFFF"/>
            <w:vAlign w:val="bottom"/>
            <w:hideMark/>
          </w:tcPr>
          <w:p w14:paraId="0963855F"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Indicates the extent that predictions are systematically too low or too high: negative calibration intercept suggests</w:t>
            </w:r>
            <w:r w:rsidRPr="00B330B3">
              <w:rPr>
                <w:rFonts w:ascii="Times" w:eastAsia="Times New Roman" w:hAnsi="Times" w:cs="Times"/>
                <w:color w:val="000000"/>
              </w:rPr>
              <w:br/>
              <w:t>overestimation and a positive intercept suggests underestimation of the outcome.</w:t>
            </w:r>
          </w:p>
        </w:tc>
      </w:tr>
      <w:tr w:rsidR="00284334" w:rsidRPr="00B330B3" w14:paraId="04B4FB20"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0446188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Slope</w:t>
            </w:r>
          </w:p>
        </w:tc>
        <w:tc>
          <w:tcPr>
            <w:tcW w:w="8910" w:type="dxa"/>
            <w:tcBorders>
              <w:top w:val="nil"/>
              <w:left w:val="nil"/>
              <w:bottom w:val="nil"/>
              <w:right w:val="single" w:sz="4" w:space="0" w:color="auto"/>
            </w:tcBorders>
            <w:shd w:val="clear" w:color="000000" w:fill="E7E6E6"/>
            <w:vAlign w:val="bottom"/>
            <w:hideMark/>
          </w:tcPr>
          <w:p w14:paraId="1028B503"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Indicates the level of overfitting (&gt;1) or underfitting (&lt;1). For example, a slope of &lt;1 indicates that predicted risks are on average too high for patients with high probabilities and too low for patients with low probabilities. </w:t>
            </w:r>
          </w:p>
        </w:tc>
      </w:tr>
      <w:tr w:rsidR="00284334" w:rsidRPr="00B330B3" w14:paraId="47EFCE5B" w14:textId="77777777" w:rsidTr="00CE7FEE">
        <w:trPr>
          <w:trHeight w:val="180"/>
        </w:trPr>
        <w:tc>
          <w:tcPr>
            <w:tcW w:w="1885" w:type="dxa"/>
            <w:tcBorders>
              <w:top w:val="nil"/>
              <w:left w:val="single" w:sz="4" w:space="0" w:color="auto"/>
              <w:bottom w:val="nil"/>
              <w:right w:val="nil"/>
            </w:tcBorders>
            <w:shd w:val="clear" w:color="auto" w:fill="auto"/>
            <w:noWrap/>
            <w:vAlign w:val="bottom"/>
            <w:hideMark/>
          </w:tcPr>
          <w:p w14:paraId="2E12B598"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Sensitivity </w:t>
            </w:r>
          </w:p>
        </w:tc>
        <w:tc>
          <w:tcPr>
            <w:tcW w:w="8910" w:type="dxa"/>
            <w:tcBorders>
              <w:top w:val="nil"/>
              <w:left w:val="nil"/>
              <w:bottom w:val="nil"/>
              <w:right w:val="single" w:sz="4" w:space="0" w:color="auto"/>
            </w:tcBorders>
            <w:shd w:val="clear" w:color="auto" w:fill="auto"/>
            <w:vAlign w:val="bottom"/>
            <w:hideMark/>
          </w:tcPr>
          <w:p w14:paraId="1ECD6030"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Proportion of multiple bone metastases </w:t>
            </w:r>
            <w:r w:rsidRPr="00B330B3">
              <w:rPr>
                <w:rFonts w:ascii="Times" w:eastAsia="Times New Roman" w:hAnsi="Times" w:cs="Times"/>
                <w:i/>
                <w:iCs/>
                <w:color w:val="000000"/>
              </w:rPr>
              <w:t>classified</w:t>
            </w:r>
            <w:r w:rsidRPr="00B330B3">
              <w:rPr>
                <w:rFonts w:ascii="Times" w:eastAsia="Times New Roman" w:hAnsi="Times" w:cs="Times"/>
                <w:color w:val="000000"/>
              </w:rPr>
              <w:t xml:space="preserve"> cases among the total of multiple bone metastases cases, ranging from 0% to a 100%.</w:t>
            </w:r>
          </w:p>
        </w:tc>
      </w:tr>
      <w:tr w:rsidR="00284334" w:rsidRPr="00B330B3" w14:paraId="74205DB7"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55CC4662"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Specificity</w:t>
            </w:r>
          </w:p>
        </w:tc>
        <w:tc>
          <w:tcPr>
            <w:tcW w:w="8910" w:type="dxa"/>
            <w:tcBorders>
              <w:top w:val="nil"/>
              <w:left w:val="nil"/>
              <w:bottom w:val="nil"/>
              <w:right w:val="single" w:sz="4" w:space="0" w:color="auto"/>
            </w:tcBorders>
            <w:shd w:val="clear" w:color="000000" w:fill="E7E6E6"/>
            <w:vAlign w:val="bottom"/>
            <w:hideMark/>
          </w:tcPr>
          <w:p w14:paraId="18B508D4" w14:textId="5BE345AB"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Proportion of single bone metastasis </w:t>
            </w:r>
            <w:r w:rsidRPr="00B330B3">
              <w:rPr>
                <w:rFonts w:ascii="Times" w:eastAsia="Times New Roman" w:hAnsi="Times" w:cs="Times"/>
                <w:i/>
                <w:iCs/>
                <w:color w:val="000000"/>
              </w:rPr>
              <w:t>classified</w:t>
            </w:r>
            <w:r w:rsidRPr="00B330B3">
              <w:rPr>
                <w:rFonts w:ascii="Times" w:eastAsia="Times New Roman" w:hAnsi="Times" w:cs="Times"/>
                <w:color w:val="000000"/>
              </w:rPr>
              <w:t xml:space="preserve"> cases among the total of single bone metastasis cases, ranging from 0% to a 100%.</w:t>
            </w:r>
          </w:p>
        </w:tc>
      </w:tr>
      <w:tr w:rsidR="00284334" w:rsidRPr="00B330B3" w14:paraId="5C06D66E" w14:textId="77777777" w:rsidTr="00CE7FEE">
        <w:trPr>
          <w:trHeight w:val="74"/>
        </w:trPr>
        <w:tc>
          <w:tcPr>
            <w:tcW w:w="1885" w:type="dxa"/>
            <w:tcBorders>
              <w:top w:val="nil"/>
              <w:left w:val="single" w:sz="4" w:space="0" w:color="auto"/>
              <w:bottom w:val="nil"/>
              <w:right w:val="nil"/>
            </w:tcBorders>
            <w:shd w:val="clear" w:color="auto" w:fill="auto"/>
            <w:noWrap/>
            <w:vAlign w:val="bottom"/>
            <w:hideMark/>
          </w:tcPr>
          <w:p w14:paraId="18B8383C"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Negative predictive value</w:t>
            </w:r>
          </w:p>
        </w:tc>
        <w:tc>
          <w:tcPr>
            <w:tcW w:w="8910" w:type="dxa"/>
            <w:tcBorders>
              <w:top w:val="nil"/>
              <w:left w:val="nil"/>
              <w:bottom w:val="nil"/>
              <w:right w:val="single" w:sz="4" w:space="0" w:color="auto"/>
            </w:tcBorders>
            <w:shd w:val="clear" w:color="auto" w:fill="auto"/>
            <w:vAlign w:val="bottom"/>
            <w:hideMark/>
          </w:tcPr>
          <w:p w14:paraId="6E5207EC" w14:textId="41B98ED2"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Proportion of single bone metastasis cases among the total number of single bone metastasis </w:t>
            </w:r>
            <w:r w:rsidRPr="00B330B3">
              <w:rPr>
                <w:rFonts w:ascii="Times" w:eastAsia="Times New Roman" w:hAnsi="Times" w:cs="Times"/>
                <w:i/>
                <w:iCs/>
                <w:color w:val="000000"/>
              </w:rPr>
              <w:t>classified</w:t>
            </w:r>
            <w:r w:rsidRPr="00B330B3">
              <w:rPr>
                <w:rFonts w:ascii="Times" w:eastAsia="Times New Roman" w:hAnsi="Times" w:cs="Times"/>
                <w:color w:val="000000"/>
              </w:rPr>
              <w:t xml:space="preserve"> cases, ranging from 0% to a 100%.</w:t>
            </w:r>
          </w:p>
        </w:tc>
      </w:tr>
      <w:tr w:rsidR="00284334" w:rsidRPr="00B330B3" w14:paraId="1779E635"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0D5D10C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Positive predictive value </w:t>
            </w:r>
          </w:p>
        </w:tc>
        <w:tc>
          <w:tcPr>
            <w:tcW w:w="8910" w:type="dxa"/>
            <w:tcBorders>
              <w:top w:val="nil"/>
              <w:left w:val="nil"/>
              <w:bottom w:val="nil"/>
              <w:right w:val="single" w:sz="4" w:space="0" w:color="auto"/>
            </w:tcBorders>
            <w:shd w:val="clear" w:color="000000" w:fill="E7E6E6"/>
            <w:vAlign w:val="bottom"/>
            <w:hideMark/>
          </w:tcPr>
          <w:p w14:paraId="465A7651" w14:textId="18769052"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Proportion of multiple bone metastases cases among the total number of single bone metastases classified cases, ranging from 0% to a 100%.</w:t>
            </w:r>
          </w:p>
        </w:tc>
      </w:tr>
      <w:tr w:rsidR="00284334" w:rsidRPr="00B330B3" w14:paraId="496D6188" w14:textId="77777777" w:rsidTr="00CE7FEE">
        <w:trPr>
          <w:trHeight w:val="74"/>
        </w:trPr>
        <w:tc>
          <w:tcPr>
            <w:tcW w:w="1885" w:type="dxa"/>
            <w:tcBorders>
              <w:top w:val="nil"/>
              <w:left w:val="single" w:sz="4" w:space="0" w:color="auto"/>
              <w:bottom w:val="nil"/>
              <w:right w:val="nil"/>
            </w:tcBorders>
            <w:shd w:val="clear" w:color="auto" w:fill="auto"/>
            <w:noWrap/>
            <w:vAlign w:val="bottom"/>
            <w:hideMark/>
          </w:tcPr>
          <w:p w14:paraId="3A813E7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F1-score</w:t>
            </w:r>
          </w:p>
        </w:tc>
        <w:tc>
          <w:tcPr>
            <w:tcW w:w="8910" w:type="dxa"/>
            <w:tcBorders>
              <w:top w:val="nil"/>
              <w:left w:val="nil"/>
              <w:bottom w:val="nil"/>
              <w:right w:val="single" w:sz="4" w:space="0" w:color="auto"/>
            </w:tcBorders>
            <w:shd w:val="clear" w:color="auto" w:fill="auto"/>
            <w:vAlign w:val="bottom"/>
            <w:hideMark/>
          </w:tcPr>
          <w:p w14:paraId="0B474D4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Measures the overall accuracy of the algorithm, which ranges between 0 (total failure of an algorithm) and 1 (perfect algorithm). In other words, it is the harmonic mean of precision and recall.</w:t>
            </w:r>
          </w:p>
        </w:tc>
      </w:tr>
      <w:tr w:rsidR="00284334" w:rsidRPr="00B330B3" w14:paraId="450A4870"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04438117"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LLR (+)</w:t>
            </w:r>
          </w:p>
        </w:tc>
        <w:tc>
          <w:tcPr>
            <w:tcW w:w="8910" w:type="dxa"/>
            <w:tcBorders>
              <w:top w:val="nil"/>
              <w:left w:val="nil"/>
              <w:bottom w:val="nil"/>
              <w:right w:val="single" w:sz="4" w:space="0" w:color="auto"/>
            </w:tcBorders>
            <w:shd w:val="clear" w:color="000000" w:fill="E7E6E6"/>
            <w:vAlign w:val="bottom"/>
            <w:hideMark/>
          </w:tcPr>
          <w:p w14:paraId="2CBC0B4D"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Indicates the </w:t>
            </w:r>
            <w:r w:rsidRPr="00B330B3">
              <w:rPr>
                <w:rFonts w:ascii="Times" w:eastAsia="Times New Roman" w:hAnsi="Times" w:cs="Times"/>
                <w:i/>
                <w:iCs/>
                <w:color w:val="000000"/>
              </w:rPr>
              <w:t>increase</w:t>
            </w:r>
            <w:r w:rsidRPr="00B330B3">
              <w:rPr>
                <w:rFonts w:ascii="Times" w:eastAsia="Times New Roman" w:hAnsi="Times" w:cs="Times"/>
                <w:color w:val="000000"/>
              </w:rPr>
              <w:t xml:space="preserve"> in probability of multiple bone metastases if the algorithm is positive, ranging from 0 to infinity.</w:t>
            </w:r>
          </w:p>
        </w:tc>
      </w:tr>
      <w:tr w:rsidR="00284334" w:rsidRPr="00B330B3" w14:paraId="75156249" w14:textId="77777777" w:rsidTr="00CE7FEE">
        <w:trPr>
          <w:trHeight w:val="640"/>
        </w:trPr>
        <w:tc>
          <w:tcPr>
            <w:tcW w:w="1885" w:type="dxa"/>
            <w:tcBorders>
              <w:top w:val="nil"/>
              <w:left w:val="single" w:sz="4" w:space="0" w:color="auto"/>
              <w:bottom w:val="nil"/>
              <w:right w:val="nil"/>
            </w:tcBorders>
            <w:shd w:val="clear" w:color="000000" w:fill="FFFFFF"/>
            <w:noWrap/>
            <w:vAlign w:val="bottom"/>
            <w:hideMark/>
          </w:tcPr>
          <w:p w14:paraId="3689C4C2"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LLR (-)</w:t>
            </w:r>
          </w:p>
        </w:tc>
        <w:tc>
          <w:tcPr>
            <w:tcW w:w="8910" w:type="dxa"/>
            <w:tcBorders>
              <w:top w:val="nil"/>
              <w:left w:val="nil"/>
              <w:bottom w:val="nil"/>
              <w:right w:val="single" w:sz="4" w:space="0" w:color="auto"/>
            </w:tcBorders>
            <w:shd w:val="clear" w:color="000000" w:fill="FFFFFF"/>
            <w:vAlign w:val="bottom"/>
            <w:hideMark/>
          </w:tcPr>
          <w:p w14:paraId="5E4E18AC"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Indicates the </w:t>
            </w:r>
            <w:r w:rsidRPr="00B330B3">
              <w:rPr>
                <w:rFonts w:ascii="Times" w:eastAsia="Times New Roman" w:hAnsi="Times" w:cs="Times"/>
                <w:i/>
                <w:iCs/>
                <w:color w:val="000000"/>
              </w:rPr>
              <w:t>decrease</w:t>
            </w:r>
            <w:r w:rsidRPr="00B330B3">
              <w:rPr>
                <w:rFonts w:ascii="Times" w:eastAsia="Times New Roman" w:hAnsi="Times" w:cs="Times"/>
                <w:color w:val="000000"/>
              </w:rPr>
              <w:t xml:space="preserve"> in probability of multiple bone metastases if the algorithm is positive, ranging from 0 to 1.</w:t>
            </w:r>
          </w:p>
        </w:tc>
      </w:tr>
      <w:tr w:rsidR="00284334" w:rsidRPr="00B330B3" w14:paraId="33AA5810" w14:textId="77777777" w:rsidTr="00CE7FEE">
        <w:trPr>
          <w:trHeight w:val="74"/>
        </w:trPr>
        <w:tc>
          <w:tcPr>
            <w:tcW w:w="1885" w:type="dxa"/>
            <w:tcBorders>
              <w:top w:val="nil"/>
              <w:left w:val="single" w:sz="4" w:space="0" w:color="auto"/>
              <w:bottom w:val="nil"/>
              <w:right w:val="nil"/>
            </w:tcBorders>
            <w:shd w:val="clear" w:color="000000" w:fill="E7E6E6"/>
            <w:noWrap/>
            <w:vAlign w:val="bottom"/>
            <w:hideMark/>
          </w:tcPr>
          <w:p w14:paraId="506888A0"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Threshold</w:t>
            </w:r>
          </w:p>
        </w:tc>
        <w:tc>
          <w:tcPr>
            <w:tcW w:w="8910" w:type="dxa"/>
            <w:tcBorders>
              <w:top w:val="nil"/>
              <w:left w:val="nil"/>
              <w:bottom w:val="nil"/>
              <w:right w:val="single" w:sz="4" w:space="0" w:color="auto"/>
            </w:tcBorders>
            <w:shd w:val="clear" w:color="000000" w:fill="E7E6E6"/>
            <w:vAlign w:val="bottom"/>
            <w:hideMark/>
          </w:tcPr>
          <w:p w14:paraId="554E3093" w14:textId="0B3FAEED"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t xml:space="preserve">The threshold chosen by users may depend on the specific task at hand. If the goal is to identify all patients who had a multiple bone metastasis for building a cohort of only multiple bone metastases, the NLP algorithm may be used for initial screening followed by targeted review of those patients. On the other hand, if the goal is to identify specifically the patients with a multiple bone metastasis, the higher threshold may be appropriate. Regardless, no CPT codes are available for this clinical feature. So even at the high specificity threshold of 0.9 for the NLP algorithm, the algorithm provides better sensitivity. </w:t>
            </w:r>
          </w:p>
        </w:tc>
      </w:tr>
      <w:tr w:rsidR="00284334" w:rsidRPr="00B330B3" w14:paraId="2AD2C09B" w14:textId="77777777" w:rsidTr="00CE7FEE">
        <w:trPr>
          <w:trHeight w:val="640"/>
        </w:trPr>
        <w:tc>
          <w:tcPr>
            <w:tcW w:w="10795"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29011D6E" w14:textId="77777777" w:rsidR="00284334" w:rsidRPr="00B330B3" w:rsidRDefault="00284334" w:rsidP="00284334">
            <w:pPr>
              <w:rPr>
                <w:rFonts w:ascii="Times" w:eastAsia="Times New Roman" w:hAnsi="Times" w:cs="Times"/>
                <w:color w:val="000000"/>
              </w:rPr>
            </w:pPr>
            <w:r w:rsidRPr="00B330B3">
              <w:rPr>
                <w:rFonts w:ascii="Times" w:eastAsia="Times New Roman" w:hAnsi="Times" w:cs="Times"/>
                <w:color w:val="000000"/>
              </w:rPr>
              <w:lastRenderedPageBreak/>
              <w:t>AUC: area under the curve; PRC: precision-recall curve; ROC: receiver operating curve; LLR+: positive likelihood ratio; LLR-: negative likelihood ratio.</w:t>
            </w:r>
          </w:p>
        </w:tc>
      </w:tr>
    </w:tbl>
    <w:p w14:paraId="716E4D89" w14:textId="77777777" w:rsidR="0010397F" w:rsidRPr="00B330B3" w:rsidRDefault="0010397F">
      <w:pPr>
        <w:rPr>
          <w:rFonts w:ascii="Times" w:hAnsi="Times" w:cs="Times"/>
        </w:rPr>
      </w:pPr>
    </w:p>
    <w:sectPr w:rsidR="0010397F" w:rsidRPr="00B330B3" w:rsidSect="005D7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334"/>
    <w:rsid w:val="0010397F"/>
    <w:rsid w:val="00284334"/>
    <w:rsid w:val="005D7D53"/>
    <w:rsid w:val="006C6E9F"/>
    <w:rsid w:val="00AE7B5C"/>
    <w:rsid w:val="00B330B3"/>
    <w:rsid w:val="00CE7FEE"/>
    <w:rsid w:val="00D8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565CC5"/>
  <w15:chartTrackingRefBased/>
  <w15:docId w15:val="{E9DECC89-7F21-624B-B4C7-5B262B44F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334"/>
    <w:pPr>
      <w:ind w:left="720"/>
      <w:contextualSpacing/>
    </w:pPr>
  </w:style>
  <w:style w:type="paragraph" w:styleId="BalloonText">
    <w:name w:val="Balloon Text"/>
    <w:basedOn w:val="Normal"/>
    <w:link w:val="BalloonTextChar"/>
    <w:uiPriority w:val="99"/>
    <w:semiHidden/>
    <w:unhideWhenUsed/>
    <w:rsid w:val="00B330B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30B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7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Groot, Olivier Quinten</dc:creator>
  <cp:keywords/>
  <dc:description/>
  <cp:lastModifiedBy>Groot, Olivier Quinten</cp:lastModifiedBy>
  <cp:revision>7</cp:revision>
  <dcterms:created xsi:type="dcterms:W3CDTF">2020-06-04T09:36:00Z</dcterms:created>
  <dcterms:modified xsi:type="dcterms:W3CDTF">2020-06-04T11:29:00Z</dcterms:modified>
</cp:coreProperties>
</file>