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7F027B" w14:textId="05AB2D7E" w:rsidR="001408F7" w:rsidRPr="00C11A5F" w:rsidRDefault="001408F7" w:rsidP="001408F7">
      <w:pPr>
        <w:outlineLvl w:val="0"/>
        <w:rPr>
          <w:b/>
          <w:bCs/>
          <w:sz w:val="26"/>
          <w:szCs w:val="26"/>
        </w:rPr>
      </w:pPr>
      <w:r w:rsidRPr="00C11A5F">
        <w:rPr>
          <w:b/>
          <w:bCs/>
          <w:sz w:val="26"/>
          <w:szCs w:val="26"/>
        </w:rPr>
        <w:t>Supplementary Material</w:t>
      </w:r>
    </w:p>
    <w:p w14:paraId="7857D460" w14:textId="77777777" w:rsidR="00E1559A" w:rsidRPr="00C11A5F" w:rsidRDefault="00E1559A" w:rsidP="00E1559A">
      <w:pPr>
        <w:pStyle w:val="ListParagraph"/>
        <w:numPr>
          <w:ilvl w:val="0"/>
          <w:numId w:val="1"/>
        </w:numPr>
        <w:outlineLvl w:val="0"/>
        <w:rPr>
          <w:b/>
          <w:bCs/>
          <w:sz w:val="26"/>
          <w:szCs w:val="26"/>
        </w:rPr>
      </w:pPr>
      <w:r w:rsidRPr="00C11A5F">
        <w:rPr>
          <w:b/>
          <w:bCs/>
          <w:sz w:val="26"/>
          <w:szCs w:val="26"/>
        </w:rPr>
        <w:t xml:space="preserve">Impact of noise in Saito’s and </w:t>
      </w:r>
      <w:proofErr w:type="spellStart"/>
      <w:r w:rsidRPr="00C11A5F">
        <w:rPr>
          <w:b/>
          <w:bCs/>
          <w:sz w:val="26"/>
          <w:szCs w:val="26"/>
        </w:rPr>
        <w:t>Hünemohr’s</w:t>
      </w:r>
      <w:proofErr w:type="spellEnd"/>
      <w:r w:rsidRPr="00C11A5F">
        <w:rPr>
          <w:b/>
          <w:bCs/>
          <w:sz w:val="26"/>
          <w:szCs w:val="26"/>
        </w:rPr>
        <w:t xml:space="preserve"> method</w:t>
      </w:r>
    </w:p>
    <w:p w14:paraId="5C7B6C3F" w14:textId="77777777" w:rsidR="00E1559A" w:rsidRPr="00C11A5F" w:rsidRDefault="00E1559A" w:rsidP="00E1559A">
      <w:r w:rsidRPr="00C11A5F">
        <w:t xml:space="preserve">Saito’s and </w:t>
      </w:r>
      <w:proofErr w:type="spellStart"/>
      <w:r w:rsidRPr="00C11A5F">
        <w:t>Hünemohr’s</w:t>
      </w:r>
      <w:proofErr w:type="spellEnd"/>
      <w:r w:rsidRPr="00C11A5F">
        <w:t xml:space="preserve"> methodologies </w:t>
      </w:r>
      <w:r w:rsidRPr="00C11A5F">
        <w:rPr>
          <w:szCs w:val="24"/>
        </w:rPr>
        <w:t xml:space="preserve">were </w:t>
      </w:r>
      <w:r w:rsidRPr="00C11A5F">
        <w:rPr>
          <w:rStyle w:val="CommentReference"/>
          <w:sz w:val="24"/>
          <w:szCs w:val="24"/>
        </w:rPr>
        <w:t>used</w:t>
      </w:r>
      <w:r w:rsidRPr="00C11A5F">
        <w:rPr>
          <w:rStyle w:val="CommentReference"/>
          <w:szCs w:val="24"/>
        </w:rPr>
        <w:t xml:space="preserve"> </w:t>
      </w:r>
      <w:r w:rsidRPr="00C11A5F">
        <w:rPr>
          <w:szCs w:val="24"/>
        </w:rPr>
        <w:t>to</w:t>
      </w:r>
      <w:r w:rsidRPr="00C11A5F">
        <w:t xml:space="preserve"> convert the DECT images into </w:t>
      </w:r>
      <m:oMath>
        <m:sSub>
          <m:sSubPr>
            <m:ctrlPr>
              <w:rPr>
                <w:rFonts w:ascii="Cambria Math" w:hAnsi="Cambria Math"/>
              </w:rPr>
            </m:ctrlPr>
          </m:sSubPr>
          <m:e>
            <m:r>
              <w:rPr>
                <w:rFonts w:ascii="Cambria Math" w:hAnsi="Cambria Math"/>
              </w:rPr>
              <m:t>ρ</m:t>
            </m:r>
          </m:e>
          <m:sub>
            <m:r>
              <w:rPr>
                <w:rFonts w:ascii="Cambria Math" w:hAnsi="Cambria Math"/>
              </w:rPr>
              <m:t>e</m:t>
            </m:r>
          </m:sub>
        </m:sSub>
      </m:oMath>
      <w:r w:rsidRPr="00C11A5F">
        <w:rPr>
          <w:rFonts w:eastAsiaTheme="minorEastAsia"/>
        </w:rPr>
        <w:t xml:space="preserve">. Both methods combine the 80 and 140 kVp CT datasets according to </w:t>
      </w:r>
      <w:r w:rsidRPr="00C11A5F">
        <w:rPr>
          <w:rFonts w:eastAsiaTheme="minorEastAsia"/>
          <w:color w:val="4F81BD" w:themeColor="accent1"/>
        </w:rPr>
        <w:t xml:space="preserve">Equation 1 </w:t>
      </w:r>
      <w:r w:rsidRPr="00C11A5F">
        <w:rPr>
          <w:rFonts w:eastAsiaTheme="minorEastAsia"/>
        </w:rPr>
        <w:t xml:space="preserve">and </w:t>
      </w:r>
      <w:r w:rsidRPr="00C11A5F">
        <w:rPr>
          <w:rFonts w:eastAsiaTheme="minorEastAsia"/>
          <w:color w:val="4F81BD" w:themeColor="accent1"/>
        </w:rPr>
        <w:t>Equation 2</w:t>
      </w:r>
      <w:r w:rsidRPr="00C11A5F">
        <w:rPr>
          <w:rFonts w:eastAsiaTheme="minorEastAsia"/>
        </w:rPr>
        <w:t xml:space="preserve"> in the manuscript. To reduce noise influences after combining the 80 kVp and the 140 kVp CT datasets</w:t>
      </w:r>
      <w:r w:rsidRPr="00C11A5F">
        <w:t xml:space="preserve">, an edge preserving denoising algorithm was applied to the calculated </w:t>
      </w:r>
      <m:oMath>
        <m:sSub>
          <m:sSubPr>
            <m:ctrlPr>
              <w:rPr>
                <w:rFonts w:ascii="Cambria Math" w:hAnsi="Cambria Math"/>
                <w:i/>
              </w:rPr>
            </m:ctrlPr>
          </m:sSubPr>
          <m:e>
            <m:r>
              <w:rPr>
                <w:rFonts w:ascii="Cambria Math" w:hAnsi="Cambria Math"/>
              </w:rPr>
              <m:t xml:space="preserve"> ρ</m:t>
            </m:r>
          </m:e>
          <m:sub>
            <m:r>
              <w:rPr>
                <w:rFonts w:ascii="Cambria Math" w:hAnsi="Cambria Math"/>
              </w:rPr>
              <m:t>e</m:t>
            </m:r>
          </m:sub>
        </m:sSub>
      </m:oMath>
      <w:r w:rsidRPr="00C11A5F">
        <w:rPr>
          <w:rFonts w:eastAsiaTheme="minorEastAsia"/>
        </w:rPr>
        <w:t xml:space="preserve"> </w:t>
      </w:r>
      <w:r w:rsidRPr="00C11A5F">
        <w:t xml:space="preserve">images, which consisted of an edge-preserving curvature flow image filter implemented in the Insight Segmentation and Registration Toolkit (ITK). The influence of the iteration number on the </w:t>
      </w:r>
      <m:oMath>
        <m:sSub>
          <m:sSubPr>
            <m:ctrlPr>
              <w:rPr>
                <w:rFonts w:ascii="Cambria Math" w:hAnsi="Cambria Math"/>
                <w:i/>
              </w:rPr>
            </m:ctrlPr>
          </m:sSubPr>
          <m:e>
            <m:r>
              <w:rPr>
                <w:rFonts w:ascii="Cambria Math" w:hAnsi="Cambria Math"/>
              </w:rPr>
              <m:t xml:space="preserve"> ρ</m:t>
            </m:r>
          </m:e>
          <m:sub>
            <m:r>
              <w:rPr>
                <w:rFonts w:ascii="Cambria Math" w:hAnsi="Cambria Math"/>
              </w:rPr>
              <m:t>e</m:t>
            </m:r>
          </m:sub>
        </m:sSub>
      </m:oMath>
      <w:r w:rsidRPr="00C11A5F">
        <w:rPr>
          <w:rFonts w:eastAsiaTheme="minorEastAsia"/>
        </w:rPr>
        <w:t xml:space="preserve"> accuracy </w:t>
      </w:r>
      <w:r w:rsidRPr="00C11A5F">
        <w:t>was investigated for 3 different iteration numbers: 5, 10, and 15 iterations.</w:t>
      </w:r>
    </w:p>
    <w:p w14:paraId="12B8CA09" w14:textId="34F0660C" w:rsidR="00E1559A" w:rsidRPr="00C11A5F" w:rsidRDefault="00E1559A" w:rsidP="00880E34">
      <w:r w:rsidRPr="00C11A5F">
        <w:t xml:space="preserve">After applying the edge-preserving denoising algorithm as a post-processing step, the relative differences were computed between the </w:t>
      </w:r>
      <m:oMath>
        <m:sSub>
          <m:sSubPr>
            <m:ctrlPr>
              <w:rPr>
                <w:rFonts w:ascii="Cambria Math" w:hAnsi="Cambria Math"/>
                <w:i/>
              </w:rPr>
            </m:ctrlPr>
          </m:sSubPr>
          <m:e>
            <m:r>
              <w:rPr>
                <w:rFonts w:ascii="Cambria Math" w:hAnsi="Cambria Math"/>
              </w:rPr>
              <m:t xml:space="preserve"> ρ</m:t>
            </m:r>
          </m:e>
          <m:sub>
            <m:r>
              <w:rPr>
                <w:rFonts w:ascii="Cambria Math" w:hAnsi="Cambria Math"/>
              </w:rPr>
              <m:t>e</m:t>
            </m:r>
          </m:sub>
        </m:sSub>
      </m:oMath>
      <w:r w:rsidRPr="00C11A5F">
        <w:rPr>
          <w:rFonts w:eastAsiaTheme="minorEastAsia"/>
        </w:rPr>
        <w:t xml:space="preserve"> from the </w:t>
      </w:r>
      <w:r w:rsidRPr="00C11A5F">
        <w:t xml:space="preserve">reference </w:t>
      </w:r>
      <w:r w:rsidRPr="00C11A5F">
        <w:rPr>
          <w:rFonts w:eastAsiaTheme="minorEastAsia"/>
        </w:rPr>
        <w:t>and the ones obtained by the two methods (</w:t>
      </w:r>
      <w:r w:rsidRPr="00C11A5F">
        <w:rPr>
          <w:rFonts w:eastAsiaTheme="minorEastAsia"/>
          <w:color w:val="4F81BD" w:themeColor="accent1"/>
        </w:rPr>
        <w:t>Figure S</w:t>
      </w:r>
      <w:r w:rsidR="00F76B1C">
        <w:rPr>
          <w:rFonts w:eastAsiaTheme="minorEastAsia"/>
          <w:color w:val="4F81BD" w:themeColor="accent1"/>
        </w:rPr>
        <w:t>1</w:t>
      </w:r>
      <w:bookmarkStart w:id="0" w:name="_GoBack"/>
      <w:bookmarkEnd w:id="0"/>
      <w:r w:rsidRPr="00C11A5F">
        <w:rPr>
          <w:rFonts w:eastAsiaTheme="minorEastAsia"/>
        </w:rPr>
        <w:t>)</w:t>
      </w:r>
      <w:r w:rsidRPr="00C11A5F">
        <w:t>. For the 062M tissue mimicking inserts, the mean value remained the same after the post-processing step, while the standard deviations reduced by 50% between Saito-0it and Saito-15it or Hünemohr-0it and Hünemohr-15it.</w:t>
      </w:r>
    </w:p>
    <w:p w14:paraId="5D668E7C" w14:textId="77777777" w:rsidR="00E1559A" w:rsidRPr="00C11A5F" w:rsidRDefault="00E1559A" w:rsidP="00E1559A">
      <w:pPr>
        <w:rPr>
          <w:b/>
          <w:bCs/>
          <w:i/>
          <w:sz w:val="26"/>
          <w:szCs w:val="26"/>
        </w:rPr>
      </w:pPr>
      <w:r w:rsidRPr="00C11A5F">
        <w:rPr>
          <w:b/>
          <w:bCs/>
          <w:i/>
          <w:noProof/>
          <w:sz w:val="26"/>
          <w:szCs w:val="26"/>
        </w:rPr>
        <w:lastRenderedPageBreak/>
        <w:drawing>
          <wp:inline distT="0" distB="0" distL="0" distR="0" wp14:anchorId="219C23DC" wp14:editId="7E1869BD">
            <wp:extent cx="4642103" cy="2955422"/>
            <wp:effectExtent l="0" t="0" r="635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ent.vanderheyden\Dropbox\REDstudy_shared\2019\Figures\Figure_S1_1.pn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4642103" cy="2955422"/>
                    </a:xfrm>
                    <a:prstGeom prst="rect">
                      <a:avLst/>
                    </a:prstGeom>
                    <a:noFill/>
                    <a:ln>
                      <a:noFill/>
                    </a:ln>
                  </pic:spPr>
                </pic:pic>
              </a:graphicData>
            </a:graphic>
          </wp:inline>
        </w:drawing>
      </w:r>
      <w:r w:rsidRPr="00C11A5F">
        <w:rPr>
          <w:b/>
          <w:bCs/>
          <w:i/>
          <w:noProof/>
          <w:sz w:val="26"/>
          <w:szCs w:val="26"/>
        </w:rPr>
        <w:drawing>
          <wp:inline distT="0" distB="0" distL="0" distR="0" wp14:anchorId="099D680E" wp14:editId="76ADA63E">
            <wp:extent cx="4642103" cy="2955422"/>
            <wp:effectExtent l="0" t="0" r="635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ent.vanderheyden\Dropbox\REDstudy_shared\2019\Figures\Figure_S1_2.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4642103" cy="2955422"/>
                    </a:xfrm>
                    <a:prstGeom prst="rect">
                      <a:avLst/>
                    </a:prstGeom>
                    <a:noFill/>
                    <a:ln>
                      <a:noFill/>
                    </a:ln>
                  </pic:spPr>
                </pic:pic>
              </a:graphicData>
            </a:graphic>
          </wp:inline>
        </w:drawing>
      </w:r>
    </w:p>
    <w:p w14:paraId="42751B11" w14:textId="283BEAB9" w:rsidR="00E1559A" w:rsidRPr="00C11A5F" w:rsidRDefault="00E1559A" w:rsidP="00E1559A">
      <w:pPr>
        <w:rPr>
          <w:rFonts w:eastAsiaTheme="minorEastAsia"/>
          <w:iCs/>
        </w:rPr>
      </w:pPr>
      <w:r w:rsidRPr="00C11A5F">
        <w:rPr>
          <w:b/>
          <w:bCs/>
          <w:iCs/>
          <w:sz w:val="26"/>
          <w:szCs w:val="26"/>
        </w:rPr>
        <w:t>Figure S</w:t>
      </w:r>
      <w:r w:rsidR="00E35D8A" w:rsidRPr="00C11A5F">
        <w:rPr>
          <w:b/>
          <w:bCs/>
          <w:iCs/>
          <w:sz w:val="26"/>
          <w:szCs w:val="26"/>
        </w:rPr>
        <w:t>1</w:t>
      </w:r>
      <w:r w:rsidRPr="00C11A5F">
        <w:rPr>
          <w:bCs/>
          <w:iCs/>
          <w:sz w:val="26"/>
          <w:szCs w:val="26"/>
        </w:rPr>
        <w:t xml:space="preserve">. </w:t>
      </w:r>
      <w:r w:rsidRPr="00C11A5F">
        <w:rPr>
          <w:bCs/>
          <w:iCs/>
        </w:rPr>
        <w:t xml:space="preserve">Relative difference (%) ± 1 standard deviation (measured-reference) in </w:t>
      </w:r>
      <m:oMath>
        <m:sSub>
          <m:sSubPr>
            <m:ctrlPr>
              <w:rPr>
                <w:rFonts w:ascii="Cambria Math" w:hAnsi="Cambria Math"/>
                <w:iCs/>
              </w:rPr>
            </m:ctrlPr>
          </m:sSubPr>
          <m:e>
            <m:r>
              <m:rPr>
                <m:sty m:val="p"/>
              </m:rPr>
              <w:rPr>
                <w:rFonts w:ascii="Cambria Math" w:hAnsi="Cambria Math"/>
              </w:rPr>
              <m:t>ρ</m:t>
            </m:r>
          </m:e>
          <m:sub>
            <m:r>
              <m:rPr>
                <m:sty m:val="p"/>
              </m:rPr>
              <w:rPr>
                <w:rFonts w:ascii="Cambria Math" w:hAnsi="Cambria Math"/>
              </w:rPr>
              <m:t>e</m:t>
            </m:r>
          </m:sub>
        </m:sSub>
        <m:r>
          <m:rPr>
            <m:sty m:val="p"/>
          </m:rPr>
          <w:rPr>
            <w:rFonts w:ascii="Cambria Math" w:hAnsi="Cambria Math"/>
          </w:rPr>
          <m:t xml:space="preserve"> </m:t>
        </m:r>
      </m:oMath>
      <w:r w:rsidRPr="00C11A5F">
        <w:rPr>
          <w:rFonts w:eastAsiaTheme="minorEastAsia"/>
          <w:iCs/>
        </w:rPr>
        <w:t xml:space="preserve"> for two methodologies and for different iteration values of the </w:t>
      </w:r>
      <w:r w:rsidRPr="00C11A5F">
        <w:rPr>
          <w:iCs/>
        </w:rPr>
        <w:t>edge-preserving curvature flow image filter in the post-processing step</w:t>
      </w:r>
      <w:r w:rsidRPr="00C11A5F">
        <w:rPr>
          <w:bCs/>
          <w:iCs/>
        </w:rPr>
        <w:t xml:space="preserve"> </w:t>
      </w:r>
      <w:r w:rsidRPr="00C11A5F">
        <w:rPr>
          <w:rFonts w:eastAsiaTheme="minorEastAsia"/>
          <w:iCs/>
        </w:rPr>
        <w:t>(0, 5, 10 and 15). Zero iterations correspond to no denoising.</w:t>
      </w:r>
    </w:p>
    <w:p w14:paraId="677E6E3C" w14:textId="7ECF8B76" w:rsidR="00E1559A" w:rsidRPr="00C11A5F" w:rsidRDefault="00E1559A">
      <w:pPr>
        <w:spacing w:after="200" w:line="276" w:lineRule="auto"/>
        <w:jc w:val="left"/>
        <w:rPr>
          <w:b/>
          <w:bCs/>
          <w:sz w:val="26"/>
          <w:szCs w:val="26"/>
        </w:rPr>
      </w:pPr>
      <w:r w:rsidRPr="00C11A5F">
        <w:rPr>
          <w:b/>
          <w:bCs/>
          <w:sz w:val="26"/>
          <w:szCs w:val="26"/>
        </w:rPr>
        <w:br w:type="page"/>
      </w:r>
    </w:p>
    <w:p w14:paraId="07048801" w14:textId="660B64C9" w:rsidR="009D76B0" w:rsidRPr="00C11A5F" w:rsidRDefault="009D76B0" w:rsidP="00EA1C96">
      <w:pPr>
        <w:pStyle w:val="ListParagraph"/>
        <w:numPr>
          <w:ilvl w:val="0"/>
          <w:numId w:val="1"/>
        </w:numPr>
        <w:outlineLvl w:val="0"/>
        <w:rPr>
          <w:b/>
          <w:bCs/>
          <w:sz w:val="26"/>
          <w:szCs w:val="26"/>
        </w:rPr>
      </w:pPr>
      <w:r w:rsidRPr="00C11A5F">
        <w:rPr>
          <w:b/>
          <w:bCs/>
          <w:sz w:val="26"/>
          <w:szCs w:val="26"/>
        </w:rPr>
        <w:lastRenderedPageBreak/>
        <w:t>CT2ED and PMI2ED conversion curves</w:t>
      </w:r>
    </w:p>
    <w:p w14:paraId="1BFE4AF6" w14:textId="1ECD0C69" w:rsidR="009D76B0" w:rsidRPr="00C11A5F" w:rsidRDefault="004B0506" w:rsidP="001408F7">
      <w:pPr>
        <w:outlineLvl w:val="0"/>
        <w:rPr>
          <w:sz w:val="26"/>
          <w:szCs w:val="26"/>
        </w:rPr>
      </w:pPr>
      <w:r w:rsidRPr="00C11A5F">
        <w:rPr>
          <w:noProof/>
          <w:sz w:val="26"/>
          <w:szCs w:val="26"/>
        </w:rPr>
        <w:drawing>
          <wp:inline distT="0" distB="0" distL="0" distR="0" wp14:anchorId="78BCFFFC" wp14:editId="769470DB">
            <wp:extent cx="5943373" cy="3020695"/>
            <wp:effectExtent l="0" t="0" r="63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S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373" cy="3020695"/>
                    </a:xfrm>
                    <a:prstGeom prst="rect">
                      <a:avLst/>
                    </a:prstGeom>
                  </pic:spPr>
                </pic:pic>
              </a:graphicData>
            </a:graphic>
          </wp:inline>
        </w:drawing>
      </w:r>
    </w:p>
    <w:p w14:paraId="2CABE1BA" w14:textId="7728803C" w:rsidR="00880E34" w:rsidRPr="00C11A5F" w:rsidRDefault="004B0506" w:rsidP="006944A4">
      <w:pPr>
        <w:rPr>
          <w:bCs/>
          <w:iCs/>
        </w:rPr>
      </w:pPr>
      <w:r w:rsidRPr="00C11A5F">
        <w:rPr>
          <w:b/>
          <w:bCs/>
          <w:iCs/>
          <w:sz w:val="26"/>
          <w:szCs w:val="26"/>
        </w:rPr>
        <w:t>Figure S</w:t>
      </w:r>
      <w:r w:rsidR="00E35D8A" w:rsidRPr="00C11A5F">
        <w:rPr>
          <w:b/>
          <w:bCs/>
          <w:iCs/>
          <w:sz w:val="26"/>
          <w:szCs w:val="26"/>
        </w:rPr>
        <w:t>2</w:t>
      </w:r>
      <w:r w:rsidRPr="00C11A5F">
        <w:rPr>
          <w:bCs/>
          <w:iCs/>
          <w:sz w:val="26"/>
          <w:szCs w:val="26"/>
        </w:rPr>
        <w:t>.</w:t>
      </w:r>
      <w:r w:rsidR="00A545A4" w:rsidRPr="00C11A5F">
        <w:rPr>
          <w:bCs/>
          <w:iCs/>
          <w:sz w:val="26"/>
          <w:szCs w:val="26"/>
        </w:rPr>
        <w:t xml:space="preserve"> </w:t>
      </w:r>
      <w:r w:rsidR="00A545A4" w:rsidRPr="00C11A5F">
        <w:rPr>
          <w:bCs/>
          <w:iCs/>
        </w:rPr>
        <w:t>R</w:t>
      </w:r>
      <w:r w:rsidRPr="00C11A5F">
        <w:rPr>
          <w:bCs/>
          <w:iCs/>
        </w:rPr>
        <w:t>elative electron density conversion curves</w:t>
      </w:r>
      <w:r w:rsidR="00A545A4" w:rsidRPr="00C11A5F">
        <w:rPr>
          <w:bCs/>
          <w:iCs/>
        </w:rPr>
        <w:t xml:space="preserve"> used to convert</w:t>
      </w:r>
      <w:r w:rsidR="00F34424" w:rsidRPr="00C11A5F">
        <w:rPr>
          <w:bCs/>
          <w:iCs/>
        </w:rPr>
        <w:t xml:space="preserve"> 120 kVp</w:t>
      </w:r>
      <w:r w:rsidR="00A545A4" w:rsidRPr="00C11A5F">
        <w:rPr>
          <w:bCs/>
          <w:iCs/>
        </w:rPr>
        <w:t xml:space="preserve"> CT and</w:t>
      </w:r>
      <w:r w:rsidR="00F34424" w:rsidRPr="00C11A5F">
        <w:rPr>
          <w:bCs/>
          <w:iCs/>
        </w:rPr>
        <w:t xml:space="preserve"> 79 keV</w:t>
      </w:r>
      <w:r w:rsidR="00A545A4" w:rsidRPr="00C11A5F">
        <w:rPr>
          <w:bCs/>
          <w:iCs/>
        </w:rPr>
        <w:t xml:space="preserve"> PMI images</w:t>
      </w:r>
      <w:r w:rsidR="00952814" w:rsidRPr="00C11A5F">
        <w:rPr>
          <w:bCs/>
          <w:iCs/>
        </w:rPr>
        <w:t xml:space="preserve"> in Hounsfield Units </w:t>
      </w:r>
      <w:r w:rsidR="00A545A4" w:rsidRPr="00C11A5F">
        <w:rPr>
          <w:bCs/>
          <w:iCs/>
        </w:rPr>
        <w:t>to relative electron densit</w:t>
      </w:r>
      <w:r w:rsidR="00F34424" w:rsidRPr="00C11A5F">
        <w:rPr>
          <w:bCs/>
          <w:iCs/>
        </w:rPr>
        <w:t xml:space="preserve">ies </w:t>
      </w:r>
      <w:r w:rsidR="00A545A4" w:rsidRPr="00C11A5F">
        <w:rPr>
          <w:bCs/>
          <w:iCs/>
        </w:rPr>
        <w:t>(RED</w:t>
      </w:r>
      <w:r w:rsidR="00EF7562" w:rsidRPr="00C11A5F">
        <w:rPr>
          <w:bCs/>
          <w:iCs/>
        </w:rPr>
        <w:t xml:space="preserve">) </w:t>
      </w:r>
    </w:p>
    <w:p w14:paraId="1C268046" w14:textId="77777777" w:rsidR="00EA1C96" w:rsidRPr="00C11A5F" w:rsidRDefault="00EA1C96">
      <w:pPr>
        <w:spacing w:after="200" w:line="276" w:lineRule="auto"/>
        <w:jc w:val="left"/>
        <w:rPr>
          <w:b/>
          <w:bCs/>
          <w:sz w:val="26"/>
          <w:szCs w:val="26"/>
        </w:rPr>
      </w:pPr>
      <w:r w:rsidRPr="00C11A5F">
        <w:rPr>
          <w:b/>
          <w:bCs/>
          <w:sz w:val="26"/>
          <w:szCs w:val="26"/>
        </w:rPr>
        <w:br w:type="page"/>
      </w:r>
    </w:p>
    <w:p w14:paraId="5117ABB9" w14:textId="773DE27B" w:rsidR="00EA1C96" w:rsidRPr="00C11A5F" w:rsidRDefault="00EA1C96" w:rsidP="00EA1C96">
      <w:pPr>
        <w:pStyle w:val="ListParagraph"/>
        <w:numPr>
          <w:ilvl w:val="0"/>
          <w:numId w:val="1"/>
        </w:numPr>
        <w:outlineLvl w:val="0"/>
        <w:rPr>
          <w:b/>
          <w:bCs/>
          <w:sz w:val="26"/>
          <w:szCs w:val="26"/>
        </w:rPr>
      </w:pPr>
      <w:r w:rsidRPr="00C11A5F">
        <w:rPr>
          <w:b/>
          <w:bCs/>
          <w:sz w:val="26"/>
          <w:szCs w:val="26"/>
        </w:rPr>
        <w:lastRenderedPageBreak/>
        <w:t>Study workflow</w:t>
      </w:r>
    </w:p>
    <w:p w14:paraId="1423BC2A" w14:textId="77777777" w:rsidR="00EA1C96" w:rsidRPr="00C11A5F" w:rsidRDefault="00EA1C96" w:rsidP="00EA1C96">
      <w:pPr>
        <w:keepNext/>
      </w:pPr>
      <w:r w:rsidRPr="00C11A5F">
        <w:rPr>
          <w:rFonts w:eastAsiaTheme="minorEastAsia"/>
          <w:noProof/>
        </w:rPr>
        <w:drawing>
          <wp:inline distT="0" distB="0" distL="0" distR="0" wp14:anchorId="2B1B6136" wp14:editId="546D114F">
            <wp:extent cx="5860952" cy="29927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_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60952" cy="2992755"/>
                    </a:xfrm>
                    <a:prstGeom prst="rect">
                      <a:avLst/>
                    </a:prstGeom>
                  </pic:spPr>
                </pic:pic>
              </a:graphicData>
            </a:graphic>
          </wp:inline>
        </w:drawing>
      </w:r>
    </w:p>
    <w:p w14:paraId="39F65693" w14:textId="5418703A" w:rsidR="00EA1C96" w:rsidRPr="00C11A5F" w:rsidRDefault="00E35D8A" w:rsidP="00EA1C96">
      <w:pPr>
        <w:outlineLvl w:val="0"/>
        <w:rPr>
          <w:b/>
          <w:bCs/>
          <w:sz w:val="26"/>
          <w:szCs w:val="26"/>
        </w:rPr>
      </w:pPr>
      <w:r w:rsidRPr="00C11A5F">
        <w:rPr>
          <w:b/>
          <w:bCs/>
          <w:iCs/>
          <w:sz w:val="26"/>
          <w:szCs w:val="26"/>
        </w:rPr>
        <w:t>Figure S</w:t>
      </w:r>
      <w:r w:rsidR="00EF7562" w:rsidRPr="00C11A5F">
        <w:rPr>
          <w:b/>
          <w:bCs/>
          <w:iCs/>
          <w:sz w:val="26"/>
          <w:szCs w:val="26"/>
        </w:rPr>
        <w:t>3</w:t>
      </w:r>
      <w:r w:rsidRPr="00C11A5F">
        <w:rPr>
          <w:bCs/>
          <w:iCs/>
          <w:sz w:val="26"/>
          <w:szCs w:val="26"/>
        </w:rPr>
        <w:t xml:space="preserve">. </w:t>
      </w:r>
      <w:r w:rsidR="00EA1C96" w:rsidRPr="00C11A5F">
        <w:t>Workflow of the phantom and the patient brain CT acquisitions. The phantom study aims to assess relative electron density differences between five CT to density conversion methods. The patient study investigates density and proton dose differences between all conversion methods in one patient treatment plan.</w:t>
      </w:r>
    </w:p>
    <w:p w14:paraId="18A71968" w14:textId="787CA596" w:rsidR="00880E34" w:rsidRPr="00C11A5F" w:rsidRDefault="00EA1C96">
      <w:pPr>
        <w:spacing w:after="200" w:line="276" w:lineRule="auto"/>
        <w:jc w:val="left"/>
        <w:rPr>
          <w:b/>
          <w:bCs/>
          <w:sz w:val="26"/>
          <w:szCs w:val="26"/>
        </w:rPr>
      </w:pPr>
      <w:r w:rsidRPr="00C11A5F">
        <w:rPr>
          <w:b/>
          <w:bCs/>
          <w:sz w:val="26"/>
          <w:szCs w:val="26"/>
        </w:rPr>
        <w:br w:type="page"/>
      </w:r>
    </w:p>
    <w:p w14:paraId="12D7CE09" w14:textId="77777777" w:rsidR="001408F7" w:rsidRPr="00C11A5F" w:rsidRDefault="001408F7" w:rsidP="00EA1C96">
      <w:pPr>
        <w:pStyle w:val="ListParagraph"/>
        <w:numPr>
          <w:ilvl w:val="0"/>
          <w:numId w:val="1"/>
        </w:numPr>
        <w:outlineLvl w:val="0"/>
        <w:rPr>
          <w:b/>
          <w:bCs/>
          <w:szCs w:val="24"/>
        </w:rPr>
      </w:pPr>
      <w:r w:rsidRPr="00C11A5F">
        <w:rPr>
          <w:b/>
          <w:bCs/>
          <w:szCs w:val="24"/>
        </w:rPr>
        <w:lastRenderedPageBreak/>
        <w:t>Impact of the presence of contrast medium in the patient scans</w:t>
      </w:r>
    </w:p>
    <w:p w14:paraId="7C07F387" w14:textId="568DFA92" w:rsidR="001408F7" w:rsidRPr="00C11A5F" w:rsidRDefault="001408F7" w:rsidP="003843B8">
      <w:pPr>
        <w:outlineLvl w:val="0"/>
        <w:rPr>
          <w:bCs/>
          <w:szCs w:val="24"/>
        </w:rPr>
      </w:pPr>
      <w:r w:rsidRPr="00C11A5F">
        <w:rPr>
          <w:bCs/>
          <w:szCs w:val="24"/>
        </w:rPr>
        <w:t xml:space="preserve">In clinical practice, when a contrast-enhanced CT is </w:t>
      </w:r>
      <w:r w:rsidR="009834EC" w:rsidRPr="00C11A5F">
        <w:rPr>
          <w:bCs/>
          <w:szCs w:val="24"/>
        </w:rPr>
        <w:t>desired</w:t>
      </w:r>
      <w:r w:rsidRPr="00C11A5F">
        <w:rPr>
          <w:bCs/>
          <w:szCs w:val="24"/>
        </w:rPr>
        <w:t xml:space="preserve"> for </w:t>
      </w:r>
      <w:r w:rsidR="009834EC" w:rsidRPr="00C11A5F">
        <w:rPr>
          <w:bCs/>
          <w:szCs w:val="24"/>
        </w:rPr>
        <w:t xml:space="preserve">tumor and organ-at-risk </w:t>
      </w:r>
      <w:r w:rsidRPr="00C11A5F">
        <w:rPr>
          <w:bCs/>
          <w:szCs w:val="24"/>
        </w:rPr>
        <w:t xml:space="preserve">delineation, a second scan without contrast is </w:t>
      </w:r>
      <w:r w:rsidR="009834EC" w:rsidRPr="00C11A5F">
        <w:rPr>
          <w:bCs/>
          <w:szCs w:val="24"/>
        </w:rPr>
        <w:t>acquired</w:t>
      </w:r>
      <w:r w:rsidRPr="00C11A5F">
        <w:rPr>
          <w:bCs/>
          <w:szCs w:val="24"/>
        </w:rPr>
        <w:t xml:space="preserve"> for </w:t>
      </w:r>
      <w:r w:rsidR="009834EC" w:rsidRPr="00C11A5F">
        <w:rPr>
          <w:bCs/>
          <w:szCs w:val="24"/>
        </w:rPr>
        <w:t xml:space="preserve">proton treatment </w:t>
      </w:r>
      <w:r w:rsidRPr="00C11A5F">
        <w:rPr>
          <w:bCs/>
          <w:szCs w:val="24"/>
        </w:rPr>
        <w:t xml:space="preserve">planning. </w:t>
      </w:r>
      <w:r w:rsidR="003843B8" w:rsidRPr="00C11A5F">
        <w:rPr>
          <w:bCs/>
          <w:szCs w:val="24"/>
        </w:rPr>
        <w:t xml:space="preserve">However, this study was part of a clinical trial where multiple CT scans were acquired from </w:t>
      </w:r>
      <w:r w:rsidR="00C15B54" w:rsidRPr="00C11A5F">
        <w:rPr>
          <w:bCs/>
          <w:szCs w:val="24"/>
        </w:rPr>
        <w:t>one</w:t>
      </w:r>
      <w:r w:rsidR="003843B8" w:rsidRPr="00C11A5F">
        <w:rPr>
          <w:bCs/>
          <w:szCs w:val="24"/>
        </w:rPr>
        <w:t xml:space="preserve"> patient; a DECT scan prior to contrast injection, a SECT scan after contrast injection and a DECT scan after contract injection. For the</w:t>
      </w:r>
      <w:r w:rsidR="00454D9B" w:rsidRPr="00C11A5F">
        <w:rPr>
          <w:bCs/>
          <w:szCs w:val="24"/>
        </w:rPr>
        <w:t xml:space="preserve"> proton</w:t>
      </w:r>
      <w:r w:rsidR="003843B8" w:rsidRPr="00C11A5F">
        <w:rPr>
          <w:bCs/>
          <w:szCs w:val="24"/>
        </w:rPr>
        <w:t xml:space="preserve"> dose calculations presented in the paper, only the contrast enhanced SECT and </w:t>
      </w:r>
      <w:proofErr w:type="gramStart"/>
      <w:r w:rsidR="00C15B54" w:rsidRPr="00C11A5F">
        <w:rPr>
          <w:bCs/>
          <w:szCs w:val="24"/>
        </w:rPr>
        <w:t>contrast-enhanced</w:t>
      </w:r>
      <w:proofErr w:type="gramEnd"/>
      <w:r w:rsidR="00F143E6" w:rsidRPr="00C11A5F">
        <w:rPr>
          <w:bCs/>
          <w:szCs w:val="24"/>
        </w:rPr>
        <w:t xml:space="preserve"> </w:t>
      </w:r>
      <w:r w:rsidR="003843B8" w:rsidRPr="00C11A5F">
        <w:rPr>
          <w:bCs/>
          <w:szCs w:val="24"/>
        </w:rPr>
        <w:t>DECT scans were used.</w:t>
      </w:r>
      <w:r w:rsidRPr="00C11A5F">
        <w:t xml:space="preserve"> The individual</w:t>
      </w:r>
      <w:r w:rsidR="00F143E6" w:rsidRPr="00C11A5F">
        <w:t xml:space="preserve"> non-contrast</w:t>
      </w:r>
      <w:r w:rsidRPr="00C11A5F">
        <w:t xml:space="preserve"> DECT </w:t>
      </w:r>
      <w:r w:rsidR="00C15B54" w:rsidRPr="00C11A5F">
        <w:t>images of</w:t>
      </w:r>
      <w:r w:rsidR="00F143E6" w:rsidRPr="00C11A5F">
        <w:t xml:space="preserve"> </w:t>
      </w:r>
      <w:r w:rsidRPr="00C11A5F">
        <w:t xml:space="preserve">80 </w:t>
      </w:r>
      <w:r w:rsidR="00F143E6" w:rsidRPr="00C11A5F">
        <w:t xml:space="preserve">kVp </w:t>
      </w:r>
      <w:r w:rsidRPr="00C11A5F">
        <w:t>and 140 kVp</w:t>
      </w:r>
      <w:r w:rsidR="00F143E6" w:rsidRPr="00C11A5F">
        <w:t xml:space="preserve"> </w:t>
      </w:r>
      <w:r w:rsidRPr="00C11A5F">
        <w:t xml:space="preserve">were </w:t>
      </w:r>
      <w:r w:rsidR="00F143E6" w:rsidRPr="00C11A5F">
        <w:t>only used for the comparison with the contrast-enhanced</w:t>
      </w:r>
      <w:r w:rsidRPr="00C11A5F">
        <w:t xml:space="preserve"> </w:t>
      </w:r>
      <w:r w:rsidR="00F143E6" w:rsidRPr="00C11A5F">
        <w:t>80 kVp and 140 kVp CT images</w:t>
      </w:r>
      <w:r w:rsidRPr="00C11A5F">
        <w:t xml:space="preserve">. </w:t>
      </w:r>
      <w:r w:rsidR="00F143E6" w:rsidRPr="00C11A5F">
        <w:t>The mean Hounsfield Unit (HU)</w:t>
      </w:r>
      <w:r w:rsidRPr="00C11A5F">
        <w:t xml:space="preserve"> differences between </w:t>
      </w:r>
      <w:r w:rsidR="00F143E6" w:rsidRPr="00C11A5F">
        <w:t>the contrast-enhanced images and the non-contrast images</w:t>
      </w:r>
      <w:r w:rsidRPr="00C11A5F">
        <w:t xml:space="preserve"> are shown in </w:t>
      </w:r>
      <w:r w:rsidRPr="00C11A5F">
        <w:rPr>
          <w:rFonts w:eastAsiaTheme="minorEastAsia"/>
          <w:color w:val="4F81BD" w:themeColor="accent1"/>
          <w:szCs w:val="24"/>
        </w:rPr>
        <w:t>Figure S</w:t>
      </w:r>
      <w:r w:rsidR="00EF7562" w:rsidRPr="00C11A5F">
        <w:rPr>
          <w:rFonts w:eastAsiaTheme="minorEastAsia"/>
          <w:color w:val="4F81BD" w:themeColor="accent1"/>
          <w:szCs w:val="24"/>
        </w:rPr>
        <w:t>4</w:t>
      </w:r>
      <w:r w:rsidRPr="00C11A5F">
        <w:t>, highlighting the slices through which the beams crossed. In the</w:t>
      </w:r>
      <w:r w:rsidR="00081CEA" w:rsidRPr="00C11A5F">
        <w:t>se</w:t>
      </w:r>
      <w:r w:rsidRPr="00C11A5F">
        <w:t xml:space="preserve"> slices of interest, the maximum </w:t>
      </w:r>
      <w:r w:rsidR="00081CEA" w:rsidRPr="00C11A5F">
        <w:t xml:space="preserve">mean CT number </w:t>
      </w:r>
      <w:r w:rsidRPr="00C11A5F">
        <w:t xml:space="preserve">difference was 7 HU </w:t>
      </w:r>
      <w:r w:rsidR="00081CEA" w:rsidRPr="00C11A5F">
        <w:t xml:space="preserve">for the 80 kVp CT scans </w:t>
      </w:r>
      <w:r w:rsidRPr="00C11A5F">
        <w:t>and 5 HU for the 140 kVp</w:t>
      </w:r>
      <w:r w:rsidR="00081CEA" w:rsidRPr="00C11A5F">
        <w:t xml:space="preserve"> CT scans. </w:t>
      </w:r>
      <w:r w:rsidRPr="00C11A5F">
        <w:t xml:space="preserve"> </w:t>
      </w:r>
    </w:p>
    <w:p w14:paraId="58166E17" w14:textId="77777777" w:rsidR="001408F7" w:rsidRPr="00C11A5F" w:rsidRDefault="001408F7" w:rsidP="001408F7">
      <w:pPr>
        <w:outlineLvl w:val="0"/>
        <w:rPr>
          <w:bCs/>
          <w:szCs w:val="24"/>
        </w:rPr>
      </w:pPr>
      <w:r w:rsidRPr="00C11A5F">
        <w:rPr>
          <w:bCs/>
          <w:noProof/>
          <w:szCs w:val="24"/>
        </w:rPr>
        <w:drawing>
          <wp:inline distT="0" distB="0" distL="0" distR="0" wp14:anchorId="6D6BC730" wp14:editId="5AC571A0">
            <wp:extent cx="5938520" cy="3485515"/>
            <wp:effectExtent l="0" t="0" r="5080" b="0"/>
            <wp:docPr id="7" name="Picture 7" descr="Figures/Figure_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s/Figure_S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8520" cy="3485515"/>
                    </a:xfrm>
                    <a:prstGeom prst="rect">
                      <a:avLst/>
                    </a:prstGeom>
                    <a:noFill/>
                    <a:ln>
                      <a:noFill/>
                    </a:ln>
                  </pic:spPr>
                </pic:pic>
              </a:graphicData>
            </a:graphic>
          </wp:inline>
        </w:drawing>
      </w:r>
    </w:p>
    <w:p w14:paraId="6F8A3F7F" w14:textId="6BB8624E" w:rsidR="00F3466D" w:rsidRPr="00C11A5F" w:rsidRDefault="001408F7" w:rsidP="001408F7">
      <w:pPr>
        <w:rPr>
          <w:iCs/>
        </w:rPr>
      </w:pPr>
      <w:r w:rsidRPr="00C11A5F">
        <w:rPr>
          <w:b/>
          <w:iCs/>
        </w:rPr>
        <w:t>Figure S</w:t>
      </w:r>
      <w:r w:rsidR="00E35D8A" w:rsidRPr="00C11A5F">
        <w:rPr>
          <w:b/>
          <w:iCs/>
        </w:rPr>
        <w:t>4</w:t>
      </w:r>
      <w:r w:rsidRPr="00C11A5F">
        <w:rPr>
          <w:b/>
          <w:iCs/>
        </w:rPr>
        <w:t>.</w:t>
      </w:r>
      <w:r w:rsidRPr="00C11A5F">
        <w:rPr>
          <w:iCs/>
        </w:rPr>
        <w:t xml:space="preserve"> Mean difference in CT numbers (1 and 2 standard deviations) between the </w:t>
      </w:r>
      <w:r w:rsidR="00703FC6" w:rsidRPr="00C11A5F">
        <w:rPr>
          <w:iCs/>
        </w:rPr>
        <w:t>contrast-enhanced and the non-contrast CT images</w:t>
      </w:r>
      <w:r w:rsidRPr="00C11A5F">
        <w:rPr>
          <w:iCs/>
        </w:rPr>
        <w:t xml:space="preserve">, for 80 kVp (left) and 140 kVp (right). The </w:t>
      </w:r>
      <w:r w:rsidR="00EF7562" w:rsidRPr="00C11A5F">
        <w:rPr>
          <w:iCs/>
        </w:rPr>
        <w:t xml:space="preserve">top </w:t>
      </w:r>
      <w:r w:rsidRPr="00C11A5F">
        <w:rPr>
          <w:iCs/>
        </w:rPr>
        <w:t xml:space="preserve">right panel: sagittal </w:t>
      </w:r>
      <w:r w:rsidR="00703FC6" w:rsidRPr="00C11A5F">
        <w:rPr>
          <w:iCs/>
        </w:rPr>
        <w:t xml:space="preserve">CT </w:t>
      </w:r>
      <w:r w:rsidRPr="00C11A5F">
        <w:rPr>
          <w:iCs/>
        </w:rPr>
        <w:t>plane of the patient illustrating with a red box the slices crossed by the three proton beams show</w:t>
      </w:r>
      <w:r w:rsidR="00EF7562" w:rsidRPr="00C11A5F">
        <w:rPr>
          <w:iCs/>
        </w:rPr>
        <w:t>n</w:t>
      </w:r>
      <w:r w:rsidRPr="00C11A5F">
        <w:rPr>
          <w:iCs/>
        </w:rPr>
        <w:t xml:space="preserve"> in </w:t>
      </w:r>
      <w:r w:rsidRPr="00C11A5F">
        <w:rPr>
          <w:rFonts w:eastAsiaTheme="minorEastAsia"/>
          <w:iCs/>
          <w:color w:val="4F81BD" w:themeColor="accent1"/>
          <w:szCs w:val="24"/>
        </w:rPr>
        <w:t xml:space="preserve">Figure </w:t>
      </w:r>
      <w:r w:rsidR="00422512" w:rsidRPr="00C11A5F">
        <w:rPr>
          <w:rFonts w:eastAsiaTheme="minorEastAsia"/>
          <w:iCs/>
          <w:color w:val="4F81BD" w:themeColor="accent1"/>
          <w:szCs w:val="24"/>
        </w:rPr>
        <w:t>1</w:t>
      </w:r>
      <w:r w:rsidRPr="00C11A5F">
        <w:rPr>
          <w:iCs/>
        </w:rPr>
        <w:t>. The same slices are highlighted in both plots.</w:t>
      </w:r>
    </w:p>
    <w:p w14:paraId="1F4734BB" w14:textId="08EC8A0B" w:rsidR="00F529A9" w:rsidRPr="00C11A5F" w:rsidRDefault="00F529A9">
      <w:pPr>
        <w:spacing w:after="200" w:line="276" w:lineRule="auto"/>
        <w:jc w:val="left"/>
        <w:rPr>
          <w:i/>
        </w:rPr>
      </w:pPr>
      <w:r w:rsidRPr="00C11A5F">
        <w:rPr>
          <w:i/>
        </w:rPr>
        <w:br w:type="page"/>
      </w:r>
    </w:p>
    <w:p w14:paraId="0B5A095C" w14:textId="0B6E9EF9" w:rsidR="00F529A9" w:rsidRPr="00C11A5F" w:rsidRDefault="00F529A9" w:rsidP="00775790">
      <w:pPr>
        <w:spacing w:after="200" w:line="276" w:lineRule="auto"/>
        <w:rPr>
          <w:iCs/>
          <w:color w:val="000000" w:themeColor="text1"/>
        </w:rPr>
      </w:pPr>
      <w:r w:rsidRPr="00C11A5F">
        <w:rPr>
          <w:iCs/>
        </w:rPr>
        <w:lastRenderedPageBreak/>
        <w:t>An additional phantom study, supported by patient data, was performed to evaluate the performance of the CT conversion methods on iodine inserts. The dose differences reported in this study were evaluated on a patient treatment plan with a virtual non-contrast</w:t>
      </w:r>
      <w:r w:rsidR="00775790" w:rsidRPr="00C11A5F">
        <w:rPr>
          <w:iCs/>
        </w:rPr>
        <w:t>-</w:t>
      </w:r>
      <w:r w:rsidRPr="00C11A5F">
        <w:rPr>
          <w:iCs/>
        </w:rPr>
        <w:t xml:space="preserve">enhanced tumor. However, the patient had a real brain tumor close to the cranium of which the mean 80kVp HUs </w:t>
      </w:r>
      <w:r w:rsidR="003F39FE" w:rsidRPr="00C11A5F">
        <w:rPr>
          <w:iCs/>
        </w:rPr>
        <w:t xml:space="preserve">of brain tissue and the tumor </w:t>
      </w:r>
      <w:r w:rsidRPr="00C11A5F">
        <w:rPr>
          <w:iCs/>
        </w:rPr>
        <w:t xml:space="preserve">were determined as extreme scenario. </w:t>
      </w:r>
      <w:r w:rsidR="00775790" w:rsidRPr="00C11A5F">
        <w:rPr>
          <w:iCs/>
        </w:rPr>
        <w:t xml:space="preserve">The 80 kVp CT reconstruction was picked because the photo-electric absorption of X-rays is sensitive to changes in material composition, especially in high-Z materials (iodine) and at lower energies (80 kVp). </w:t>
      </w:r>
      <w:r w:rsidR="003F39FE" w:rsidRPr="00C11A5F">
        <w:rPr>
          <w:iCs/>
        </w:rPr>
        <w:t xml:space="preserve">Then, the iodine </w:t>
      </w:r>
      <w:proofErr w:type="gramStart"/>
      <w:r w:rsidR="003F39FE" w:rsidRPr="00C11A5F">
        <w:rPr>
          <w:iCs/>
        </w:rPr>
        <w:t>insert</w:t>
      </w:r>
      <w:proofErr w:type="gramEnd"/>
      <w:r w:rsidR="003F39FE" w:rsidRPr="00C11A5F">
        <w:rPr>
          <w:iCs/>
        </w:rPr>
        <w:t xml:space="preserve"> with the highest similarity in measured HUs </w:t>
      </w:r>
      <w:r w:rsidR="003F39FE" w:rsidRPr="00C11A5F">
        <w:rPr>
          <w:iCs/>
          <w:color w:val="000000" w:themeColor="text1"/>
        </w:rPr>
        <w:t>(</w:t>
      </w:r>
      <w:r w:rsidR="003F39FE" w:rsidRPr="00C11A5F">
        <w:rPr>
          <w:rFonts w:cs="Calibri"/>
          <w:color w:val="000000" w:themeColor="text1"/>
        </w:rPr>
        <w:t>84</w:t>
      </w:r>
      <w:r w:rsidR="003F39FE" w:rsidRPr="00C11A5F">
        <w:rPr>
          <w:rFonts w:cs="Calibri"/>
          <w:color w:val="000000" w:themeColor="text1"/>
        </w:rPr>
        <w:sym w:font="Symbol" w:char="F0B1"/>
      </w:r>
      <w:r w:rsidR="003F39FE" w:rsidRPr="00C11A5F">
        <w:rPr>
          <w:rFonts w:cs="Calibri"/>
          <w:color w:val="000000" w:themeColor="text1"/>
        </w:rPr>
        <w:t>7 HU)</w:t>
      </w:r>
      <w:r w:rsidR="003F39FE" w:rsidRPr="00C11A5F">
        <w:rPr>
          <w:iCs/>
          <w:color w:val="000000" w:themeColor="text1"/>
        </w:rPr>
        <w:t xml:space="preserve">, </w:t>
      </w:r>
      <w:r w:rsidR="003F39FE" w:rsidRPr="00C11A5F">
        <w:rPr>
          <w:iCs/>
        </w:rPr>
        <w:t xml:space="preserve">the 2 mg/ml </w:t>
      </w:r>
      <w:proofErr w:type="spellStart"/>
      <w:r w:rsidR="003F39FE" w:rsidRPr="00C11A5F">
        <w:rPr>
          <w:iCs/>
        </w:rPr>
        <w:t>Gammex</w:t>
      </w:r>
      <w:proofErr w:type="spellEnd"/>
      <w:r w:rsidR="003F39FE" w:rsidRPr="00C11A5F">
        <w:rPr>
          <w:iCs/>
        </w:rPr>
        <w:t xml:space="preserve"> insert, was chosen for further analysis. The atomic weight fractions of the 2 mg/ml iodine insert are listed in </w:t>
      </w:r>
      <w:r w:rsidR="003F39FE" w:rsidRPr="00C11A5F">
        <w:rPr>
          <w:iCs/>
          <w:color w:val="000000" w:themeColor="text1"/>
        </w:rPr>
        <w:t>Table S1.</w:t>
      </w:r>
    </w:p>
    <w:p w14:paraId="2CAF11F1" w14:textId="7BA7E5E4" w:rsidR="003F39FE" w:rsidRPr="00C11A5F" w:rsidRDefault="003F39FE" w:rsidP="00775790">
      <w:pPr>
        <w:spacing w:after="200" w:line="276" w:lineRule="auto"/>
        <w:rPr>
          <w:b/>
          <w:bCs/>
          <w:iCs/>
          <w:color w:val="000000" w:themeColor="text1"/>
        </w:rPr>
      </w:pPr>
      <w:r w:rsidRPr="00C11A5F">
        <w:rPr>
          <w:b/>
          <w:bCs/>
          <w:iCs/>
          <w:color w:val="000000" w:themeColor="text1"/>
        </w:rPr>
        <w:t>Table S1</w:t>
      </w:r>
    </w:p>
    <w:tbl>
      <w:tblPr>
        <w:tblStyle w:val="TableGrid"/>
        <w:tblW w:w="0" w:type="auto"/>
        <w:tblLook w:val="04A0" w:firstRow="1" w:lastRow="0" w:firstColumn="1" w:lastColumn="0" w:noHBand="0" w:noVBand="1"/>
      </w:tblPr>
      <w:tblGrid>
        <w:gridCol w:w="886"/>
        <w:gridCol w:w="852"/>
        <w:gridCol w:w="852"/>
        <w:gridCol w:w="799"/>
        <w:gridCol w:w="801"/>
        <w:gridCol w:w="795"/>
        <w:gridCol w:w="800"/>
        <w:gridCol w:w="805"/>
        <w:gridCol w:w="817"/>
        <w:gridCol w:w="831"/>
        <w:gridCol w:w="772"/>
      </w:tblGrid>
      <w:tr w:rsidR="003F39FE" w:rsidRPr="00C11A5F" w14:paraId="0AEC68D2" w14:textId="77777777" w:rsidTr="00B75E15">
        <w:tc>
          <w:tcPr>
            <w:tcW w:w="886" w:type="dxa"/>
          </w:tcPr>
          <w:p w14:paraId="56DEAF29" w14:textId="77777777" w:rsidR="003F39FE" w:rsidRPr="00C11A5F" w:rsidRDefault="003F39FE" w:rsidP="003F39FE">
            <w:pPr>
              <w:spacing w:line="240" w:lineRule="auto"/>
              <w:rPr>
                <w:rFonts w:cs="Calibri"/>
                <w:color w:val="000000" w:themeColor="text1"/>
              </w:rPr>
            </w:pPr>
          </w:p>
        </w:tc>
        <w:tc>
          <w:tcPr>
            <w:tcW w:w="852" w:type="dxa"/>
          </w:tcPr>
          <w:p w14:paraId="37F29E9F" w14:textId="77777777" w:rsidR="003F39FE" w:rsidRPr="00C11A5F" w:rsidRDefault="00F76B1C" w:rsidP="003F39FE">
            <w:pPr>
              <w:spacing w:line="240" w:lineRule="auto"/>
              <w:rPr>
                <w:rFonts w:cs="Calibri"/>
                <w:color w:val="000000" w:themeColor="text1"/>
              </w:rPr>
            </w:pPr>
            <m:oMathPara>
              <m:oMath>
                <m:sSub>
                  <m:sSubPr>
                    <m:ctrlPr>
                      <w:rPr>
                        <w:rFonts w:ascii="Cambria Math" w:hAnsi="Cambria Math" w:cs="Calibri"/>
                        <w:i/>
                        <w:color w:val="000000" w:themeColor="text1"/>
                      </w:rPr>
                    </m:ctrlPr>
                  </m:sSubPr>
                  <m:e>
                    <m:r>
                      <w:rPr>
                        <w:rFonts w:ascii="Cambria Math" w:hAnsi="Cambria Math" w:cs="Calibri"/>
                        <w:color w:val="000000" w:themeColor="text1"/>
                      </w:rPr>
                      <m:t>ρ</m:t>
                    </m:r>
                  </m:e>
                  <m:sub>
                    <m:r>
                      <w:rPr>
                        <w:rFonts w:ascii="Cambria Math" w:hAnsi="Cambria Math" w:cs="Calibri"/>
                        <w:color w:val="000000" w:themeColor="text1"/>
                      </w:rPr>
                      <m:t>m</m:t>
                    </m:r>
                  </m:sub>
                </m:sSub>
              </m:oMath>
            </m:oMathPara>
          </w:p>
        </w:tc>
        <w:tc>
          <w:tcPr>
            <w:tcW w:w="852" w:type="dxa"/>
          </w:tcPr>
          <w:p w14:paraId="71BC14B9" w14:textId="77777777" w:rsidR="003F39FE" w:rsidRPr="00C11A5F" w:rsidRDefault="00F76B1C" w:rsidP="003F39FE">
            <w:pPr>
              <w:spacing w:line="240" w:lineRule="auto"/>
              <w:rPr>
                <w:rFonts w:cs="Calibri"/>
                <w:color w:val="000000" w:themeColor="text1"/>
              </w:rPr>
            </w:pPr>
            <m:oMathPara>
              <m:oMath>
                <m:sSub>
                  <m:sSubPr>
                    <m:ctrlPr>
                      <w:rPr>
                        <w:rFonts w:ascii="Cambria Math" w:hAnsi="Cambria Math" w:cs="Calibri"/>
                        <w:i/>
                        <w:color w:val="000000" w:themeColor="text1"/>
                      </w:rPr>
                    </m:ctrlPr>
                  </m:sSubPr>
                  <m:e>
                    <m:r>
                      <w:rPr>
                        <w:rFonts w:ascii="Cambria Math" w:hAnsi="Cambria Math" w:cs="Calibri"/>
                        <w:color w:val="000000" w:themeColor="text1"/>
                      </w:rPr>
                      <m:t>ρ</m:t>
                    </m:r>
                  </m:e>
                  <m:sub>
                    <m:r>
                      <w:rPr>
                        <w:rFonts w:ascii="Cambria Math" w:hAnsi="Cambria Math" w:cs="Calibri"/>
                        <w:color w:val="000000" w:themeColor="text1"/>
                      </w:rPr>
                      <m:t>e</m:t>
                    </m:r>
                  </m:sub>
                </m:sSub>
              </m:oMath>
            </m:oMathPara>
          </w:p>
        </w:tc>
        <w:tc>
          <w:tcPr>
            <w:tcW w:w="799" w:type="dxa"/>
          </w:tcPr>
          <w:p w14:paraId="5773EAAD"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H</w:t>
            </w:r>
          </w:p>
        </w:tc>
        <w:tc>
          <w:tcPr>
            <w:tcW w:w="801" w:type="dxa"/>
          </w:tcPr>
          <w:p w14:paraId="14FED73A"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O</w:t>
            </w:r>
          </w:p>
        </w:tc>
        <w:tc>
          <w:tcPr>
            <w:tcW w:w="795" w:type="dxa"/>
          </w:tcPr>
          <w:p w14:paraId="0F938086"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C</w:t>
            </w:r>
          </w:p>
        </w:tc>
        <w:tc>
          <w:tcPr>
            <w:tcW w:w="800" w:type="dxa"/>
          </w:tcPr>
          <w:p w14:paraId="28B64DDA"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N</w:t>
            </w:r>
          </w:p>
        </w:tc>
        <w:tc>
          <w:tcPr>
            <w:tcW w:w="805" w:type="dxa"/>
          </w:tcPr>
          <w:p w14:paraId="74D56E5F"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Cl</w:t>
            </w:r>
          </w:p>
        </w:tc>
        <w:tc>
          <w:tcPr>
            <w:tcW w:w="817" w:type="dxa"/>
          </w:tcPr>
          <w:p w14:paraId="3AF82BF9"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Ca</w:t>
            </w:r>
          </w:p>
        </w:tc>
        <w:tc>
          <w:tcPr>
            <w:tcW w:w="831" w:type="dxa"/>
          </w:tcPr>
          <w:p w14:paraId="5DBBB3DD"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Mg</w:t>
            </w:r>
          </w:p>
        </w:tc>
        <w:tc>
          <w:tcPr>
            <w:tcW w:w="772" w:type="dxa"/>
          </w:tcPr>
          <w:p w14:paraId="04F01F46"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I</w:t>
            </w:r>
          </w:p>
        </w:tc>
      </w:tr>
      <w:tr w:rsidR="003F39FE" w:rsidRPr="00C11A5F" w14:paraId="35CFCD0A" w14:textId="77777777" w:rsidTr="00B75E15">
        <w:tc>
          <w:tcPr>
            <w:tcW w:w="886" w:type="dxa"/>
          </w:tcPr>
          <w:p w14:paraId="2A7DF018"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Iodine insert</w:t>
            </w:r>
          </w:p>
        </w:tc>
        <w:tc>
          <w:tcPr>
            <w:tcW w:w="852" w:type="dxa"/>
          </w:tcPr>
          <w:p w14:paraId="3C709E36"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1.03</w:t>
            </w:r>
          </w:p>
        </w:tc>
        <w:tc>
          <w:tcPr>
            <w:tcW w:w="852" w:type="dxa"/>
          </w:tcPr>
          <w:p w14:paraId="4772611F"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1.00</w:t>
            </w:r>
          </w:p>
        </w:tc>
        <w:tc>
          <w:tcPr>
            <w:tcW w:w="799" w:type="dxa"/>
          </w:tcPr>
          <w:p w14:paraId="0A04C47F"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8.64</w:t>
            </w:r>
          </w:p>
        </w:tc>
        <w:tc>
          <w:tcPr>
            <w:tcW w:w="801" w:type="dxa"/>
          </w:tcPr>
          <w:p w14:paraId="73F2F4A1"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17.51</w:t>
            </w:r>
          </w:p>
        </w:tc>
        <w:tc>
          <w:tcPr>
            <w:tcW w:w="795" w:type="dxa"/>
          </w:tcPr>
          <w:p w14:paraId="4A9FC30B"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69.53</w:t>
            </w:r>
          </w:p>
        </w:tc>
        <w:tc>
          <w:tcPr>
            <w:tcW w:w="800" w:type="dxa"/>
          </w:tcPr>
          <w:p w14:paraId="6E0A4EE4"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2.15</w:t>
            </w:r>
          </w:p>
        </w:tc>
        <w:tc>
          <w:tcPr>
            <w:tcW w:w="805" w:type="dxa"/>
          </w:tcPr>
          <w:p w14:paraId="1C816F20"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0.13</w:t>
            </w:r>
          </w:p>
        </w:tc>
        <w:tc>
          <w:tcPr>
            <w:tcW w:w="817" w:type="dxa"/>
          </w:tcPr>
          <w:p w14:paraId="2C90E07D"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1.81</w:t>
            </w:r>
          </w:p>
        </w:tc>
        <w:tc>
          <w:tcPr>
            <w:tcW w:w="831" w:type="dxa"/>
          </w:tcPr>
          <w:p w14:paraId="4D00E849"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0.03</w:t>
            </w:r>
          </w:p>
        </w:tc>
        <w:tc>
          <w:tcPr>
            <w:tcW w:w="772" w:type="dxa"/>
          </w:tcPr>
          <w:p w14:paraId="36DC204C"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0.20</w:t>
            </w:r>
          </w:p>
        </w:tc>
      </w:tr>
    </w:tbl>
    <w:p w14:paraId="768A192D" w14:textId="77777777" w:rsidR="003F39FE" w:rsidRPr="00C11A5F" w:rsidRDefault="003F39FE" w:rsidP="00775790">
      <w:pPr>
        <w:spacing w:after="200" w:line="276" w:lineRule="auto"/>
        <w:rPr>
          <w:iCs/>
          <w:color w:val="000000" w:themeColor="text1"/>
        </w:rPr>
      </w:pPr>
    </w:p>
    <w:p w14:paraId="07E66EE1" w14:textId="6323D539" w:rsidR="003F39FE" w:rsidRPr="00C11A5F" w:rsidRDefault="003F39FE" w:rsidP="003F39FE">
      <w:pPr>
        <w:spacing w:after="200" w:line="276" w:lineRule="auto"/>
        <w:rPr>
          <w:rFonts w:cs="Calibri"/>
          <w:color w:val="000000" w:themeColor="text1"/>
        </w:rPr>
      </w:pPr>
      <w:r w:rsidRPr="00C11A5F">
        <w:rPr>
          <w:rFonts w:cs="Calibri"/>
          <w:color w:val="000000" w:themeColor="text1"/>
        </w:rPr>
        <w:t xml:space="preserve">The iodine insert was placed in the middle of the central bulk of the 062M phantom (Figure S5(a) and S5(b)). 120 kVp SECT imaging was performed to evaluate the accuracy of the CT2RED conversion method and the </w:t>
      </w:r>
      <w:proofErr w:type="spellStart"/>
      <w:r w:rsidRPr="00C11A5F">
        <w:rPr>
          <w:rFonts w:cs="Calibri"/>
          <w:color w:val="000000" w:themeColor="text1"/>
        </w:rPr>
        <w:t>DirectDensity</w:t>
      </w:r>
      <w:proofErr w:type="spellEnd"/>
      <w:r w:rsidRPr="00C11A5F">
        <w:rPr>
          <w:rFonts w:cs="Calibri"/>
          <w:color w:val="000000" w:themeColor="text1"/>
        </w:rPr>
        <w:t xml:space="preserve"> algorithm. 80/140 kVp dual-spiral DECT acquisitions were acquired and processed to evaluate the PMI2RED, the Saito-15it, and the Hünemohr-15it conversion methods. The accuracy of the different relative electron density conversion methods </w:t>
      </w:r>
      <w:proofErr w:type="gramStart"/>
      <w:r w:rsidRPr="00C11A5F">
        <w:rPr>
          <w:rFonts w:cs="Calibri"/>
          <w:color w:val="000000" w:themeColor="text1"/>
        </w:rPr>
        <w:t>are</w:t>
      </w:r>
      <w:proofErr w:type="gramEnd"/>
      <w:r w:rsidRPr="00C11A5F">
        <w:rPr>
          <w:rFonts w:cs="Calibri"/>
          <w:color w:val="000000" w:themeColor="text1"/>
        </w:rPr>
        <w:t xml:space="preserve"> listed in Table S3 (measurement – reference)/ref. </w:t>
      </w:r>
    </w:p>
    <w:p w14:paraId="5B27574D" w14:textId="08B89FD5" w:rsidR="003F39FE" w:rsidRPr="00C11A5F" w:rsidRDefault="003F39FE" w:rsidP="00775790">
      <w:pPr>
        <w:spacing w:after="200" w:line="276" w:lineRule="auto"/>
        <w:rPr>
          <w:rFonts w:cs="Calibri"/>
          <w:b/>
          <w:bCs/>
          <w:color w:val="000000" w:themeColor="text1"/>
        </w:rPr>
      </w:pPr>
      <w:r w:rsidRPr="00C11A5F">
        <w:rPr>
          <w:rFonts w:cs="Calibri"/>
          <w:b/>
          <w:bCs/>
          <w:color w:val="000000" w:themeColor="text1"/>
        </w:rPr>
        <w:t>Table S2</w:t>
      </w:r>
    </w:p>
    <w:tbl>
      <w:tblPr>
        <w:tblStyle w:val="TableGrid"/>
        <w:tblW w:w="0" w:type="auto"/>
        <w:tblLook w:val="04A0" w:firstRow="1" w:lastRow="0" w:firstColumn="1" w:lastColumn="0" w:noHBand="0" w:noVBand="1"/>
      </w:tblPr>
      <w:tblGrid>
        <w:gridCol w:w="2405"/>
        <w:gridCol w:w="3544"/>
      </w:tblGrid>
      <w:tr w:rsidR="003F39FE" w:rsidRPr="00C11A5F" w14:paraId="056CAD85" w14:textId="77777777" w:rsidTr="00B75E15">
        <w:tc>
          <w:tcPr>
            <w:tcW w:w="2405" w:type="dxa"/>
          </w:tcPr>
          <w:p w14:paraId="3CECC8ED"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Conversion method</w:t>
            </w:r>
          </w:p>
        </w:tc>
        <w:tc>
          <w:tcPr>
            <w:tcW w:w="3544" w:type="dxa"/>
          </w:tcPr>
          <w:p w14:paraId="62E4FA8C"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(Measurement-Ref)/Ref * 100%</w:t>
            </w:r>
          </w:p>
        </w:tc>
      </w:tr>
      <w:tr w:rsidR="003F39FE" w:rsidRPr="00C11A5F" w14:paraId="4931D78C" w14:textId="77777777" w:rsidTr="00B75E15">
        <w:tc>
          <w:tcPr>
            <w:tcW w:w="2405" w:type="dxa"/>
          </w:tcPr>
          <w:p w14:paraId="354986EE"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CT2RED</w:t>
            </w:r>
          </w:p>
        </w:tc>
        <w:tc>
          <w:tcPr>
            <w:tcW w:w="3544" w:type="dxa"/>
          </w:tcPr>
          <w:p w14:paraId="60CA3A77"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4.8%</w:t>
            </w:r>
          </w:p>
        </w:tc>
      </w:tr>
      <w:tr w:rsidR="003F39FE" w:rsidRPr="00C11A5F" w14:paraId="7A400DC7" w14:textId="77777777" w:rsidTr="00B75E15">
        <w:tc>
          <w:tcPr>
            <w:tcW w:w="2405" w:type="dxa"/>
          </w:tcPr>
          <w:p w14:paraId="1826FA6A" w14:textId="77777777" w:rsidR="003F39FE" w:rsidRPr="00C11A5F" w:rsidRDefault="003F39FE" w:rsidP="003F39FE">
            <w:pPr>
              <w:spacing w:line="240" w:lineRule="auto"/>
              <w:rPr>
                <w:rFonts w:cs="Calibri"/>
                <w:color w:val="000000" w:themeColor="text1"/>
              </w:rPr>
            </w:pPr>
            <w:proofErr w:type="spellStart"/>
            <w:r w:rsidRPr="00C11A5F">
              <w:rPr>
                <w:rFonts w:cs="Calibri"/>
                <w:color w:val="000000" w:themeColor="text1"/>
              </w:rPr>
              <w:t>DirectDensity</w:t>
            </w:r>
            <w:proofErr w:type="spellEnd"/>
          </w:p>
        </w:tc>
        <w:tc>
          <w:tcPr>
            <w:tcW w:w="3544" w:type="dxa"/>
          </w:tcPr>
          <w:p w14:paraId="2A618535"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4.1%</w:t>
            </w:r>
          </w:p>
        </w:tc>
      </w:tr>
      <w:tr w:rsidR="003F39FE" w:rsidRPr="00C11A5F" w14:paraId="213B9137" w14:textId="77777777" w:rsidTr="00B75E15">
        <w:tc>
          <w:tcPr>
            <w:tcW w:w="2405" w:type="dxa"/>
          </w:tcPr>
          <w:p w14:paraId="065D8F18"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PMI2RED</w:t>
            </w:r>
          </w:p>
        </w:tc>
        <w:tc>
          <w:tcPr>
            <w:tcW w:w="3544" w:type="dxa"/>
          </w:tcPr>
          <w:p w14:paraId="4E4752AD"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4.3%</w:t>
            </w:r>
          </w:p>
        </w:tc>
      </w:tr>
      <w:tr w:rsidR="003F39FE" w:rsidRPr="00C11A5F" w14:paraId="1D86C076" w14:textId="77777777" w:rsidTr="00B75E15">
        <w:tc>
          <w:tcPr>
            <w:tcW w:w="2405" w:type="dxa"/>
          </w:tcPr>
          <w:p w14:paraId="053EA0B5"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Hünemohr-15it</w:t>
            </w:r>
          </w:p>
        </w:tc>
        <w:tc>
          <w:tcPr>
            <w:tcW w:w="3544" w:type="dxa"/>
          </w:tcPr>
          <w:p w14:paraId="4EA7FC4C"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0.2%</w:t>
            </w:r>
          </w:p>
        </w:tc>
      </w:tr>
      <w:tr w:rsidR="003F39FE" w:rsidRPr="00C11A5F" w14:paraId="19346A84" w14:textId="77777777" w:rsidTr="00B75E15">
        <w:tc>
          <w:tcPr>
            <w:tcW w:w="2405" w:type="dxa"/>
          </w:tcPr>
          <w:p w14:paraId="559221F8"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Saito-15it</w:t>
            </w:r>
          </w:p>
        </w:tc>
        <w:tc>
          <w:tcPr>
            <w:tcW w:w="3544" w:type="dxa"/>
          </w:tcPr>
          <w:p w14:paraId="622DFC49" w14:textId="77777777" w:rsidR="003F39FE" w:rsidRPr="00C11A5F" w:rsidRDefault="003F39FE" w:rsidP="003F39FE">
            <w:pPr>
              <w:spacing w:line="240" w:lineRule="auto"/>
              <w:rPr>
                <w:rFonts w:cs="Calibri"/>
                <w:color w:val="000000" w:themeColor="text1"/>
              </w:rPr>
            </w:pPr>
            <w:r w:rsidRPr="00C11A5F">
              <w:rPr>
                <w:rFonts w:cs="Calibri"/>
                <w:color w:val="000000" w:themeColor="text1"/>
              </w:rPr>
              <w:t>1.0%</w:t>
            </w:r>
          </w:p>
        </w:tc>
      </w:tr>
    </w:tbl>
    <w:p w14:paraId="3BC02A3C" w14:textId="77777777" w:rsidR="002D2A69" w:rsidRPr="00C11A5F" w:rsidRDefault="002D2A69" w:rsidP="00775790">
      <w:pPr>
        <w:spacing w:after="200" w:line="276" w:lineRule="auto"/>
        <w:rPr>
          <w:rFonts w:cs="Calibri"/>
          <w:color w:val="000000" w:themeColor="text1"/>
        </w:rPr>
      </w:pPr>
    </w:p>
    <w:p w14:paraId="190055EB" w14:textId="6D4BBC77" w:rsidR="003F39FE" w:rsidRPr="00C11A5F" w:rsidRDefault="002D2A69" w:rsidP="00775790">
      <w:pPr>
        <w:spacing w:after="200" w:line="276" w:lineRule="auto"/>
        <w:rPr>
          <w:iCs/>
          <w:color w:val="000000" w:themeColor="text1"/>
        </w:rPr>
      </w:pPr>
      <w:r w:rsidRPr="00C11A5F">
        <w:rPr>
          <w:rFonts w:cs="Calibri"/>
          <w:color w:val="000000" w:themeColor="text1"/>
        </w:rPr>
        <w:t>The HU difference between the 2.0 mg/ml iodine insert and the phantom bulk was approximately 80HU, as extreme example. Differences found in the patient example between contrast-enhanced and non-contrast 80 kVp images showed HU differences of maximum 7HU. Converted to RED, this only introduces a small and negligible RED error.</w:t>
      </w:r>
    </w:p>
    <w:p w14:paraId="270A7070" w14:textId="439A0DFF" w:rsidR="00F529A9" w:rsidRPr="00C11A5F" w:rsidRDefault="00F529A9">
      <w:pPr>
        <w:spacing w:after="200" w:line="276" w:lineRule="auto"/>
        <w:jc w:val="left"/>
        <w:rPr>
          <w:iCs/>
        </w:rPr>
      </w:pPr>
      <w:r w:rsidRPr="00C11A5F">
        <w:rPr>
          <w:rFonts w:cs="Calibri"/>
          <w:noProof/>
          <w:color w:val="4F81BD" w:themeColor="accent1"/>
        </w:rPr>
        <w:lastRenderedPageBreak/>
        <w:drawing>
          <wp:inline distT="0" distB="0" distL="0" distR="0" wp14:anchorId="45B363A6" wp14:editId="0E02A6CF">
            <wp:extent cx="5724939" cy="4892487"/>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odineExample.png"/>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732922" cy="4899310"/>
                    </a:xfrm>
                    <a:prstGeom prst="rect">
                      <a:avLst/>
                    </a:prstGeom>
                    <a:ln>
                      <a:noFill/>
                    </a:ln>
                    <a:extLst>
                      <a:ext uri="{53640926-AAD7-44D8-BBD7-CCE9431645EC}">
                        <a14:shadowObscured xmlns:a14="http://schemas.microsoft.com/office/drawing/2010/main"/>
                      </a:ext>
                    </a:extLst>
                  </pic:spPr>
                </pic:pic>
              </a:graphicData>
            </a:graphic>
          </wp:inline>
        </w:drawing>
      </w:r>
    </w:p>
    <w:p w14:paraId="3FB33F8B" w14:textId="2F4DFF80" w:rsidR="00F529A9" w:rsidRPr="00C11A5F" w:rsidRDefault="00F529A9" w:rsidP="00F529A9">
      <w:pPr>
        <w:outlineLvl w:val="0"/>
        <w:rPr>
          <w:iCs/>
        </w:rPr>
      </w:pPr>
      <w:r w:rsidRPr="00C11A5F">
        <w:rPr>
          <w:b/>
          <w:iCs/>
        </w:rPr>
        <w:t xml:space="preserve">Figure S5. </w:t>
      </w:r>
      <w:r w:rsidRPr="00C11A5F">
        <w:rPr>
          <w:iCs/>
        </w:rPr>
        <w:t xml:space="preserve">(a) imaging setup of the 062M phantom (CIRS) with the iodine insert 2.0 mg/ml in the middle, (b) depicts the SECT scan of the imaging setup acquired at 80 kVp, (c) shows the real patient tumor (not the virtual tumor used for dose calculations in this study) in a 80 kVp CT reconstruction where two regions-of-interest were drawn to investigate the mean </w:t>
      </w:r>
      <w:r w:rsidR="00775790" w:rsidRPr="00C11A5F">
        <w:rPr>
          <w:iCs/>
        </w:rPr>
        <w:t xml:space="preserve">absolute </w:t>
      </w:r>
      <w:r w:rsidRPr="00C11A5F">
        <w:rPr>
          <w:iCs/>
        </w:rPr>
        <w:t>Hounsfield Units for brain tissue (50</w:t>
      </w:r>
      <w:r w:rsidRPr="00C11A5F">
        <w:rPr>
          <w:iCs/>
        </w:rPr>
        <w:sym w:font="Symbol" w:char="F0B1"/>
      </w:r>
      <w:r w:rsidRPr="00C11A5F">
        <w:rPr>
          <w:iCs/>
        </w:rPr>
        <w:t>17 HU) and the tumor (90</w:t>
      </w:r>
      <w:r w:rsidRPr="00C11A5F">
        <w:rPr>
          <w:iCs/>
        </w:rPr>
        <w:sym w:font="Symbol" w:char="F0B1"/>
      </w:r>
      <w:r w:rsidRPr="00C11A5F">
        <w:rPr>
          <w:iCs/>
        </w:rPr>
        <w:t>26 HU).</w:t>
      </w:r>
    </w:p>
    <w:p w14:paraId="0817BAA5" w14:textId="5A9991DC" w:rsidR="00F529A9" w:rsidRPr="00C11A5F" w:rsidRDefault="00F529A9">
      <w:pPr>
        <w:spacing w:after="200" w:line="276" w:lineRule="auto"/>
        <w:jc w:val="left"/>
        <w:rPr>
          <w:iCs/>
        </w:rPr>
      </w:pPr>
      <w:r w:rsidRPr="00C11A5F">
        <w:rPr>
          <w:iCs/>
        </w:rPr>
        <w:br w:type="page"/>
      </w:r>
    </w:p>
    <w:p w14:paraId="606FA82D" w14:textId="76225B12" w:rsidR="001845A0" w:rsidRPr="00C11A5F" w:rsidRDefault="00A042CA" w:rsidP="00EA1C96">
      <w:pPr>
        <w:pStyle w:val="ListParagraph"/>
        <w:numPr>
          <w:ilvl w:val="0"/>
          <w:numId w:val="1"/>
        </w:numPr>
        <w:outlineLvl w:val="0"/>
        <w:rPr>
          <w:b/>
        </w:rPr>
      </w:pPr>
      <w:proofErr w:type="spellStart"/>
      <w:r w:rsidRPr="00C11A5F">
        <w:rPr>
          <w:b/>
        </w:rPr>
        <w:lastRenderedPageBreak/>
        <w:t>DirectDensity</w:t>
      </w:r>
      <w:r w:rsidRPr="00C11A5F">
        <w:rPr>
          <w:b/>
          <w:vertAlign w:val="superscript"/>
        </w:rPr>
        <w:t>TM</w:t>
      </w:r>
      <w:proofErr w:type="spellEnd"/>
      <w:r w:rsidRPr="00C11A5F">
        <w:rPr>
          <w:b/>
        </w:rPr>
        <w:t xml:space="preserve"> </w:t>
      </w:r>
      <w:r w:rsidRPr="00C11A5F">
        <w:rPr>
          <w:b/>
          <w:bCs/>
          <w:szCs w:val="24"/>
        </w:rPr>
        <w:t>results for patient #1</w:t>
      </w:r>
    </w:p>
    <w:p w14:paraId="156A4BBC" w14:textId="4ABCAF33" w:rsidR="00A042CA" w:rsidRPr="00C11A5F" w:rsidRDefault="00A042CA" w:rsidP="00A042CA">
      <w:pPr>
        <w:outlineLvl w:val="0"/>
      </w:pPr>
      <w:r w:rsidRPr="00C11A5F">
        <w:t xml:space="preserve">The CT </w:t>
      </w:r>
      <w:r w:rsidR="00C56B3C" w:rsidRPr="00C11A5F">
        <w:t>acquisitions</w:t>
      </w:r>
      <w:r w:rsidRPr="00C11A5F">
        <w:t xml:space="preserve"> for patient #1 were reconstructed using </w:t>
      </w:r>
      <w:proofErr w:type="spellStart"/>
      <w:r w:rsidRPr="00C11A5F">
        <w:t>DirectDensity</w:t>
      </w:r>
      <w:r w:rsidRPr="00C11A5F">
        <w:rPr>
          <w:vertAlign w:val="superscript"/>
        </w:rPr>
        <w:t>TM</w:t>
      </w:r>
      <w:proofErr w:type="spellEnd"/>
      <w:r w:rsidR="00C56B3C" w:rsidRPr="00C11A5F">
        <w:t>.</w:t>
      </w:r>
      <w:r w:rsidRPr="00C11A5F">
        <w:t xml:space="preserve"> </w:t>
      </w:r>
      <w:r w:rsidR="00C56B3C" w:rsidRPr="00C11A5F">
        <w:t>T</w:t>
      </w:r>
      <w:r w:rsidRPr="00C11A5F">
        <w:t xml:space="preserve">he </w:t>
      </w:r>
      <w:r w:rsidR="00C56B3C" w:rsidRPr="00C11A5F">
        <w:t>resulting</w:t>
      </w:r>
      <w:r w:rsidRPr="00C11A5F">
        <w:t xml:space="preserve"> </w:t>
      </w:r>
      <m:oMath>
        <m:r>
          <w:rPr>
            <w:rFonts w:ascii="Cambria Math" w:hAnsi="Cambria Math"/>
          </w:rPr>
          <m:t xml:space="preserve"> </m:t>
        </m:r>
        <m:sSub>
          <m:sSubPr>
            <m:ctrlPr>
              <w:rPr>
                <w:rFonts w:ascii="Cambria Math" w:hAnsi="Cambria Math"/>
                <w:i/>
              </w:rPr>
            </m:ctrlPr>
          </m:sSubPr>
          <m:e>
            <m:r>
              <w:rPr>
                <w:rFonts w:ascii="Cambria Math" w:hAnsi="Cambria Math"/>
              </w:rPr>
              <m:t>ρ</m:t>
            </m:r>
          </m:e>
          <m:sub>
            <m:r>
              <w:rPr>
                <w:rFonts w:ascii="Cambria Math" w:hAnsi="Cambria Math"/>
              </w:rPr>
              <m:t>e</m:t>
            </m:r>
          </m:sub>
        </m:sSub>
      </m:oMath>
      <w:r w:rsidRPr="00C11A5F">
        <w:rPr>
          <w:rFonts w:eastAsiaTheme="minorEastAsia"/>
        </w:rPr>
        <w:t xml:space="preserve">-images were converted to </w:t>
      </w:r>
      <m:oMath>
        <m:r>
          <w:rPr>
            <w:rFonts w:ascii="Cambria Math" w:hAnsi="Cambria Math"/>
          </w:rPr>
          <m:t xml:space="preserve"> </m:t>
        </m:r>
        <m:sSub>
          <m:sSubPr>
            <m:ctrlPr>
              <w:rPr>
                <w:rFonts w:ascii="Cambria Math" w:hAnsi="Cambria Math"/>
                <w:i/>
              </w:rPr>
            </m:ctrlPr>
          </m:sSubPr>
          <m:e>
            <m:r>
              <w:rPr>
                <w:rFonts w:ascii="Cambria Math" w:hAnsi="Cambria Math"/>
              </w:rPr>
              <m:t>ρ</m:t>
            </m:r>
          </m:e>
          <m:sub>
            <m:r>
              <w:rPr>
                <w:rFonts w:ascii="Cambria Math" w:hAnsi="Cambria Math"/>
              </w:rPr>
              <m:t>m</m:t>
            </m:r>
          </m:sub>
        </m:sSub>
      </m:oMath>
      <w:r w:rsidRPr="00C11A5F">
        <w:rPr>
          <w:rFonts w:eastAsiaTheme="minorEastAsia"/>
        </w:rPr>
        <w:t xml:space="preserve"> as explained in </w:t>
      </w:r>
      <w:r w:rsidR="00C56B3C" w:rsidRPr="00C11A5F">
        <w:rPr>
          <w:rFonts w:eastAsiaTheme="minorEastAsia"/>
        </w:rPr>
        <w:t xml:space="preserve">subsection </w:t>
      </w:r>
      <w:r w:rsidR="00F360D8" w:rsidRPr="00C11A5F">
        <w:rPr>
          <w:rFonts w:eastAsiaTheme="minorEastAsia"/>
        </w:rPr>
        <w:t>“</w:t>
      </w:r>
      <w:r w:rsidR="00C56B3C" w:rsidRPr="00C11A5F">
        <w:rPr>
          <w:rFonts w:eastAsiaTheme="minorEastAsia"/>
        </w:rPr>
        <w:t>CT</w:t>
      </w:r>
      <w:r w:rsidRPr="00C11A5F">
        <w:t xml:space="preserve"> protocol and post-processing”. The average </w:t>
      </w:r>
      <m:oMath>
        <m:r>
          <w:rPr>
            <w:rFonts w:ascii="Cambria Math" w:hAnsi="Cambria Math"/>
          </w:rPr>
          <m:t xml:space="preserve"> </m:t>
        </m:r>
        <m:sSub>
          <m:sSubPr>
            <m:ctrlPr>
              <w:rPr>
                <w:rFonts w:ascii="Cambria Math" w:hAnsi="Cambria Math"/>
                <w:i/>
              </w:rPr>
            </m:ctrlPr>
          </m:sSubPr>
          <m:e>
            <m:r>
              <w:rPr>
                <w:rFonts w:ascii="Cambria Math" w:hAnsi="Cambria Math"/>
              </w:rPr>
              <m:t>ρ</m:t>
            </m:r>
          </m:e>
          <m:sub>
            <m:r>
              <w:rPr>
                <w:rFonts w:ascii="Cambria Math" w:hAnsi="Cambria Math"/>
              </w:rPr>
              <m:t>m</m:t>
            </m:r>
          </m:sub>
        </m:sSub>
      </m:oMath>
      <w:r w:rsidRPr="00C11A5F">
        <w:rPr>
          <w:rFonts w:eastAsiaTheme="minorEastAsia"/>
        </w:rPr>
        <w:t xml:space="preserve"> </w:t>
      </w:r>
      <w:r w:rsidRPr="00C11A5F">
        <w:t>difference</w:t>
      </w:r>
      <w:r w:rsidR="00F360D8" w:rsidRPr="00C11A5F">
        <w:t xml:space="preserve"> (± 1 standard deviation)</w:t>
      </w:r>
      <w:r w:rsidR="000350B4" w:rsidRPr="00C11A5F">
        <w:t xml:space="preserve"> over the whole CT scan</w:t>
      </w:r>
      <w:r w:rsidRPr="00C11A5F">
        <w:t xml:space="preserve"> </w:t>
      </w:r>
      <w:r w:rsidRPr="00C11A5F">
        <w:rPr>
          <w:color w:val="000000" w:themeColor="text1"/>
        </w:rPr>
        <w:t xml:space="preserve">between the </w:t>
      </w:r>
      <w:proofErr w:type="spellStart"/>
      <w:r w:rsidR="002B6EC8" w:rsidRPr="00C11A5F">
        <w:rPr>
          <w:color w:val="000000" w:themeColor="text1"/>
        </w:rPr>
        <w:t>DirectDensity</w:t>
      </w:r>
      <w:r w:rsidR="002B6EC8" w:rsidRPr="00C11A5F">
        <w:rPr>
          <w:color w:val="000000" w:themeColor="text1"/>
          <w:vertAlign w:val="superscript"/>
        </w:rPr>
        <w:t>TM</w:t>
      </w:r>
      <w:proofErr w:type="spellEnd"/>
      <w:r w:rsidR="002B6EC8" w:rsidRPr="00C11A5F">
        <w:rPr>
          <w:color w:val="000000" w:themeColor="text1"/>
        </w:rPr>
        <w:t xml:space="preserve"> image and the </w:t>
      </w:r>
      <w:r w:rsidRPr="00C11A5F">
        <w:rPr>
          <w:rFonts w:eastAsiaTheme="minorEastAsia"/>
          <w:color w:val="000000" w:themeColor="text1"/>
        </w:rPr>
        <w:t xml:space="preserve">CT2RED image </w:t>
      </w:r>
      <w:r w:rsidRPr="00C11A5F">
        <w:rPr>
          <w:color w:val="000000" w:themeColor="text1"/>
        </w:rPr>
        <w:t xml:space="preserve">was </w:t>
      </w:r>
      <w:r w:rsidRPr="00C11A5F">
        <w:rPr>
          <w:rFonts w:eastAsiaTheme="minorEastAsia"/>
          <w:color w:val="000000" w:themeColor="text1"/>
        </w:rPr>
        <w:t>0.00±0.02</w:t>
      </w:r>
      <w:r w:rsidRPr="00C11A5F">
        <w:rPr>
          <w:color w:val="000000" w:themeColor="text1"/>
        </w:rPr>
        <w:t xml:space="preserve"> g/cm³. </w:t>
      </w:r>
      <w:r w:rsidRPr="00C11A5F">
        <w:t xml:space="preserve">The dose differences for the plan calculated in the CT2RED set and recalculated with </w:t>
      </w:r>
      <w:proofErr w:type="spellStart"/>
      <w:r w:rsidRPr="00C11A5F">
        <w:t>DirectDensity</w:t>
      </w:r>
      <w:r w:rsidRPr="00C11A5F">
        <w:rPr>
          <w:vertAlign w:val="superscript"/>
        </w:rPr>
        <w:t>TM</w:t>
      </w:r>
      <w:proofErr w:type="spellEnd"/>
      <w:r w:rsidRPr="00C11A5F">
        <w:t xml:space="preserve"> were within </w:t>
      </w:r>
      <w:r w:rsidR="000D2798" w:rsidRPr="00C11A5F">
        <w:t>1</w:t>
      </w:r>
      <w:r w:rsidR="00F74DDF" w:rsidRPr="00C11A5F">
        <w:t xml:space="preserve">%. </w:t>
      </w:r>
      <w:r w:rsidRPr="00C11A5F">
        <w:rPr>
          <w:color w:val="4F81BD" w:themeColor="accent1"/>
        </w:rPr>
        <w:t>Figure S</w:t>
      </w:r>
      <w:r w:rsidR="00F529A9" w:rsidRPr="00C11A5F">
        <w:rPr>
          <w:color w:val="4F81BD" w:themeColor="accent1"/>
        </w:rPr>
        <w:t>6</w:t>
      </w:r>
      <w:r w:rsidRPr="00C11A5F">
        <w:rPr>
          <w:color w:val="4F81BD" w:themeColor="accent1"/>
        </w:rPr>
        <w:t xml:space="preserve"> </w:t>
      </w:r>
      <w:r w:rsidRPr="00C11A5F">
        <w:t xml:space="preserve">summarizes the results for </w:t>
      </w:r>
      <w:proofErr w:type="spellStart"/>
      <w:r w:rsidRPr="00C11A5F">
        <w:t>DirectDensity</w:t>
      </w:r>
      <w:r w:rsidRPr="00C11A5F">
        <w:rPr>
          <w:vertAlign w:val="superscript"/>
        </w:rPr>
        <w:t>TM</w:t>
      </w:r>
      <w:proofErr w:type="spellEnd"/>
      <w:r w:rsidRPr="00C11A5F">
        <w:t xml:space="preserve">: absolute </w:t>
      </w:r>
      <m:oMath>
        <m:r>
          <w:rPr>
            <w:rFonts w:ascii="Cambria Math" w:hAnsi="Cambria Math"/>
          </w:rPr>
          <m:t xml:space="preserve"> </m:t>
        </m:r>
        <m:sSub>
          <m:sSubPr>
            <m:ctrlPr>
              <w:rPr>
                <w:rFonts w:ascii="Cambria Math" w:hAnsi="Cambria Math"/>
                <w:i/>
              </w:rPr>
            </m:ctrlPr>
          </m:sSubPr>
          <m:e>
            <m:r>
              <w:rPr>
                <w:rFonts w:ascii="Cambria Math" w:hAnsi="Cambria Math"/>
              </w:rPr>
              <m:t>ρ</m:t>
            </m:r>
          </m:e>
          <m:sub>
            <m:r>
              <w:rPr>
                <w:rFonts w:ascii="Cambria Math" w:hAnsi="Cambria Math"/>
              </w:rPr>
              <m:t>m</m:t>
            </m:r>
          </m:sub>
        </m:sSub>
      </m:oMath>
      <w:r w:rsidRPr="00C11A5F">
        <w:rPr>
          <w:rFonts w:eastAsiaTheme="minorEastAsia"/>
        </w:rPr>
        <w:t xml:space="preserve"> differences with respect to the CT2RED image for a representative slice, the </w:t>
      </w:r>
      <w:r w:rsidR="002B6EC8" w:rsidRPr="00C11A5F">
        <w:rPr>
          <w:rFonts w:eastAsiaTheme="minorEastAsia"/>
        </w:rPr>
        <w:t>frequency distribution</w:t>
      </w:r>
      <w:r w:rsidRPr="00C11A5F">
        <w:rPr>
          <w:rFonts w:eastAsiaTheme="minorEastAsia"/>
        </w:rPr>
        <w:t xml:space="preserve"> calculated over all slices </w:t>
      </w:r>
      <w:r w:rsidR="002B6EC8" w:rsidRPr="00C11A5F">
        <w:rPr>
          <w:rFonts w:eastAsiaTheme="minorEastAsia"/>
        </w:rPr>
        <w:t xml:space="preserve">(excl. air cavities and dental filling artifacts) </w:t>
      </w:r>
      <w:r w:rsidRPr="00C11A5F">
        <w:rPr>
          <w:rFonts w:eastAsiaTheme="minorEastAsia"/>
        </w:rPr>
        <w:t>and the result</w:t>
      </w:r>
      <w:r w:rsidR="008869CE" w:rsidRPr="00C11A5F">
        <w:rPr>
          <w:rFonts w:eastAsiaTheme="minorEastAsia"/>
        </w:rPr>
        <w:t>ing</w:t>
      </w:r>
      <w:r w:rsidRPr="00C11A5F">
        <w:rPr>
          <w:rFonts w:eastAsiaTheme="minorEastAsia"/>
        </w:rPr>
        <w:t xml:space="preserve"> dose difference for the proton </w:t>
      </w:r>
      <w:r w:rsidR="002B6EC8" w:rsidRPr="00C11A5F">
        <w:rPr>
          <w:rFonts w:eastAsiaTheme="minorEastAsia"/>
        </w:rPr>
        <w:t xml:space="preserve">treatment </w:t>
      </w:r>
      <w:r w:rsidRPr="00C11A5F">
        <w:rPr>
          <w:rFonts w:eastAsiaTheme="minorEastAsia"/>
        </w:rPr>
        <w:t xml:space="preserve">plan with three beams. </w:t>
      </w:r>
    </w:p>
    <w:p w14:paraId="249724A4" w14:textId="5E9D831D" w:rsidR="00A042CA" w:rsidRPr="00C11A5F" w:rsidRDefault="009A0BB4" w:rsidP="00A042CA">
      <w:pPr>
        <w:outlineLvl w:val="0"/>
      </w:pPr>
      <w:r w:rsidRPr="00C11A5F">
        <w:rPr>
          <w:noProof/>
        </w:rPr>
        <w:drawing>
          <wp:inline distT="0" distB="0" distL="0" distR="0" wp14:anchorId="610BA363" wp14:editId="282287D6">
            <wp:extent cx="6006549" cy="1765190"/>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s/Figure_Supp_DD.pn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054675" cy="1779333"/>
                    </a:xfrm>
                    <a:prstGeom prst="rect">
                      <a:avLst/>
                    </a:prstGeom>
                    <a:noFill/>
                    <a:ln>
                      <a:noFill/>
                    </a:ln>
                  </pic:spPr>
                </pic:pic>
              </a:graphicData>
            </a:graphic>
          </wp:inline>
        </w:drawing>
      </w:r>
    </w:p>
    <w:p w14:paraId="1AF020D9" w14:textId="773DA42A" w:rsidR="00A042CA" w:rsidRPr="001A0DB0" w:rsidRDefault="00A042CA" w:rsidP="00A042CA">
      <w:pPr>
        <w:outlineLvl w:val="0"/>
        <w:rPr>
          <w:iCs/>
        </w:rPr>
      </w:pPr>
      <w:r w:rsidRPr="00C11A5F">
        <w:rPr>
          <w:b/>
          <w:iCs/>
        </w:rPr>
        <w:t>Figure S</w:t>
      </w:r>
      <w:r w:rsidR="00F529A9" w:rsidRPr="00C11A5F">
        <w:rPr>
          <w:b/>
          <w:iCs/>
        </w:rPr>
        <w:t>6</w:t>
      </w:r>
      <w:r w:rsidRPr="00C11A5F">
        <w:rPr>
          <w:b/>
          <w:iCs/>
        </w:rPr>
        <w:t xml:space="preserve">. </w:t>
      </w:r>
      <w:r w:rsidRPr="00C11A5F">
        <w:rPr>
          <w:iCs/>
        </w:rPr>
        <w:t xml:space="preserve">Left panel: </w:t>
      </w:r>
      <w:r w:rsidRPr="00C11A5F">
        <w:rPr>
          <w:rFonts w:eastAsiaTheme="minorEastAsia"/>
          <w:iCs/>
        </w:rPr>
        <w:t>Absolute mass-density differences (</w:t>
      </w:r>
      <m:oMath>
        <m:r>
          <m:rPr>
            <m:sty m:val="p"/>
          </m:rPr>
          <w:rPr>
            <w:rFonts w:ascii="Cambria Math" w:eastAsiaTheme="minorEastAsia" w:hAnsi="Cambria Math"/>
          </w:rPr>
          <m:t>Δ</m:t>
        </m:r>
        <m:sSub>
          <m:sSubPr>
            <m:ctrlPr>
              <w:rPr>
                <w:rFonts w:ascii="Cambria Math" w:hAnsi="Cambria Math"/>
                <w:iCs/>
              </w:rPr>
            </m:ctrlPr>
          </m:sSubPr>
          <m:e>
            <m:r>
              <m:rPr>
                <m:sty m:val="p"/>
              </m:rPr>
              <w:rPr>
                <w:rFonts w:ascii="Cambria Math" w:hAnsi="Cambria Math"/>
              </w:rPr>
              <m:t>ρ</m:t>
            </m:r>
          </m:e>
          <m:sub>
            <m:r>
              <m:rPr>
                <m:sty m:val="p"/>
              </m:rPr>
              <w:rPr>
                <w:rFonts w:ascii="Cambria Math" w:hAnsi="Cambria Math"/>
              </w:rPr>
              <m:t>m</m:t>
            </m:r>
          </m:sub>
        </m:sSub>
      </m:oMath>
      <w:r w:rsidRPr="00C11A5F">
        <w:rPr>
          <w:rFonts w:eastAsiaTheme="minorEastAsia"/>
          <w:iCs/>
        </w:rPr>
        <w:t xml:space="preserve">) between </w:t>
      </w:r>
      <w:proofErr w:type="spellStart"/>
      <w:r w:rsidR="002B6EC8" w:rsidRPr="00C11A5F">
        <w:rPr>
          <w:rFonts w:eastAsiaTheme="minorEastAsia"/>
          <w:iCs/>
        </w:rPr>
        <w:t>DirectDensity</w:t>
      </w:r>
      <w:r w:rsidR="002B6EC8" w:rsidRPr="00C11A5F">
        <w:rPr>
          <w:rFonts w:eastAsiaTheme="minorEastAsia"/>
          <w:iCs/>
          <w:vertAlign w:val="superscript"/>
        </w:rPr>
        <w:t>TM</w:t>
      </w:r>
      <w:proofErr w:type="spellEnd"/>
      <w:r w:rsidR="002B6EC8" w:rsidRPr="00C11A5F">
        <w:rPr>
          <w:rFonts w:eastAsiaTheme="minorEastAsia"/>
          <w:iCs/>
        </w:rPr>
        <w:t xml:space="preserve"> and the </w:t>
      </w:r>
      <w:r w:rsidRPr="00C11A5F">
        <w:rPr>
          <w:rFonts w:eastAsiaTheme="minorEastAsia"/>
          <w:iCs/>
        </w:rPr>
        <w:t>conventional CT2RED conversion method</w:t>
      </w:r>
      <w:r w:rsidRPr="00C11A5F">
        <w:rPr>
          <w:iCs/>
        </w:rPr>
        <w:t>. Middle panel: Probability histogram calculated over the entire CT</w:t>
      </w:r>
      <w:r w:rsidR="002B6EC8" w:rsidRPr="00C11A5F">
        <w:rPr>
          <w:iCs/>
        </w:rPr>
        <w:t xml:space="preserve"> (excl. air cavities and dental filling artifacts)</w:t>
      </w:r>
      <w:r w:rsidRPr="00C11A5F">
        <w:rPr>
          <w:iCs/>
        </w:rPr>
        <w:t xml:space="preserve">.  Right panel: dose differences between the plan calculated on the CT2RED images and the same plan evaluated on the </w:t>
      </w:r>
      <w:proofErr w:type="spellStart"/>
      <w:r w:rsidRPr="00C11A5F">
        <w:rPr>
          <w:iCs/>
        </w:rPr>
        <w:t>DirectDensity</w:t>
      </w:r>
      <w:r w:rsidRPr="00C11A5F">
        <w:rPr>
          <w:iCs/>
          <w:vertAlign w:val="superscript"/>
        </w:rPr>
        <w:t>TM</w:t>
      </w:r>
      <w:proofErr w:type="spellEnd"/>
      <w:r w:rsidRPr="00C11A5F">
        <w:rPr>
          <w:iCs/>
        </w:rPr>
        <w:t xml:space="preserve"> set.</w:t>
      </w:r>
    </w:p>
    <w:sectPr w:rsidR="00A042CA" w:rsidRPr="001A0D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135DAE"/>
    <w:multiLevelType w:val="hybridMultilevel"/>
    <w:tmpl w:val="1826D3C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4C751E"/>
    <w:multiLevelType w:val="hybridMultilevel"/>
    <w:tmpl w:val="EA3A376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E2A1323"/>
    <w:multiLevelType w:val="hybridMultilevel"/>
    <w:tmpl w:val="9E361BC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1CA290F"/>
    <w:multiLevelType w:val="hybridMultilevel"/>
    <w:tmpl w:val="C3C4CCD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8F7"/>
    <w:rsid w:val="000350B4"/>
    <w:rsid w:val="0003776C"/>
    <w:rsid w:val="00051118"/>
    <w:rsid w:val="00081CEA"/>
    <w:rsid w:val="000906A4"/>
    <w:rsid w:val="0009538E"/>
    <w:rsid w:val="000D2798"/>
    <w:rsid w:val="001408F7"/>
    <w:rsid w:val="001845A0"/>
    <w:rsid w:val="001A0DB0"/>
    <w:rsid w:val="001E1133"/>
    <w:rsid w:val="002032AD"/>
    <w:rsid w:val="00205FAC"/>
    <w:rsid w:val="00233AA7"/>
    <w:rsid w:val="0026308A"/>
    <w:rsid w:val="00297EFC"/>
    <w:rsid w:val="002A5F3D"/>
    <w:rsid w:val="002B6EC8"/>
    <w:rsid w:val="002D2A69"/>
    <w:rsid w:val="00322A30"/>
    <w:rsid w:val="00326157"/>
    <w:rsid w:val="003843B8"/>
    <w:rsid w:val="003F39FE"/>
    <w:rsid w:val="00410492"/>
    <w:rsid w:val="00422512"/>
    <w:rsid w:val="004355A1"/>
    <w:rsid w:val="004439DA"/>
    <w:rsid w:val="00454D9B"/>
    <w:rsid w:val="004762A7"/>
    <w:rsid w:val="004B0506"/>
    <w:rsid w:val="004E34EA"/>
    <w:rsid w:val="00504553"/>
    <w:rsid w:val="0059548D"/>
    <w:rsid w:val="00600DE6"/>
    <w:rsid w:val="00606EFC"/>
    <w:rsid w:val="00621765"/>
    <w:rsid w:val="0066085C"/>
    <w:rsid w:val="006944A4"/>
    <w:rsid w:val="006B7A8B"/>
    <w:rsid w:val="006D589A"/>
    <w:rsid w:val="00703FC6"/>
    <w:rsid w:val="00747E1F"/>
    <w:rsid w:val="00775790"/>
    <w:rsid w:val="0079018A"/>
    <w:rsid w:val="007B4FDD"/>
    <w:rsid w:val="008265D2"/>
    <w:rsid w:val="0083262B"/>
    <w:rsid w:val="00880E34"/>
    <w:rsid w:val="008869CE"/>
    <w:rsid w:val="00952814"/>
    <w:rsid w:val="009834EC"/>
    <w:rsid w:val="009870B7"/>
    <w:rsid w:val="009A0BB4"/>
    <w:rsid w:val="009A3580"/>
    <w:rsid w:val="009D6A29"/>
    <w:rsid w:val="009D76B0"/>
    <w:rsid w:val="00A042CA"/>
    <w:rsid w:val="00A37374"/>
    <w:rsid w:val="00A545A4"/>
    <w:rsid w:val="00A908CE"/>
    <w:rsid w:val="00B0507C"/>
    <w:rsid w:val="00B55312"/>
    <w:rsid w:val="00B832C5"/>
    <w:rsid w:val="00BF4421"/>
    <w:rsid w:val="00C11A5F"/>
    <w:rsid w:val="00C15B54"/>
    <w:rsid w:val="00C345EF"/>
    <w:rsid w:val="00C55201"/>
    <w:rsid w:val="00C552A6"/>
    <w:rsid w:val="00C56B3C"/>
    <w:rsid w:val="00D52A87"/>
    <w:rsid w:val="00DF7AA2"/>
    <w:rsid w:val="00E1559A"/>
    <w:rsid w:val="00E35D8A"/>
    <w:rsid w:val="00E5447D"/>
    <w:rsid w:val="00EA1C96"/>
    <w:rsid w:val="00EB747D"/>
    <w:rsid w:val="00ED21D5"/>
    <w:rsid w:val="00EF7562"/>
    <w:rsid w:val="00F05E50"/>
    <w:rsid w:val="00F143E6"/>
    <w:rsid w:val="00F23E66"/>
    <w:rsid w:val="00F34424"/>
    <w:rsid w:val="00F3466D"/>
    <w:rsid w:val="00F360D8"/>
    <w:rsid w:val="00F529A9"/>
    <w:rsid w:val="00F74DDF"/>
    <w:rsid w:val="00F76B1C"/>
    <w:rsid w:val="00FD2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96159"/>
  <w15:chartTrackingRefBased/>
  <w15:docId w15:val="{35C68EE0-94BA-4F1E-85FC-D716626FA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908CE"/>
    <w:pPr>
      <w:spacing w:after="160" w:line="312"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8F7"/>
    <w:pPr>
      <w:ind w:left="720"/>
      <w:contextualSpacing/>
    </w:pPr>
  </w:style>
  <w:style w:type="character" w:styleId="CommentReference">
    <w:name w:val="annotation reference"/>
    <w:basedOn w:val="DefaultParagraphFont"/>
    <w:uiPriority w:val="99"/>
    <w:semiHidden/>
    <w:unhideWhenUsed/>
    <w:rsid w:val="001408F7"/>
    <w:rPr>
      <w:sz w:val="16"/>
      <w:szCs w:val="16"/>
    </w:rPr>
  </w:style>
  <w:style w:type="paragraph" w:styleId="CommentText">
    <w:name w:val="annotation text"/>
    <w:basedOn w:val="Normal"/>
    <w:link w:val="CommentTextChar"/>
    <w:uiPriority w:val="99"/>
    <w:semiHidden/>
    <w:unhideWhenUsed/>
    <w:rsid w:val="00F3466D"/>
    <w:pPr>
      <w:spacing w:line="240" w:lineRule="auto"/>
    </w:pPr>
    <w:rPr>
      <w:sz w:val="20"/>
      <w:szCs w:val="20"/>
    </w:rPr>
  </w:style>
  <w:style w:type="character" w:customStyle="1" w:styleId="CommentTextChar">
    <w:name w:val="Comment Text Char"/>
    <w:basedOn w:val="DefaultParagraphFont"/>
    <w:link w:val="CommentText"/>
    <w:uiPriority w:val="99"/>
    <w:semiHidden/>
    <w:rsid w:val="00F3466D"/>
    <w:rPr>
      <w:sz w:val="20"/>
      <w:szCs w:val="20"/>
    </w:rPr>
  </w:style>
  <w:style w:type="paragraph" w:styleId="CommentSubject">
    <w:name w:val="annotation subject"/>
    <w:basedOn w:val="CommentText"/>
    <w:next w:val="CommentText"/>
    <w:link w:val="CommentSubjectChar"/>
    <w:uiPriority w:val="99"/>
    <w:semiHidden/>
    <w:unhideWhenUsed/>
    <w:rsid w:val="00F3466D"/>
    <w:rPr>
      <w:b/>
      <w:bCs/>
    </w:rPr>
  </w:style>
  <w:style w:type="character" w:customStyle="1" w:styleId="CommentSubjectChar">
    <w:name w:val="Comment Subject Char"/>
    <w:basedOn w:val="CommentTextChar"/>
    <w:link w:val="CommentSubject"/>
    <w:uiPriority w:val="99"/>
    <w:semiHidden/>
    <w:rsid w:val="00F3466D"/>
    <w:rPr>
      <w:b/>
      <w:bCs/>
      <w:sz w:val="20"/>
      <w:szCs w:val="20"/>
    </w:rPr>
  </w:style>
  <w:style w:type="paragraph" w:styleId="BalloonText">
    <w:name w:val="Balloon Text"/>
    <w:basedOn w:val="Normal"/>
    <w:link w:val="BalloonTextChar"/>
    <w:uiPriority w:val="99"/>
    <w:semiHidden/>
    <w:unhideWhenUsed/>
    <w:rsid w:val="00F3466D"/>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F3466D"/>
    <w:rPr>
      <w:rFonts w:ascii="Times New Roman" w:hAnsi="Times New Roman" w:cs="Times New Roman"/>
      <w:sz w:val="18"/>
      <w:szCs w:val="18"/>
    </w:rPr>
  </w:style>
  <w:style w:type="paragraph" w:styleId="Revision">
    <w:name w:val="Revision"/>
    <w:hidden/>
    <w:uiPriority w:val="99"/>
    <w:semiHidden/>
    <w:rsid w:val="00051118"/>
    <w:pPr>
      <w:spacing w:after="0" w:line="240" w:lineRule="auto"/>
    </w:pPr>
    <w:rPr>
      <w:sz w:val="24"/>
    </w:rPr>
  </w:style>
  <w:style w:type="table" w:styleId="TableGrid">
    <w:name w:val="Table Grid"/>
    <w:basedOn w:val="TableNormal"/>
    <w:uiPriority w:val="39"/>
    <w:rsid w:val="003F39F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1238</TotalTime>
  <Pages>8</Pages>
  <Words>1055</Words>
  <Characters>6019</Characters>
  <Application>Microsoft Office Word</Application>
  <DocSecurity>0</DocSecurity>
  <Lines>50</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van der Heyden</dc:creator>
  <cp:keywords/>
  <dc:description/>
  <cp:lastModifiedBy>Brent van der Heyden</cp:lastModifiedBy>
  <cp:revision>45</cp:revision>
  <dcterms:created xsi:type="dcterms:W3CDTF">2018-09-17T11:34:00Z</dcterms:created>
  <dcterms:modified xsi:type="dcterms:W3CDTF">2019-10-15T21:03:00Z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http://www.zotero.org/styles/international-journal-of-radiation-oncology-biology-physics</vt:lpwstr>
  </property>
  <property fmtid="{D5CDD505-2E9C-101B-9397-08002B2CF9AE}" pid="15" name="Mendeley Recent Style Name 6_1">
    <vt:lpwstr>International Journal of Radiation Oncology, Biology, Physics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