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F0" w:rsidRDefault="001E5D1B" w:rsidP="00F82E5A">
      <w:pPr>
        <w:rPr>
          <w:rFonts w:ascii="Arial" w:hAnsi="Arial" w:cs="Arial"/>
          <w:b/>
          <w:sz w:val="24"/>
          <w:lang w:val="en-GB"/>
        </w:rPr>
      </w:pPr>
      <w:r>
        <w:rPr>
          <w:rFonts w:ascii="Arial" w:hAnsi="Arial" w:cs="Arial"/>
          <w:b/>
          <w:sz w:val="24"/>
          <w:lang w:val="en-GB"/>
        </w:rPr>
        <w:t>Supplementary Material</w:t>
      </w:r>
    </w:p>
    <w:p w:rsidR="0025769E" w:rsidRDefault="00B72D64" w:rsidP="00E9794E">
      <w:pPr>
        <w:numPr>
          <w:ilvl w:val="0"/>
          <w:numId w:val="1"/>
        </w:numPr>
        <w:rPr>
          <w:rFonts w:ascii="Times New Roman" w:hAnsi="Times New Roman"/>
          <w:b/>
          <w:sz w:val="20"/>
          <w:lang w:val="en-GB"/>
        </w:rPr>
      </w:pPr>
      <w:r>
        <w:rPr>
          <w:rFonts w:ascii="Times New Roman" w:hAnsi="Times New Roman"/>
          <w:b/>
          <w:sz w:val="20"/>
          <w:lang w:val="en-GB"/>
        </w:rPr>
        <w:t xml:space="preserve">Supplementary </w:t>
      </w:r>
      <w:r w:rsidR="009138F0" w:rsidRPr="00E40E6E">
        <w:rPr>
          <w:rFonts w:ascii="Times New Roman" w:hAnsi="Times New Roman"/>
          <w:b/>
          <w:sz w:val="20"/>
          <w:lang w:val="en-GB"/>
        </w:rPr>
        <w:t>Methods.</w:t>
      </w:r>
    </w:p>
    <w:p w:rsidR="003A63E4" w:rsidRPr="00E40E6E" w:rsidRDefault="00B72D64" w:rsidP="00E9794E">
      <w:pPr>
        <w:numPr>
          <w:ilvl w:val="0"/>
          <w:numId w:val="1"/>
        </w:numPr>
        <w:rPr>
          <w:rFonts w:ascii="Times New Roman" w:hAnsi="Times New Roman"/>
          <w:b/>
          <w:sz w:val="20"/>
          <w:lang w:val="en-GB"/>
        </w:rPr>
      </w:pPr>
      <w:r>
        <w:rPr>
          <w:rFonts w:ascii="Times New Roman" w:hAnsi="Times New Roman"/>
          <w:b/>
          <w:sz w:val="20"/>
          <w:lang w:val="en-GB"/>
        </w:rPr>
        <w:t xml:space="preserve">Supplementary </w:t>
      </w:r>
      <w:r w:rsidR="003A63E4">
        <w:rPr>
          <w:rFonts w:ascii="Times New Roman" w:hAnsi="Times New Roman"/>
          <w:b/>
          <w:sz w:val="20"/>
          <w:lang w:val="en-GB"/>
        </w:rPr>
        <w:t>References.</w:t>
      </w:r>
    </w:p>
    <w:p w:rsidR="00AD5ACC" w:rsidRPr="00E40E6E" w:rsidRDefault="00B72D64" w:rsidP="00AD5ACC">
      <w:pPr>
        <w:numPr>
          <w:ilvl w:val="0"/>
          <w:numId w:val="1"/>
        </w:numPr>
        <w:rPr>
          <w:rFonts w:ascii="Times New Roman" w:hAnsi="Times New Roman"/>
          <w:b/>
          <w:sz w:val="20"/>
          <w:lang w:val="en-GB"/>
        </w:rPr>
      </w:pPr>
      <w:r>
        <w:rPr>
          <w:rFonts w:ascii="Times New Roman" w:hAnsi="Times New Roman"/>
          <w:b/>
          <w:sz w:val="20"/>
          <w:lang w:val="en-GB"/>
        </w:rPr>
        <w:t>Supplementary</w:t>
      </w:r>
      <w:r w:rsidRPr="00E40E6E">
        <w:rPr>
          <w:rFonts w:ascii="Times New Roman" w:hAnsi="Times New Roman"/>
          <w:b/>
          <w:sz w:val="20"/>
          <w:lang w:val="en-GB"/>
        </w:rPr>
        <w:t xml:space="preserve"> </w:t>
      </w:r>
      <w:r w:rsidR="00AD5ACC" w:rsidRPr="00E40E6E">
        <w:rPr>
          <w:rFonts w:ascii="Times New Roman" w:hAnsi="Times New Roman"/>
          <w:b/>
          <w:sz w:val="20"/>
          <w:lang w:val="en-GB"/>
        </w:rPr>
        <w:t>Figure 1: Internal calibration plot of predicted versus observed median overall survival.</w:t>
      </w:r>
    </w:p>
    <w:p w:rsidR="00AD5ACC" w:rsidRDefault="00B72D64" w:rsidP="00AD5ACC">
      <w:pPr>
        <w:numPr>
          <w:ilvl w:val="0"/>
          <w:numId w:val="1"/>
        </w:numPr>
        <w:rPr>
          <w:rFonts w:ascii="Times New Roman" w:hAnsi="Times New Roman"/>
          <w:b/>
          <w:sz w:val="20"/>
          <w:lang w:val="en-GB"/>
        </w:rPr>
      </w:pPr>
      <w:r>
        <w:rPr>
          <w:rFonts w:ascii="Times New Roman" w:hAnsi="Times New Roman"/>
          <w:b/>
          <w:sz w:val="20"/>
          <w:lang w:val="en-GB"/>
        </w:rPr>
        <w:t>Supplementary</w:t>
      </w:r>
      <w:r w:rsidRPr="00E40E6E">
        <w:rPr>
          <w:rFonts w:ascii="Times New Roman" w:hAnsi="Times New Roman"/>
          <w:b/>
          <w:sz w:val="20"/>
          <w:lang w:val="en-GB"/>
        </w:rPr>
        <w:t xml:space="preserve"> </w:t>
      </w:r>
      <w:r w:rsidR="00AD5ACC" w:rsidRPr="00E40E6E">
        <w:rPr>
          <w:rFonts w:ascii="Times New Roman" w:hAnsi="Times New Roman"/>
          <w:b/>
          <w:sz w:val="20"/>
          <w:lang w:val="en-GB"/>
        </w:rPr>
        <w:t>Figure 2: External calibration plot of predicted versus observed median overall survival.</w:t>
      </w:r>
    </w:p>
    <w:p w:rsidR="005A4AD4" w:rsidRPr="00E40E6E" w:rsidRDefault="00B72D64" w:rsidP="005A4AD4">
      <w:pPr>
        <w:numPr>
          <w:ilvl w:val="0"/>
          <w:numId w:val="1"/>
        </w:numPr>
        <w:rPr>
          <w:rFonts w:ascii="Times New Roman" w:hAnsi="Times New Roman"/>
          <w:b/>
          <w:sz w:val="20"/>
          <w:lang w:val="en-GB"/>
        </w:rPr>
      </w:pPr>
      <w:r>
        <w:rPr>
          <w:rFonts w:ascii="Times New Roman" w:hAnsi="Times New Roman"/>
          <w:b/>
          <w:sz w:val="20"/>
          <w:lang w:val="en-GB"/>
        </w:rPr>
        <w:t>Supplementary</w:t>
      </w:r>
      <w:r w:rsidRPr="00E40E6E">
        <w:rPr>
          <w:rFonts w:ascii="Times New Roman" w:hAnsi="Times New Roman"/>
          <w:b/>
          <w:sz w:val="20"/>
          <w:lang w:val="en-GB"/>
        </w:rPr>
        <w:t xml:space="preserve"> </w:t>
      </w:r>
      <w:r w:rsidR="005A4AD4" w:rsidRPr="00E40E6E">
        <w:rPr>
          <w:rFonts w:ascii="Times New Roman" w:hAnsi="Times New Roman"/>
          <w:b/>
          <w:sz w:val="20"/>
          <w:lang w:val="en-GB"/>
        </w:rPr>
        <w:t xml:space="preserve">Figure 3: </w:t>
      </w:r>
      <w:r w:rsidR="005A4AD4" w:rsidRPr="00E40E6E">
        <w:rPr>
          <w:rFonts w:ascii="Times New Roman" w:hAnsi="Times New Roman"/>
          <w:b/>
          <w:sz w:val="20"/>
          <w:lang w:val="en-US"/>
        </w:rPr>
        <w:t>Formula for absolute treatment effect of upfront combination chemotherapy versus sequential chemotherapy in patients with metastatic colorectal cancer.</w:t>
      </w:r>
      <w:r w:rsidR="005A4AD4" w:rsidRPr="00E40E6E">
        <w:rPr>
          <w:rFonts w:ascii="Times New Roman" w:hAnsi="Times New Roman"/>
          <w:b/>
          <w:sz w:val="20"/>
          <w:lang w:val="en-GB"/>
        </w:rPr>
        <w:t xml:space="preserve"> </w:t>
      </w:r>
    </w:p>
    <w:p w:rsidR="005A4AD4" w:rsidRPr="00E40E6E" w:rsidRDefault="00B72D64" w:rsidP="005A4AD4">
      <w:pPr>
        <w:numPr>
          <w:ilvl w:val="0"/>
          <w:numId w:val="1"/>
        </w:numPr>
        <w:rPr>
          <w:rFonts w:ascii="Times New Roman" w:hAnsi="Times New Roman"/>
          <w:b/>
          <w:sz w:val="20"/>
          <w:lang w:val="en-GB"/>
        </w:rPr>
      </w:pPr>
      <w:r>
        <w:rPr>
          <w:rFonts w:ascii="Times New Roman" w:hAnsi="Times New Roman"/>
          <w:b/>
          <w:sz w:val="20"/>
          <w:lang w:val="en-GB"/>
        </w:rPr>
        <w:t>Supplementary</w:t>
      </w:r>
      <w:r w:rsidRPr="00E40E6E">
        <w:rPr>
          <w:rFonts w:ascii="Times New Roman" w:hAnsi="Times New Roman"/>
          <w:b/>
          <w:sz w:val="20"/>
          <w:lang w:val="en-GB"/>
        </w:rPr>
        <w:t xml:space="preserve"> </w:t>
      </w:r>
      <w:r w:rsidR="005A4AD4" w:rsidRPr="00E40E6E">
        <w:rPr>
          <w:rFonts w:ascii="Times New Roman" w:hAnsi="Times New Roman"/>
          <w:b/>
          <w:sz w:val="20"/>
          <w:lang w:val="en-GB"/>
        </w:rPr>
        <w:t>Figure 4: Histogram illustrating the distribution of predicted effect for combination chemotherapy versus sequential chemotherapy in CAIRO patients.</w:t>
      </w:r>
    </w:p>
    <w:p w:rsidR="005A4AD4" w:rsidRDefault="00B72D64" w:rsidP="005A4AD4">
      <w:pPr>
        <w:numPr>
          <w:ilvl w:val="0"/>
          <w:numId w:val="1"/>
        </w:numPr>
        <w:rPr>
          <w:rFonts w:ascii="Times New Roman" w:hAnsi="Times New Roman"/>
          <w:b/>
          <w:sz w:val="20"/>
          <w:lang w:val="en-GB"/>
        </w:rPr>
      </w:pPr>
      <w:r>
        <w:rPr>
          <w:rFonts w:ascii="Times New Roman" w:hAnsi="Times New Roman"/>
          <w:b/>
          <w:sz w:val="20"/>
          <w:lang w:val="en-GB"/>
        </w:rPr>
        <w:t>Supplementary</w:t>
      </w:r>
      <w:r w:rsidRPr="00E40E6E">
        <w:rPr>
          <w:rFonts w:ascii="Times New Roman" w:hAnsi="Times New Roman"/>
          <w:b/>
          <w:sz w:val="20"/>
          <w:lang w:val="en-GB"/>
        </w:rPr>
        <w:t xml:space="preserve"> </w:t>
      </w:r>
      <w:r w:rsidR="005A4AD4" w:rsidRPr="00E40E6E">
        <w:rPr>
          <w:rFonts w:ascii="Times New Roman" w:hAnsi="Times New Roman"/>
          <w:b/>
          <w:sz w:val="20"/>
          <w:lang w:val="en-GB"/>
        </w:rPr>
        <w:t>Figure 5: Histogram illustrating the distribution of predicted effect for combination chemotherapy versus sequential chemotherapy in FOCUS patients.</w:t>
      </w:r>
    </w:p>
    <w:p w:rsidR="004E77A1" w:rsidRPr="003C2433" w:rsidRDefault="004E77A1" w:rsidP="004E77A1">
      <w:pPr>
        <w:numPr>
          <w:ilvl w:val="0"/>
          <w:numId w:val="1"/>
        </w:numPr>
        <w:rPr>
          <w:rFonts w:ascii="Times New Roman" w:hAnsi="Times New Roman"/>
          <w:b/>
          <w:sz w:val="20"/>
          <w:lang w:val="en-GB"/>
        </w:rPr>
      </w:pPr>
      <w:r>
        <w:rPr>
          <w:rFonts w:ascii="Times New Roman" w:hAnsi="Times New Roman"/>
          <w:b/>
          <w:sz w:val="20"/>
          <w:lang w:val="en-GB"/>
        </w:rPr>
        <w:t>Supplementary Table 1</w:t>
      </w:r>
      <w:r w:rsidRPr="004E77A1">
        <w:rPr>
          <w:rFonts w:ascii="Times New Roman" w:hAnsi="Times New Roman"/>
          <w:b/>
          <w:sz w:val="20"/>
          <w:lang w:val="en-US"/>
        </w:rPr>
        <w:t>: Clinical implications according to different treatment-thresholds (CAIRO data).</w:t>
      </w:r>
    </w:p>
    <w:p w:rsidR="003C2433" w:rsidRPr="005A4AD4" w:rsidRDefault="003C2433" w:rsidP="003C2433">
      <w:pPr>
        <w:numPr>
          <w:ilvl w:val="0"/>
          <w:numId w:val="1"/>
        </w:numPr>
        <w:rPr>
          <w:rFonts w:ascii="Times New Roman" w:hAnsi="Times New Roman"/>
          <w:b/>
          <w:sz w:val="20"/>
          <w:lang w:val="en-GB"/>
        </w:rPr>
      </w:pPr>
      <w:r>
        <w:rPr>
          <w:rFonts w:ascii="Times New Roman" w:hAnsi="Times New Roman"/>
          <w:b/>
          <w:sz w:val="20"/>
          <w:lang w:val="en-US"/>
        </w:rPr>
        <w:t xml:space="preserve">Supplementary Figure 6: </w:t>
      </w:r>
      <w:r w:rsidRPr="003C2433">
        <w:rPr>
          <w:rFonts w:ascii="Times New Roman" w:hAnsi="Times New Roman"/>
          <w:b/>
          <w:sz w:val="20"/>
          <w:lang w:val="en-US"/>
        </w:rPr>
        <w:t>Nomogram predicting the probability of receiving second-line treatment after first-line monochemotherapy.</w:t>
      </w:r>
    </w:p>
    <w:p w:rsidR="00E9794E" w:rsidRPr="00E40E6E" w:rsidRDefault="00B72D64" w:rsidP="00E9794E">
      <w:pPr>
        <w:numPr>
          <w:ilvl w:val="0"/>
          <w:numId w:val="1"/>
        </w:numPr>
        <w:rPr>
          <w:rFonts w:ascii="Times New Roman" w:hAnsi="Times New Roman"/>
          <w:b/>
          <w:sz w:val="20"/>
          <w:lang w:val="en-GB"/>
        </w:rPr>
      </w:pPr>
      <w:r>
        <w:rPr>
          <w:rFonts w:ascii="Times New Roman" w:hAnsi="Times New Roman"/>
          <w:b/>
          <w:sz w:val="20"/>
          <w:lang w:val="en-GB"/>
        </w:rPr>
        <w:t>Supplementary</w:t>
      </w:r>
      <w:r w:rsidRPr="00E40E6E">
        <w:rPr>
          <w:rFonts w:ascii="Times New Roman" w:hAnsi="Times New Roman"/>
          <w:b/>
          <w:sz w:val="20"/>
          <w:lang w:val="en-GB"/>
        </w:rPr>
        <w:t xml:space="preserve"> </w:t>
      </w:r>
      <w:r w:rsidR="003C2433">
        <w:rPr>
          <w:rFonts w:ascii="Times New Roman" w:hAnsi="Times New Roman"/>
          <w:b/>
          <w:sz w:val="20"/>
          <w:lang w:val="en-GB"/>
        </w:rPr>
        <w:t>Figure 7</w:t>
      </w:r>
      <w:r w:rsidR="00E9794E" w:rsidRPr="00E40E6E">
        <w:rPr>
          <w:rFonts w:ascii="Times New Roman" w:hAnsi="Times New Roman"/>
          <w:b/>
          <w:sz w:val="20"/>
          <w:lang w:val="en-GB"/>
        </w:rPr>
        <w:t>: Actual calibration and interval calibration plot of predicted and observed probabilities for receiving second-line treatment in CAIRO patients.</w:t>
      </w:r>
    </w:p>
    <w:p w:rsidR="00E9794E" w:rsidRPr="00E40E6E" w:rsidRDefault="00B72D64" w:rsidP="00E9794E">
      <w:pPr>
        <w:numPr>
          <w:ilvl w:val="0"/>
          <w:numId w:val="1"/>
        </w:numPr>
        <w:rPr>
          <w:rFonts w:ascii="Times New Roman" w:hAnsi="Times New Roman"/>
          <w:b/>
          <w:sz w:val="20"/>
          <w:lang w:val="en-GB"/>
        </w:rPr>
      </w:pPr>
      <w:r>
        <w:rPr>
          <w:rFonts w:ascii="Times New Roman" w:hAnsi="Times New Roman"/>
          <w:b/>
          <w:sz w:val="20"/>
          <w:lang w:val="en-GB"/>
        </w:rPr>
        <w:t>Supplementary</w:t>
      </w:r>
      <w:r w:rsidRPr="00E40E6E">
        <w:rPr>
          <w:rFonts w:ascii="Times New Roman" w:hAnsi="Times New Roman"/>
          <w:b/>
          <w:sz w:val="20"/>
          <w:lang w:val="en-GB"/>
        </w:rPr>
        <w:t xml:space="preserve"> </w:t>
      </w:r>
      <w:r w:rsidR="003C2433">
        <w:rPr>
          <w:rFonts w:ascii="Times New Roman" w:hAnsi="Times New Roman"/>
          <w:b/>
          <w:sz w:val="20"/>
          <w:lang w:val="en-GB"/>
        </w:rPr>
        <w:t>Figure 8</w:t>
      </w:r>
      <w:r w:rsidR="00E9794E" w:rsidRPr="00E40E6E">
        <w:rPr>
          <w:rFonts w:ascii="Times New Roman" w:hAnsi="Times New Roman"/>
          <w:b/>
          <w:sz w:val="20"/>
          <w:lang w:val="en-GB"/>
        </w:rPr>
        <w:t>: External calibration plot of predicted and observed probabilities for receiving second-line treatment in FOCUS patients.</w:t>
      </w:r>
    </w:p>
    <w:p w:rsidR="00E9794E" w:rsidRPr="00E40E6E" w:rsidRDefault="00B72D64" w:rsidP="00E9794E">
      <w:pPr>
        <w:numPr>
          <w:ilvl w:val="0"/>
          <w:numId w:val="1"/>
        </w:numPr>
        <w:rPr>
          <w:rFonts w:ascii="Times New Roman" w:hAnsi="Times New Roman"/>
          <w:b/>
          <w:sz w:val="20"/>
          <w:lang w:val="en-GB"/>
        </w:rPr>
      </w:pPr>
      <w:r>
        <w:rPr>
          <w:rFonts w:ascii="Times New Roman" w:hAnsi="Times New Roman"/>
          <w:b/>
          <w:sz w:val="20"/>
          <w:lang w:val="en-GB"/>
        </w:rPr>
        <w:t>Supplementary</w:t>
      </w:r>
      <w:r w:rsidRPr="00E40E6E">
        <w:rPr>
          <w:rFonts w:ascii="Times New Roman" w:hAnsi="Times New Roman"/>
          <w:b/>
          <w:sz w:val="20"/>
          <w:lang w:val="en-GB"/>
        </w:rPr>
        <w:t xml:space="preserve"> </w:t>
      </w:r>
      <w:r w:rsidR="003C2433">
        <w:rPr>
          <w:rFonts w:ascii="Times New Roman" w:hAnsi="Times New Roman"/>
          <w:b/>
          <w:sz w:val="20"/>
          <w:lang w:val="en-GB"/>
        </w:rPr>
        <w:t>Figure 9</w:t>
      </w:r>
      <w:r w:rsidR="00E9794E" w:rsidRPr="00E40E6E">
        <w:rPr>
          <w:rFonts w:ascii="Times New Roman" w:hAnsi="Times New Roman"/>
          <w:b/>
          <w:sz w:val="20"/>
          <w:lang w:val="en-GB"/>
        </w:rPr>
        <w:t xml:space="preserve">: </w:t>
      </w:r>
      <w:r w:rsidR="00E9794E" w:rsidRPr="00E40E6E">
        <w:rPr>
          <w:rFonts w:ascii="Times New Roman" w:hAnsi="Times New Roman"/>
          <w:b/>
          <w:sz w:val="20"/>
          <w:lang w:val="en-US"/>
        </w:rPr>
        <w:t>Formula for the prediction of the probability of receiving second-line treatment of first-line monochemotherapy in metastatic colorectal cancer patients.</w:t>
      </w:r>
    </w:p>
    <w:p w:rsidR="00E9794E" w:rsidRDefault="00E9794E" w:rsidP="00F82E5A">
      <w:pPr>
        <w:rPr>
          <w:rFonts w:ascii="Arial" w:hAnsi="Arial" w:cs="Arial"/>
          <w:b/>
          <w:sz w:val="24"/>
          <w:lang w:val="en-GB"/>
        </w:rPr>
      </w:pPr>
    </w:p>
    <w:p w:rsidR="00E9794E" w:rsidRDefault="00E9794E" w:rsidP="00F82E5A">
      <w:pPr>
        <w:rPr>
          <w:rFonts w:ascii="Arial" w:hAnsi="Arial" w:cs="Arial"/>
          <w:b/>
          <w:sz w:val="24"/>
          <w:lang w:val="en-GB"/>
        </w:rPr>
      </w:pPr>
    </w:p>
    <w:p w:rsidR="00E9794E" w:rsidRDefault="00E9794E" w:rsidP="00F82E5A">
      <w:pPr>
        <w:rPr>
          <w:rFonts w:ascii="Arial" w:hAnsi="Arial" w:cs="Arial"/>
          <w:b/>
          <w:sz w:val="24"/>
          <w:lang w:val="en-GB"/>
        </w:rPr>
      </w:pPr>
    </w:p>
    <w:p w:rsidR="00E9794E" w:rsidRDefault="00E9794E" w:rsidP="00F82E5A">
      <w:pPr>
        <w:rPr>
          <w:rFonts w:ascii="Arial" w:hAnsi="Arial" w:cs="Arial"/>
          <w:b/>
          <w:sz w:val="24"/>
          <w:lang w:val="en-GB"/>
        </w:rPr>
      </w:pPr>
    </w:p>
    <w:p w:rsidR="00E9794E" w:rsidRDefault="00E9794E" w:rsidP="00F82E5A">
      <w:pPr>
        <w:rPr>
          <w:rFonts w:ascii="Arial" w:hAnsi="Arial" w:cs="Arial"/>
          <w:b/>
          <w:sz w:val="24"/>
          <w:lang w:val="en-GB"/>
        </w:rPr>
      </w:pPr>
    </w:p>
    <w:p w:rsidR="00E9794E" w:rsidRDefault="00E9794E" w:rsidP="00F82E5A">
      <w:pPr>
        <w:rPr>
          <w:rFonts w:ascii="Arial" w:hAnsi="Arial" w:cs="Arial"/>
          <w:b/>
          <w:sz w:val="24"/>
          <w:lang w:val="en-GB"/>
        </w:rPr>
      </w:pPr>
    </w:p>
    <w:p w:rsidR="00E9794E" w:rsidRDefault="00E9794E" w:rsidP="00F82E5A">
      <w:pPr>
        <w:rPr>
          <w:rFonts w:ascii="Arial" w:hAnsi="Arial" w:cs="Arial"/>
          <w:b/>
          <w:sz w:val="24"/>
          <w:lang w:val="en-GB"/>
        </w:rPr>
      </w:pPr>
    </w:p>
    <w:p w:rsidR="00E9794E" w:rsidRDefault="00E9794E" w:rsidP="00F82E5A">
      <w:pPr>
        <w:rPr>
          <w:rFonts w:ascii="Arial" w:hAnsi="Arial" w:cs="Arial"/>
          <w:b/>
          <w:sz w:val="24"/>
          <w:lang w:val="en-GB"/>
        </w:rPr>
      </w:pPr>
    </w:p>
    <w:p w:rsidR="00E9794E" w:rsidRDefault="00E9794E" w:rsidP="00F82E5A">
      <w:pPr>
        <w:rPr>
          <w:rFonts w:ascii="Arial" w:hAnsi="Arial" w:cs="Arial"/>
          <w:b/>
          <w:sz w:val="24"/>
          <w:lang w:val="en-GB"/>
        </w:rPr>
      </w:pPr>
    </w:p>
    <w:p w:rsidR="00E9794E" w:rsidRDefault="00E9794E" w:rsidP="00F82E5A">
      <w:pPr>
        <w:rPr>
          <w:rFonts w:ascii="Arial" w:hAnsi="Arial" w:cs="Arial"/>
          <w:b/>
          <w:sz w:val="24"/>
          <w:lang w:val="en-GB"/>
        </w:rPr>
      </w:pPr>
    </w:p>
    <w:p w:rsidR="00E40E6E" w:rsidRPr="00E40E6E" w:rsidRDefault="00B72D64" w:rsidP="00E40E6E">
      <w:pPr>
        <w:spacing w:line="240" w:lineRule="auto"/>
        <w:rPr>
          <w:rFonts w:ascii="Times New Roman" w:hAnsi="Times New Roman"/>
          <w:b/>
          <w:sz w:val="24"/>
          <w:lang w:val="en-GB"/>
        </w:rPr>
      </w:pPr>
      <w:r w:rsidRPr="00B72D64">
        <w:rPr>
          <w:rFonts w:ascii="Times New Roman" w:hAnsi="Times New Roman"/>
          <w:b/>
          <w:sz w:val="24"/>
          <w:lang w:val="en-GB"/>
        </w:rPr>
        <w:lastRenderedPageBreak/>
        <w:t>Supplementary</w:t>
      </w:r>
      <w:r w:rsidRPr="00E40E6E">
        <w:rPr>
          <w:rFonts w:ascii="Times New Roman" w:hAnsi="Times New Roman"/>
          <w:b/>
          <w:sz w:val="24"/>
          <w:lang w:val="en-GB"/>
        </w:rPr>
        <w:t xml:space="preserve"> </w:t>
      </w:r>
      <w:r w:rsidR="00E40E6E" w:rsidRPr="00E40E6E">
        <w:rPr>
          <w:rFonts w:ascii="Times New Roman" w:hAnsi="Times New Roman"/>
          <w:b/>
          <w:sz w:val="24"/>
          <w:lang w:val="en-GB"/>
        </w:rPr>
        <w:t>Methods</w:t>
      </w:r>
    </w:p>
    <w:p w:rsidR="00E40E6E" w:rsidRPr="00E40E6E" w:rsidRDefault="00E40E6E" w:rsidP="00E40E6E">
      <w:pPr>
        <w:spacing w:line="240" w:lineRule="auto"/>
        <w:rPr>
          <w:rFonts w:ascii="Times New Roman" w:hAnsi="Times New Roman"/>
          <w:b/>
          <w:sz w:val="20"/>
          <w:lang w:val="en-GB"/>
        </w:rPr>
      </w:pPr>
      <w:r w:rsidRPr="00E40E6E">
        <w:rPr>
          <w:rFonts w:ascii="Times New Roman" w:hAnsi="Times New Roman"/>
          <w:b/>
          <w:sz w:val="20"/>
          <w:lang w:val="en-GB"/>
        </w:rPr>
        <w:t>Patients</w:t>
      </w:r>
    </w:p>
    <w:p w:rsidR="00E40E6E" w:rsidRPr="00E40E6E" w:rsidRDefault="00E40E6E" w:rsidP="00E40E6E">
      <w:pPr>
        <w:spacing w:line="240" w:lineRule="auto"/>
        <w:rPr>
          <w:rFonts w:ascii="Times New Roman" w:hAnsi="Times New Roman"/>
          <w:sz w:val="20"/>
          <w:lang w:val="en-GB"/>
        </w:rPr>
      </w:pPr>
      <w:r w:rsidRPr="00E40E6E">
        <w:rPr>
          <w:rFonts w:ascii="Times New Roman" w:hAnsi="Times New Roman"/>
          <w:sz w:val="20"/>
          <w:lang w:val="en-GB"/>
        </w:rPr>
        <w:t xml:space="preserve">Data from the CAIRO trial were used for the development of the model. In the CAIRO trial, 803 patients with mCRC not amenable for curative surgery were randomised to receive either A) first-line treatment with capecitabine monotherapy, second-line treatment with irinotecan and third-line treatment with capecitabine plus oxaliplatin (CAPOX), or B) first-line treatment with capecitabine plus irinotecan (CAPIRI) and second-line treatment with CAPOX. The trial showed a median overall survival (OS) of 16.3 months in the sequential arm and 17.4 months in the combination arm (hazard ratio [HR] for combination treatment 0.92, 95% confidence interval [CI] 0.79 to1.08; </w:t>
      </w:r>
      <w:r w:rsidRPr="00E40E6E">
        <w:rPr>
          <w:rFonts w:ascii="Times New Roman" w:hAnsi="Times New Roman"/>
          <w:i/>
          <w:sz w:val="20"/>
          <w:lang w:val="en-GB"/>
        </w:rPr>
        <w:t>P</w:t>
      </w:r>
      <w:r w:rsidRPr="00E40E6E">
        <w:rPr>
          <w:rFonts w:ascii="Times New Roman" w:hAnsi="Times New Roman"/>
          <w:sz w:val="20"/>
          <w:lang w:val="en-GB"/>
        </w:rPr>
        <w:t>=.33).</w:t>
      </w:r>
      <w:r w:rsidRPr="00E40E6E">
        <w:rPr>
          <w:rFonts w:ascii="Times New Roman" w:hAnsi="Times New Roman"/>
          <w:sz w:val="20"/>
          <w:vertAlign w:val="superscript"/>
          <w:lang w:val="en-GB"/>
        </w:rPr>
        <w:fldChar w:fldCharType="begin"/>
      </w:r>
      <w:r w:rsidRPr="00E40E6E">
        <w:rPr>
          <w:rFonts w:ascii="Times New Roman" w:hAnsi="Times New Roman"/>
          <w:sz w:val="20"/>
          <w:vertAlign w:val="superscript"/>
          <w:lang w:val="en-GB"/>
        </w:rPr>
        <w:instrText xml:space="preserve"> REF _Ref494294570 \r \h  \* MERGEFORMAT </w:instrText>
      </w:r>
      <w:r w:rsidRPr="00E40E6E">
        <w:rPr>
          <w:rFonts w:ascii="Times New Roman" w:hAnsi="Times New Roman"/>
          <w:sz w:val="20"/>
          <w:vertAlign w:val="superscript"/>
          <w:lang w:val="en-GB"/>
        </w:rPr>
      </w:r>
      <w:r w:rsidRPr="00E40E6E">
        <w:rPr>
          <w:rFonts w:ascii="Times New Roman" w:hAnsi="Times New Roman"/>
          <w:sz w:val="20"/>
          <w:vertAlign w:val="superscript"/>
          <w:lang w:val="en-GB"/>
        </w:rPr>
        <w:fldChar w:fldCharType="separate"/>
      </w:r>
      <w:r w:rsidRPr="00E40E6E">
        <w:rPr>
          <w:rFonts w:ascii="Times New Roman" w:hAnsi="Times New Roman"/>
          <w:sz w:val="20"/>
          <w:vertAlign w:val="superscript"/>
          <w:lang w:val="en-GB"/>
        </w:rPr>
        <w:t>1</w:t>
      </w:r>
      <w:r w:rsidRPr="00E40E6E">
        <w:rPr>
          <w:rFonts w:ascii="Times New Roman" w:hAnsi="Times New Roman"/>
          <w:sz w:val="20"/>
          <w:vertAlign w:val="superscript"/>
          <w:lang w:val="en-GB"/>
        </w:rPr>
        <w:fldChar w:fldCharType="end"/>
      </w:r>
      <w:r w:rsidRPr="00E40E6E">
        <w:rPr>
          <w:rFonts w:ascii="Times New Roman" w:hAnsi="Times New Roman"/>
          <w:sz w:val="20"/>
          <w:vertAlign w:val="superscript"/>
          <w:lang w:val="en-GB"/>
        </w:rPr>
        <w:t xml:space="preserve"> </w:t>
      </w:r>
      <w:r w:rsidRPr="00E40E6E">
        <w:rPr>
          <w:rFonts w:ascii="Times New Roman" w:hAnsi="Times New Roman"/>
          <w:sz w:val="20"/>
          <w:lang w:val="en-GB"/>
        </w:rPr>
        <w:t>Both arms were used for the model predicting survival times. For the development of the model predicting the probability of receiving second-line treatment after first-line monochemotherapy, only patients in arm A with a complete follow-up – i.e. until death or exposure to second-line treatment – were included.</w:t>
      </w:r>
    </w:p>
    <w:p w:rsidR="00E40E6E" w:rsidRPr="00E40E6E" w:rsidRDefault="00E40E6E" w:rsidP="00E40E6E">
      <w:pPr>
        <w:spacing w:line="240" w:lineRule="auto"/>
        <w:rPr>
          <w:rFonts w:ascii="Times New Roman" w:hAnsi="Times New Roman"/>
          <w:sz w:val="20"/>
          <w:lang w:val="en-GB"/>
        </w:rPr>
      </w:pPr>
      <w:r w:rsidRPr="00E40E6E">
        <w:rPr>
          <w:rFonts w:ascii="Times New Roman" w:hAnsi="Times New Roman"/>
          <w:sz w:val="20"/>
          <w:lang w:val="en-GB"/>
        </w:rPr>
        <w:t xml:space="preserve">Data of the FOCUS trial were used for the external validation of the models. In FOCUS, 2135 patients were randomised between A) first-line treatment 5-fluorouracil (5-FU) and second-line irinotecan, B) first-line treatment 5-FU and second-line 5-FU plus irinotecan (FOLFIRI) or 5-FU plus oxaliplatin (FOLFOX), or C) upfront combination chemotherapy with FOLFIRI or FOLFOX. Median OS was 13.9 months in arm A, 15.3 and 14.3 months in arm B, respectively, and 16.5 and 15.0 months in arm C, respectively. The only statistically significant difference was observed between arm A and treatment with FOLFIRI in arm C (HR 0.84, 95% CI 0.73 to 0.96; </w:t>
      </w:r>
      <w:r w:rsidRPr="00E40E6E">
        <w:rPr>
          <w:rFonts w:ascii="Times New Roman" w:hAnsi="Times New Roman"/>
          <w:i/>
          <w:sz w:val="20"/>
          <w:lang w:val="en-GB"/>
        </w:rPr>
        <w:t>P</w:t>
      </w:r>
      <w:r w:rsidRPr="00E40E6E">
        <w:rPr>
          <w:rFonts w:ascii="Times New Roman" w:hAnsi="Times New Roman"/>
          <w:sz w:val="20"/>
          <w:lang w:val="en-GB"/>
        </w:rPr>
        <w:t>=.01), and arm B was considered non-inferior to Arm C (HR 1.06, 90% CI 0.97 to 1.17).</w:t>
      </w:r>
      <w:r w:rsidRPr="00E40E6E">
        <w:rPr>
          <w:rFonts w:ascii="Times New Roman" w:hAnsi="Times New Roman"/>
          <w:sz w:val="20"/>
          <w:vertAlign w:val="superscript"/>
          <w:lang w:val="en-GB"/>
        </w:rPr>
        <w:fldChar w:fldCharType="begin"/>
      </w:r>
      <w:r w:rsidRPr="00E40E6E">
        <w:rPr>
          <w:rFonts w:ascii="Times New Roman" w:hAnsi="Times New Roman"/>
          <w:sz w:val="20"/>
          <w:vertAlign w:val="superscript"/>
          <w:lang w:val="en-GB"/>
        </w:rPr>
        <w:instrText xml:space="preserve"> REF _Ref494294572 \r \h  \* MERGEFORMAT </w:instrText>
      </w:r>
      <w:r w:rsidRPr="00E40E6E">
        <w:rPr>
          <w:rFonts w:ascii="Times New Roman" w:hAnsi="Times New Roman"/>
          <w:sz w:val="20"/>
          <w:vertAlign w:val="superscript"/>
          <w:lang w:val="en-GB"/>
        </w:rPr>
      </w:r>
      <w:r w:rsidRPr="00E40E6E">
        <w:rPr>
          <w:rFonts w:ascii="Times New Roman" w:hAnsi="Times New Roman"/>
          <w:sz w:val="20"/>
          <w:vertAlign w:val="superscript"/>
          <w:lang w:val="en-GB"/>
        </w:rPr>
        <w:fldChar w:fldCharType="separate"/>
      </w:r>
      <w:r w:rsidRPr="00E40E6E">
        <w:rPr>
          <w:rFonts w:ascii="Times New Roman" w:hAnsi="Times New Roman"/>
          <w:sz w:val="20"/>
          <w:vertAlign w:val="superscript"/>
          <w:lang w:val="en-GB"/>
        </w:rPr>
        <w:t>2</w:t>
      </w:r>
      <w:r w:rsidRPr="00E40E6E">
        <w:rPr>
          <w:rFonts w:ascii="Times New Roman" w:hAnsi="Times New Roman"/>
          <w:sz w:val="20"/>
          <w:vertAlign w:val="superscript"/>
          <w:lang w:val="en-GB"/>
        </w:rPr>
        <w:fldChar w:fldCharType="end"/>
      </w:r>
      <w:r w:rsidRPr="00E40E6E">
        <w:rPr>
          <w:rFonts w:ascii="Times New Roman" w:hAnsi="Times New Roman"/>
          <w:sz w:val="20"/>
          <w:lang w:val="en-GB"/>
        </w:rPr>
        <w:t xml:space="preserve"> </w:t>
      </w:r>
      <w:r>
        <w:rPr>
          <w:rFonts w:ascii="Times New Roman" w:hAnsi="Times New Roman"/>
          <w:sz w:val="20"/>
          <w:lang w:val="en-GB"/>
        </w:rPr>
        <w:t xml:space="preserve">For the </w:t>
      </w:r>
      <w:r w:rsidRPr="00E40E6E">
        <w:rPr>
          <w:rFonts w:ascii="Times New Roman" w:hAnsi="Times New Roman"/>
          <w:sz w:val="20"/>
          <w:lang w:val="en-GB"/>
        </w:rPr>
        <w:t>model predicting survival times, arm A (sequential chemotherapy) and arm C (combination chemotherapy) were included. For the model predicting the probability of receiving second-line treatment arm A and B were used. OS was defined as the interval between randomization and death, and patients alive at last follow-up were censored. For the original trials ethics committee approval was obtained and all patients provided written informed consent.</w:t>
      </w:r>
    </w:p>
    <w:p w:rsidR="00E40E6E" w:rsidRPr="00E40E6E" w:rsidRDefault="00E40E6E" w:rsidP="00E40E6E">
      <w:pPr>
        <w:spacing w:line="240" w:lineRule="auto"/>
        <w:rPr>
          <w:rFonts w:ascii="Times New Roman" w:hAnsi="Times New Roman"/>
          <w:b/>
          <w:sz w:val="20"/>
          <w:lang w:val="en-GB"/>
        </w:rPr>
      </w:pPr>
      <w:r w:rsidRPr="00E40E6E">
        <w:rPr>
          <w:rFonts w:ascii="Times New Roman" w:hAnsi="Times New Roman"/>
          <w:b/>
          <w:sz w:val="20"/>
          <w:lang w:val="en-GB"/>
        </w:rPr>
        <w:t>Development of model estimating overall survival times</w:t>
      </w:r>
    </w:p>
    <w:p w:rsidR="00E40E6E" w:rsidRPr="00E40E6E" w:rsidRDefault="00E40E6E" w:rsidP="00E40E6E">
      <w:pPr>
        <w:spacing w:line="240" w:lineRule="auto"/>
        <w:rPr>
          <w:rFonts w:ascii="Times New Roman" w:hAnsi="Times New Roman"/>
          <w:sz w:val="20"/>
          <w:lang w:val="en-GB"/>
        </w:rPr>
      </w:pPr>
      <w:r w:rsidRPr="00E40E6E">
        <w:rPr>
          <w:rFonts w:ascii="Times New Roman" w:hAnsi="Times New Roman"/>
          <w:sz w:val="20"/>
          <w:lang w:val="en-GB"/>
        </w:rPr>
        <w:t>The CAIRO data were used to build an accelerated failure time model with a Weibull distribution for prediction of gain in median OS for individual patients (i.e. point in time from which onwards it is more likely that the patient is dead than alive). Prespecified predictors of survival included sex, WHO performance status (0, 1, or 2), body mass index (BMI), number of metastatic sites (0, 1, 2, or ≥3), presentation of metastatic disease (synchronous or metachronous)</w:t>
      </w:r>
      <w:r w:rsidR="00AC05BD">
        <w:rPr>
          <w:rFonts w:ascii="Times New Roman" w:hAnsi="Times New Roman"/>
          <w:sz w:val="20"/>
          <w:lang w:val="en-GB"/>
        </w:rPr>
        <w:t>, resection of the primary tumo</w:t>
      </w:r>
      <w:r w:rsidR="00375C5F">
        <w:rPr>
          <w:rFonts w:ascii="Times New Roman" w:hAnsi="Times New Roman"/>
          <w:sz w:val="20"/>
          <w:lang w:val="en-GB"/>
        </w:rPr>
        <w:t>u</w:t>
      </w:r>
      <w:r w:rsidRPr="00E40E6E">
        <w:rPr>
          <w:rFonts w:ascii="Times New Roman" w:hAnsi="Times New Roman"/>
          <w:sz w:val="20"/>
          <w:lang w:val="en-GB"/>
        </w:rPr>
        <w:t>r (yes or no)</w:t>
      </w:r>
      <w:r w:rsidR="00AC05BD">
        <w:rPr>
          <w:rFonts w:ascii="Times New Roman" w:hAnsi="Times New Roman"/>
          <w:sz w:val="20"/>
          <w:lang w:val="en-GB"/>
        </w:rPr>
        <w:t>, sidedness of the primary tumo</w:t>
      </w:r>
      <w:r w:rsidR="00375C5F">
        <w:rPr>
          <w:rFonts w:ascii="Times New Roman" w:hAnsi="Times New Roman"/>
          <w:sz w:val="20"/>
          <w:lang w:val="en-GB"/>
        </w:rPr>
        <w:t>u</w:t>
      </w:r>
      <w:r w:rsidRPr="00E40E6E">
        <w:rPr>
          <w:rFonts w:ascii="Times New Roman" w:hAnsi="Times New Roman"/>
          <w:sz w:val="20"/>
          <w:lang w:val="en-GB"/>
        </w:rPr>
        <w:t>r (right colon until splenic flexure, or left colon/rectum from splenic flexure on), alkaline phosphatase (ALP), and white blood cell count (WBC).</w:t>
      </w:r>
      <w:r w:rsidR="00033191" w:rsidRPr="00033191">
        <w:rPr>
          <w:rFonts w:ascii="Times New Roman" w:hAnsi="Times New Roman"/>
          <w:sz w:val="20"/>
          <w:vertAlign w:val="superscript"/>
          <w:lang w:val="en-GB"/>
        </w:rPr>
        <w:fldChar w:fldCharType="begin"/>
      </w:r>
      <w:r w:rsidR="00033191" w:rsidRPr="00033191">
        <w:rPr>
          <w:rFonts w:ascii="Times New Roman" w:hAnsi="Times New Roman"/>
          <w:sz w:val="20"/>
          <w:vertAlign w:val="superscript"/>
          <w:lang w:val="en-GB"/>
        </w:rPr>
        <w:instrText xml:space="preserve"> REF _Ref531807361 \r \h </w:instrText>
      </w:r>
      <w:r w:rsidR="00033191">
        <w:rPr>
          <w:rFonts w:ascii="Times New Roman" w:hAnsi="Times New Roman"/>
          <w:sz w:val="20"/>
          <w:vertAlign w:val="superscript"/>
          <w:lang w:val="en-GB"/>
        </w:rPr>
        <w:instrText xml:space="preserve"> \* MERGEFORMAT </w:instrText>
      </w:r>
      <w:r w:rsidR="00033191" w:rsidRPr="00033191">
        <w:rPr>
          <w:rFonts w:ascii="Times New Roman" w:hAnsi="Times New Roman"/>
          <w:sz w:val="20"/>
          <w:vertAlign w:val="superscript"/>
          <w:lang w:val="en-GB"/>
        </w:rPr>
      </w:r>
      <w:r w:rsidR="00033191" w:rsidRPr="00033191">
        <w:rPr>
          <w:rFonts w:ascii="Times New Roman" w:hAnsi="Times New Roman"/>
          <w:sz w:val="20"/>
          <w:vertAlign w:val="superscript"/>
          <w:lang w:val="en-GB"/>
        </w:rPr>
        <w:fldChar w:fldCharType="separate"/>
      </w:r>
      <w:r w:rsidR="00033191" w:rsidRPr="00033191">
        <w:rPr>
          <w:rFonts w:ascii="Times New Roman" w:hAnsi="Times New Roman"/>
          <w:sz w:val="20"/>
          <w:vertAlign w:val="superscript"/>
          <w:lang w:val="en-GB"/>
        </w:rPr>
        <w:t>3</w:t>
      </w:r>
      <w:r w:rsidR="00033191" w:rsidRPr="00033191">
        <w:rPr>
          <w:rFonts w:ascii="Times New Roman" w:hAnsi="Times New Roman"/>
          <w:sz w:val="20"/>
          <w:vertAlign w:val="superscript"/>
          <w:lang w:val="en-GB"/>
        </w:rPr>
        <w:fldChar w:fldCharType="end"/>
      </w:r>
      <w:r w:rsidR="00033191">
        <w:rPr>
          <w:rFonts w:ascii="Times New Roman" w:hAnsi="Times New Roman"/>
          <w:sz w:val="20"/>
          <w:vertAlign w:val="superscript"/>
          <w:lang w:val="en-GB"/>
        </w:rPr>
        <w:t>-</w:t>
      </w:r>
      <w:r w:rsidR="00033191" w:rsidRPr="00033191">
        <w:rPr>
          <w:rFonts w:ascii="Times New Roman" w:hAnsi="Times New Roman"/>
          <w:sz w:val="20"/>
          <w:vertAlign w:val="superscript"/>
          <w:lang w:val="en-GB"/>
        </w:rPr>
        <w:fldChar w:fldCharType="begin"/>
      </w:r>
      <w:r w:rsidR="00033191" w:rsidRPr="00033191">
        <w:rPr>
          <w:rFonts w:ascii="Times New Roman" w:hAnsi="Times New Roman"/>
          <w:sz w:val="20"/>
          <w:vertAlign w:val="superscript"/>
          <w:lang w:val="en-GB"/>
        </w:rPr>
        <w:instrText xml:space="preserve"> REF _Ref531807364 \r \h </w:instrText>
      </w:r>
      <w:r w:rsidR="00033191">
        <w:rPr>
          <w:rFonts w:ascii="Times New Roman" w:hAnsi="Times New Roman"/>
          <w:sz w:val="20"/>
          <w:vertAlign w:val="superscript"/>
          <w:lang w:val="en-GB"/>
        </w:rPr>
        <w:instrText xml:space="preserve"> \* MERGEFORMAT </w:instrText>
      </w:r>
      <w:r w:rsidR="00033191" w:rsidRPr="00033191">
        <w:rPr>
          <w:rFonts w:ascii="Times New Roman" w:hAnsi="Times New Roman"/>
          <w:sz w:val="20"/>
          <w:vertAlign w:val="superscript"/>
          <w:lang w:val="en-GB"/>
        </w:rPr>
      </w:r>
      <w:r w:rsidR="00033191" w:rsidRPr="00033191">
        <w:rPr>
          <w:rFonts w:ascii="Times New Roman" w:hAnsi="Times New Roman"/>
          <w:sz w:val="20"/>
          <w:vertAlign w:val="superscript"/>
          <w:lang w:val="en-GB"/>
        </w:rPr>
        <w:fldChar w:fldCharType="separate"/>
      </w:r>
      <w:r w:rsidR="00033191" w:rsidRPr="00033191">
        <w:rPr>
          <w:rFonts w:ascii="Times New Roman" w:hAnsi="Times New Roman"/>
          <w:sz w:val="20"/>
          <w:vertAlign w:val="superscript"/>
          <w:lang w:val="en-GB"/>
        </w:rPr>
        <w:t>6</w:t>
      </w:r>
      <w:r w:rsidR="00033191" w:rsidRPr="00033191">
        <w:rPr>
          <w:rFonts w:ascii="Times New Roman" w:hAnsi="Times New Roman"/>
          <w:sz w:val="20"/>
          <w:vertAlign w:val="superscript"/>
          <w:lang w:val="en-GB"/>
        </w:rPr>
        <w:fldChar w:fldCharType="end"/>
      </w:r>
      <w:r w:rsidRPr="00E40E6E">
        <w:rPr>
          <w:rFonts w:ascii="Times New Roman" w:hAnsi="Times New Roman"/>
          <w:sz w:val="20"/>
          <w:lang w:val="en-GB"/>
        </w:rPr>
        <w:t xml:space="preserve"> Treatment arm was added to the model as a predictor for survival. To prevent a loss of statistical power, missing values were imputed with single imputation using additive regression and predictive mean matching (aregImpute-algorithm, Hmisc package), assuming that these values were missing at random. We were unable to include </w:t>
      </w:r>
      <w:r w:rsidRPr="00E40E6E">
        <w:rPr>
          <w:rFonts w:ascii="Times New Roman" w:hAnsi="Times New Roman"/>
          <w:i/>
          <w:sz w:val="20"/>
          <w:lang w:val="en-GB"/>
        </w:rPr>
        <w:t>BRAF</w:t>
      </w:r>
      <w:r w:rsidRPr="00E40E6E">
        <w:rPr>
          <w:rFonts w:ascii="Times New Roman" w:hAnsi="Times New Roman"/>
          <w:i/>
          <w:sz w:val="20"/>
          <w:vertAlign w:val="superscript"/>
          <w:lang w:val="en-GB"/>
        </w:rPr>
        <w:t>V600E</w:t>
      </w:r>
      <w:r w:rsidRPr="00E40E6E">
        <w:rPr>
          <w:rFonts w:ascii="Times New Roman" w:hAnsi="Times New Roman"/>
          <w:sz w:val="20"/>
          <w:lang w:val="en-GB"/>
        </w:rPr>
        <w:t xml:space="preserve">- and </w:t>
      </w:r>
      <w:r w:rsidRPr="00E40E6E">
        <w:rPr>
          <w:rFonts w:ascii="Times New Roman" w:hAnsi="Times New Roman"/>
          <w:i/>
          <w:sz w:val="20"/>
          <w:lang w:val="en-GB"/>
        </w:rPr>
        <w:t>KRAS</w:t>
      </w:r>
      <w:r w:rsidRPr="00E40E6E">
        <w:rPr>
          <w:rFonts w:ascii="Times New Roman" w:hAnsi="Times New Roman"/>
          <w:sz w:val="20"/>
          <w:lang w:val="en-GB"/>
        </w:rPr>
        <w:t>-mutation status in the model because of missing data in more than 50% of patients. Serum lactate dehydrogenase (LDH) could not be added to the model because this parameter was not obtained in the FOCUS trial. Next, continuous predictors were truncated at the 1</w:t>
      </w:r>
      <w:r w:rsidRPr="00E40E6E">
        <w:rPr>
          <w:rFonts w:ascii="Times New Roman" w:hAnsi="Times New Roman"/>
          <w:sz w:val="20"/>
          <w:vertAlign w:val="superscript"/>
          <w:lang w:val="en-GB"/>
        </w:rPr>
        <w:t>st</w:t>
      </w:r>
      <w:r w:rsidRPr="00E40E6E">
        <w:rPr>
          <w:rFonts w:ascii="Times New Roman" w:hAnsi="Times New Roman"/>
          <w:sz w:val="20"/>
          <w:lang w:val="en-GB"/>
        </w:rPr>
        <w:t xml:space="preserve"> and 99</w:t>
      </w:r>
      <w:r w:rsidRPr="00E40E6E">
        <w:rPr>
          <w:rFonts w:ascii="Times New Roman" w:hAnsi="Times New Roman"/>
          <w:sz w:val="20"/>
          <w:vertAlign w:val="superscript"/>
          <w:lang w:val="en-GB"/>
        </w:rPr>
        <w:t>th</w:t>
      </w:r>
      <w:r w:rsidRPr="00E40E6E">
        <w:rPr>
          <w:rFonts w:ascii="Times New Roman" w:hAnsi="Times New Roman"/>
          <w:sz w:val="20"/>
          <w:lang w:val="en-GB"/>
        </w:rPr>
        <w:t xml:space="preserve"> percentile to limit the effect of outliers.</w:t>
      </w:r>
      <w:r w:rsidR="00E43069">
        <w:rPr>
          <w:rFonts w:ascii="Times New Roman" w:hAnsi="Times New Roman"/>
          <w:sz w:val="20"/>
          <w:lang w:val="en-GB"/>
        </w:rPr>
        <w:t xml:space="preserve"> </w:t>
      </w:r>
      <w:r w:rsidR="00F8578E">
        <w:rPr>
          <w:rFonts w:ascii="Times New Roman" w:hAnsi="Times New Roman"/>
          <w:sz w:val="20"/>
          <w:lang w:val="en-GB"/>
        </w:rPr>
        <w:t>Exploratory analysis with</w:t>
      </w:r>
      <w:r w:rsidR="00E43069">
        <w:rPr>
          <w:rFonts w:ascii="Times New Roman" w:hAnsi="Times New Roman"/>
          <w:sz w:val="20"/>
          <w:lang w:val="en-GB"/>
        </w:rPr>
        <w:t xml:space="preserve"> continuous predictors </w:t>
      </w:r>
      <w:r w:rsidR="00F8578E">
        <w:rPr>
          <w:rFonts w:ascii="Times New Roman" w:hAnsi="Times New Roman"/>
          <w:sz w:val="20"/>
          <w:lang w:val="en-GB"/>
        </w:rPr>
        <w:t xml:space="preserve">truncated </w:t>
      </w:r>
      <w:r w:rsidR="00E43069">
        <w:rPr>
          <w:rFonts w:ascii="Times New Roman" w:hAnsi="Times New Roman"/>
          <w:sz w:val="20"/>
          <w:lang w:val="en-GB"/>
        </w:rPr>
        <w:t xml:space="preserve">at </w:t>
      </w:r>
      <w:r w:rsidR="00F8578E">
        <w:rPr>
          <w:rFonts w:ascii="Times New Roman" w:hAnsi="Times New Roman"/>
          <w:sz w:val="20"/>
          <w:lang w:val="en-GB"/>
        </w:rPr>
        <w:t xml:space="preserve">percentiles </w:t>
      </w:r>
      <w:r w:rsidR="00E43069">
        <w:rPr>
          <w:rFonts w:ascii="Times New Roman" w:hAnsi="Times New Roman"/>
          <w:sz w:val="20"/>
          <w:lang w:val="en-GB"/>
        </w:rPr>
        <w:t>0</w:t>
      </w:r>
      <w:r w:rsidR="00F8578E">
        <w:rPr>
          <w:rFonts w:ascii="Times New Roman" w:hAnsi="Times New Roman"/>
          <w:sz w:val="20"/>
          <w:lang w:val="en-GB"/>
        </w:rPr>
        <w:t>.5%-99.5% and</w:t>
      </w:r>
      <w:r w:rsidR="00E43069">
        <w:rPr>
          <w:rFonts w:ascii="Times New Roman" w:hAnsi="Times New Roman"/>
          <w:sz w:val="20"/>
          <w:lang w:val="en-GB"/>
        </w:rPr>
        <w:t xml:space="preserve"> </w:t>
      </w:r>
      <w:r w:rsidR="00F8578E">
        <w:rPr>
          <w:rFonts w:ascii="Times New Roman" w:hAnsi="Times New Roman"/>
          <w:sz w:val="20"/>
          <w:lang w:val="en-GB"/>
        </w:rPr>
        <w:t>2%-98%</w:t>
      </w:r>
      <w:r w:rsidR="00E43069">
        <w:rPr>
          <w:rFonts w:ascii="Times New Roman" w:hAnsi="Times New Roman"/>
          <w:sz w:val="20"/>
          <w:lang w:val="en-GB"/>
        </w:rPr>
        <w:t xml:space="preserve"> did not substantially affect model outcomes</w:t>
      </w:r>
      <w:r w:rsidR="00F8578E">
        <w:rPr>
          <w:rFonts w:ascii="Times New Roman" w:hAnsi="Times New Roman"/>
          <w:sz w:val="20"/>
          <w:lang w:val="en-GB"/>
        </w:rPr>
        <w:t xml:space="preserve"> compared to 1%-99%</w:t>
      </w:r>
      <w:r w:rsidR="00E43069">
        <w:rPr>
          <w:rFonts w:ascii="Times New Roman" w:hAnsi="Times New Roman"/>
          <w:sz w:val="20"/>
          <w:lang w:val="en-GB"/>
        </w:rPr>
        <w:t xml:space="preserve">. </w:t>
      </w:r>
      <w:r w:rsidRPr="00E40E6E">
        <w:rPr>
          <w:rFonts w:ascii="Times New Roman" w:hAnsi="Times New Roman"/>
          <w:sz w:val="20"/>
          <w:lang w:val="en-GB"/>
        </w:rPr>
        <w:t>Continuous predictors were assessed for linearity with OS. When not linearly associated, multiple transformations were subjected to Akaike’s Information Criterion (AIC) to identify the optimal transformation (rms package). WHO performance score was added to the model as treatment interaction since previous data indicated that patients with poor performance may benefit from intensified upfront therapy.</w:t>
      </w:r>
      <w:r w:rsidRPr="00E40E6E">
        <w:rPr>
          <w:rFonts w:ascii="Times New Roman" w:hAnsi="Times New Roman"/>
          <w:sz w:val="20"/>
          <w:vertAlign w:val="superscript"/>
          <w:lang w:val="en-GB"/>
        </w:rPr>
        <w:t xml:space="preserve"> </w:t>
      </w:r>
      <w:r w:rsidRPr="00E40E6E">
        <w:rPr>
          <w:rFonts w:ascii="Times New Roman" w:hAnsi="Times New Roman"/>
          <w:sz w:val="20"/>
          <w:vertAlign w:val="superscript"/>
          <w:lang w:val="en-GB"/>
        </w:rPr>
        <w:fldChar w:fldCharType="begin"/>
      </w:r>
      <w:r w:rsidRPr="00E40E6E">
        <w:rPr>
          <w:rFonts w:ascii="Times New Roman" w:hAnsi="Times New Roman"/>
          <w:sz w:val="20"/>
          <w:vertAlign w:val="superscript"/>
          <w:lang w:val="en-GB"/>
        </w:rPr>
        <w:instrText xml:space="preserve"> REF _Ref494294572 \r \h  \* MERGEFORMAT </w:instrText>
      </w:r>
      <w:r w:rsidRPr="00E40E6E">
        <w:rPr>
          <w:rFonts w:ascii="Times New Roman" w:hAnsi="Times New Roman"/>
          <w:sz w:val="20"/>
          <w:vertAlign w:val="superscript"/>
          <w:lang w:val="en-GB"/>
        </w:rPr>
      </w:r>
      <w:r w:rsidRPr="00E40E6E">
        <w:rPr>
          <w:rFonts w:ascii="Times New Roman" w:hAnsi="Times New Roman"/>
          <w:sz w:val="20"/>
          <w:vertAlign w:val="superscript"/>
          <w:lang w:val="en-GB"/>
        </w:rPr>
        <w:fldChar w:fldCharType="separate"/>
      </w:r>
      <w:r w:rsidRPr="00E40E6E">
        <w:rPr>
          <w:rFonts w:ascii="Times New Roman" w:hAnsi="Times New Roman"/>
          <w:sz w:val="20"/>
          <w:vertAlign w:val="superscript"/>
          <w:lang w:val="en-GB"/>
        </w:rPr>
        <w:t>2</w:t>
      </w:r>
      <w:r w:rsidRPr="00E40E6E">
        <w:rPr>
          <w:rFonts w:ascii="Times New Roman" w:hAnsi="Times New Roman"/>
          <w:sz w:val="20"/>
          <w:vertAlign w:val="superscript"/>
          <w:lang w:val="en-GB"/>
        </w:rPr>
        <w:fldChar w:fldCharType="end"/>
      </w:r>
      <w:r w:rsidRPr="00E40E6E">
        <w:rPr>
          <w:rFonts w:ascii="Times New Roman" w:hAnsi="Times New Roman"/>
          <w:sz w:val="20"/>
          <w:vertAlign w:val="superscript"/>
          <w:lang w:val="en-GB"/>
        </w:rPr>
        <w:t>,</w:t>
      </w:r>
      <w:r w:rsidR="00033191">
        <w:rPr>
          <w:rFonts w:ascii="Times New Roman" w:hAnsi="Times New Roman"/>
          <w:sz w:val="20"/>
          <w:vertAlign w:val="superscript"/>
          <w:lang w:val="en-GB"/>
        </w:rPr>
        <w:fldChar w:fldCharType="begin"/>
      </w:r>
      <w:r w:rsidR="00033191">
        <w:rPr>
          <w:rFonts w:ascii="Times New Roman" w:hAnsi="Times New Roman"/>
          <w:sz w:val="20"/>
          <w:vertAlign w:val="superscript"/>
          <w:lang w:val="en-GB"/>
        </w:rPr>
        <w:instrText xml:space="preserve"> REF _Ref531807411 \r \h </w:instrText>
      </w:r>
      <w:r w:rsidR="00033191">
        <w:rPr>
          <w:rFonts w:ascii="Times New Roman" w:hAnsi="Times New Roman"/>
          <w:sz w:val="20"/>
          <w:vertAlign w:val="superscript"/>
          <w:lang w:val="en-GB"/>
        </w:rPr>
      </w:r>
      <w:r w:rsidR="00033191">
        <w:rPr>
          <w:rFonts w:ascii="Times New Roman" w:hAnsi="Times New Roman"/>
          <w:sz w:val="20"/>
          <w:vertAlign w:val="superscript"/>
          <w:lang w:val="en-GB"/>
        </w:rPr>
        <w:fldChar w:fldCharType="separate"/>
      </w:r>
      <w:r w:rsidR="00033191">
        <w:rPr>
          <w:rFonts w:ascii="Times New Roman" w:hAnsi="Times New Roman"/>
          <w:sz w:val="20"/>
          <w:vertAlign w:val="superscript"/>
          <w:lang w:val="en-GB"/>
        </w:rPr>
        <w:t>7</w:t>
      </w:r>
      <w:r w:rsidR="00033191">
        <w:rPr>
          <w:rFonts w:ascii="Times New Roman" w:hAnsi="Times New Roman"/>
          <w:sz w:val="20"/>
          <w:vertAlign w:val="superscript"/>
          <w:lang w:val="en-GB"/>
        </w:rPr>
        <w:fldChar w:fldCharType="end"/>
      </w:r>
      <w:r w:rsidRPr="00E40E6E">
        <w:rPr>
          <w:rFonts w:ascii="Times New Roman" w:hAnsi="Times New Roman"/>
          <w:sz w:val="20"/>
          <w:lang w:val="en-GB"/>
        </w:rPr>
        <w:t xml:space="preserve"> To evaluate the presence of additional treatment interactions, interactions terms of all included variables were added and subjected to backward selection based on AIC (rms package).</w:t>
      </w:r>
      <w:r w:rsidR="00033191" w:rsidRPr="00033191">
        <w:rPr>
          <w:rFonts w:ascii="Times New Roman" w:hAnsi="Times New Roman"/>
          <w:sz w:val="20"/>
          <w:vertAlign w:val="superscript"/>
          <w:lang w:val="en-GB"/>
        </w:rPr>
        <w:fldChar w:fldCharType="begin"/>
      </w:r>
      <w:r w:rsidR="00033191" w:rsidRPr="00033191">
        <w:rPr>
          <w:rFonts w:ascii="Times New Roman" w:hAnsi="Times New Roman"/>
          <w:sz w:val="20"/>
          <w:vertAlign w:val="superscript"/>
          <w:lang w:val="en-GB"/>
        </w:rPr>
        <w:instrText xml:space="preserve"> REF _Ref531807422 \r \h </w:instrText>
      </w:r>
      <w:r w:rsidR="00033191">
        <w:rPr>
          <w:rFonts w:ascii="Times New Roman" w:hAnsi="Times New Roman"/>
          <w:sz w:val="20"/>
          <w:vertAlign w:val="superscript"/>
          <w:lang w:val="en-GB"/>
        </w:rPr>
        <w:instrText xml:space="preserve"> \* MERGEFORMAT </w:instrText>
      </w:r>
      <w:r w:rsidR="00033191" w:rsidRPr="00033191">
        <w:rPr>
          <w:rFonts w:ascii="Times New Roman" w:hAnsi="Times New Roman"/>
          <w:sz w:val="20"/>
          <w:vertAlign w:val="superscript"/>
          <w:lang w:val="en-GB"/>
        </w:rPr>
      </w:r>
      <w:r w:rsidR="00033191" w:rsidRPr="00033191">
        <w:rPr>
          <w:rFonts w:ascii="Times New Roman" w:hAnsi="Times New Roman"/>
          <w:sz w:val="20"/>
          <w:vertAlign w:val="superscript"/>
          <w:lang w:val="en-GB"/>
        </w:rPr>
        <w:fldChar w:fldCharType="separate"/>
      </w:r>
      <w:r w:rsidR="00033191" w:rsidRPr="00033191">
        <w:rPr>
          <w:rFonts w:ascii="Times New Roman" w:hAnsi="Times New Roman"/>
          <w:sz w:val="20"/>
          <w:vertAlign w:val="superscript"/>
          <w:lang w:val="en-GB"/>
        </w:rPr>
        <w:t>8</w:t>
      </w:r>
      <w:r w:rsidR="00033191" w:rsidRPr="00033191">
        <w:rPr>
          <w:rFonts w:ascii="Times New Roman" w:hAnsi="Times New Roman"/>
          <w:sz w:val="20"/>
          <w:vertAlign w:val="superscript"/>
          <w:lang w:val="en-GB"/>
        </w:rPr>
        <w:fldChar w:fldCharType="end"/>
      </w:r>
      <w:r w:rsidRPr="00E40E6E">
        <w:rPr>
          <w:rFonts w:ascii="Times New Roman" w:hAnsi="Times New Roman"/>
          <w:sz w:val="20"/>
          <w:lang w:val="en-GB"/>
        </w:rPr>
        <w:t xml:space="preserve"> An estimate of the optimism in the calibration slope and the corresponding shrinkage factor were determined by repeating the full modelling process in 1000 bootstrap repetitions. </w:t>
      </w:r>
    </w:p>
    <w:p w:rsidR="00E40E6E" w:rsidRPr="00E40E6E" w:rsidRDefault="00E40E6E" w:rsidP="00E40E6E">
      <w:pPr>
        <w:spacing w:line="240" w:lineRule="auto"/>
        <w:rPr>
          <w:rFonts w:ascii="Times New Roman" w:hAnsi="Times New Roman"/>
          <w:sz w:val="20"/>
          <w:lang w:val="en-GB"/>
        </w:rPr>
      </w:pPr>
      <w:r w:rsidRPr="00E40E6E">
        <w:rPr>
          <w:rFonts w:ascii="Times New Roman" w:hAnsi="Times New Roman"/>
          <w:sz w:val="20"/>
          <w:lang w:val="en-GB"/>
        </w:rPr>
        <w:t>Data from the FOCUS trial were used for external validation. Again, missing values of predictors were imputed and continuous predictors were truncated. Model coefficients were penalized by using a uniform shrinkage factor of 0.91 prior to obtaining predictions. Model performance was measured using the C-index,</w:t>
      </w:r>
      <w:r w:rsidR="00033191">
        <w:rPr>
          <w:rFonts w:ascii="Times New Roman" w:hAnsi="Times New Roman"/>
          <w:sz w:val="20"/>
          <w:vertAlign w:val="superscript"/>
          <w:lang w:val="en-GB"/>
        </w:rPr>
        <w:fldChar w:fldCharType="begin"/>
      </w:r>
      <w:r w:rsidR="00033191">
        <w:rPr>
          <w:rFonts w:ascii="Times New Roman" w:hAnsi="Times New Roman"/>
          <w:sz w:val="20"/>
          <w:vertAlign w:val="superscript"/>
          <w:lang w:val="en-GB"/>
        </w:rPr>
        <w:instrText xml:space="preserve"> REF _Ref531807447 \r \h </w:instrText>
      </w:r>
      <w:r w:rsidR="00033191">
        <w:rPr>
          <w:rFonts w:ascii="Times New Roman" w:hAnsi="Times New Roman"/>
          <w:sz w:val="20"/>
          <w:vertAlign w:val="superscript"/>
          <w:lang w:val="en-GB"/>
        </w:rPr>
      </w:r>
      <w:r w:rsidR="00033191">
        <w:rPr>
          <w:rFonts w:ascii="Times New Roman" w:hAnsi="Times New Roman"/>
          <w:sz w:val="20"/>
          <w:vertAlign w:val="superscript"/>
          <w:lang w:val="en-GB"/>
        </w:rPr>
        <w:fldChar w:fldCharType="separate"/>
      </w:r>
      <w:r w:rsidR="00033191">
        <w:rPr>
          <w:rFonts w:ascii="Times New Roman" w:hAnsi="Times New Roman"/>
          <w:sz w:val="20"/>
          <w:vertAlign w:val="superscript"/>
          <w:lang w:val="en-GB"/>
        </w:rPr>
        <w:t>9</w:t>
      </w:r>
      <w:r w:rsidR="00033191">
        <w:rPr>
          <w:rFonts w:ascii="Times New Roman" w:hAnsi="Times New Roman"/>
          <w:sz w:val="20"/>
          <w:vertAlign w:val="superscript"/>
          <w:lang w:val="en-GB"/>
        </w:rPr>
        <w:fldChar w:fldCharType="end"/>
      </w:r>
      <w:r w:rsidRPr="00E40E6E">
        <w:rPr>
          <w:rFonts w:ascii="Times New Roman" w:hAnsi="Times New Roman"/>
          <w:sz w:val="20"/>
          <w:lang w:val="en-GB"/>
        </w:rPr>
        <w:t xml:space="preserve"> and a calibration plot was constructed to evaluate how close the predictions were to the observed survival times.</w:t>
      </w:r>
    </w:p>
    <w:p w:rsidR="00E40E6E" w:rsidRPr="00E40E6E" w:rsidRDefault="00E40E6E" w:rsidP="00E40E6E">
      <w:pPr>
        <w:spacing w:line="240" w:lineRule="auto"/>
        <w:rPr>
          <w:rFonts w:ascii="Times New Roman" w:hAnsi="Times New Roman"/>
          <w:b/>
          <w:sz w:val="20"/>
          <w:lang w:val="en-GB"/>
        </w:rPr>
      </w:pPr>
      <w:r w:rsidRPr="00E40E6E">
        <w:rPr>
          <w:rFonts w:ascii="Times New Roman" w:hAnsi="Times New Roman"/>
          <w:b/>
          <w:sz w:val="20"/>
          <w:lang w:val="en-GB"/>
        </w:rPr>
        <w:t>Development of model estimating the probability of receiving second-line treatment</w:t>
      </w:r>
    </w:p>
    <w:p w:rsidR="00E40E6E" w:rsidRPr="00E40E6E" w:rsidRDefault="00E40E6E" w:rsidP="00E40E6E">
      <w:pPr>
        <w:spacing w:line="240" w:lineRule="auto"/>
        <w:rPr>
          <w:rFonts w:ascii="Times New Roman" w:hAnsi="Times New Roman"/>
          <w:i/>
          <w:sz w:val="20"/>
          <w:lang w:val="en-GB"/>
        </w:rPr>
      </w:pPr>
      <w:r w:rsidRPr="00E40E6E">
        <w:rPr>
          <w:rFonts w:ascii="Times New Roman" w:hAnsi="Times New Roman"/>
          <w:sz w:val="20"/>
          <w:lang w:val="en-GB"/>
        </w:rPr>
        <w:lastRenderedPageBreak/>
        <w:t>A step-by-step protocol</w:t>
      </w:r>
      <w:r w:rsidR="00033191">
        <w:rPr>
          <w:rFonts w:ascii="Times New Roman" w:hAnsi="Times New Roman"/>
          <w:sz w:val="20"/>
          <w:vertAlign w:val="superscript"/>
          <w:lang w:val="en-GB"/>
        </w:rPr>
        <w:fldChar w:fldCharType="begin"/>
      </w:r>
      <w:r w:rsidR="00033191">
        <w:rPr>
          <w:rFonts w:ascii="Times New Roman" w:hAnsi="Times New Roman"/>
          <w:sz w:val="20"/>
          <w:vertAlign w:val="superscript"/>
          <w:lang w:val="en-GB"/>
        </w:rPr>
        <w:instrText xml:space="preserve"> REF _Ref488832244 \r \h </w:instrText>
      </w:r>
      <w:r w:rsidR="00033191">
        <w:rPr>
          <w:rFonts w:ascii="Times New Roman" w:hAnsi="Times New Roman"/>
          <w:sz w:val="20"/>
          <w:vertAlign w:val="superscript"/>
          <w:lang w:val="en-GB"/>
        </w:rPr>
      </w:r>
      <w:r w:rsidR="00033191">
        <w:rPr>
          <w:rFonts w:ascii="Times New Roman" w:hAnsi="Times New Roman"/>
          <w:sz w:val="20"/>
          <w:vertAlign w:val="superscript"/>
          <w:lang w:val="en-GB"/>
        </w:rPr>
        <w:fldChar w:fldCharType="separate"/>
      </w:r>
      <w:r w:rsidR="00033191">
        <w:rPr>
          <w:rFonts w:ascii="Times New Roman" w:hAnsi="Times New Roman"/>
          <w:sz w:val="20"/>
          <w:vertAlign w:val="superscript"/>
          <w:lang w:val="en-GB"/>
        </w:rPr>
        <w:t>10</w:t>
      </w:r>
      <w:r w:rsidR="00033191">
        <w:rPr>
          <w:rFonts w:ascii="Times New Roman" w:hAnsi="Times New Roman"/>
          <w:sz w:val="20"/>
          <w:vertAlign w:val="superscript"/>
          <w:lang w:val="en-GB"/>
        </w:rPr>
        <w:fldChar w:fldCharType="end"/>
      </w:r>
      <w:r w:rsidRPr="00E40E6E">
        <w:rPr>
          <w:rFonts w:ascii="Times New Roman" w:hAnsi="Times New Roman"/>
          <w:sz w:val="20"/>
          <w:lang w:val="en-GB"/>
        </w:rPr>
        <w:t xml:space="preserve"> was followed for the development of this model: 1) Potential prognostic variables were identified, including age, sex, WHO performance status (0, 1, or 2), BMI, number of metastatic sites (0, 1, 2, or ≥3), presentation of metastatic disease (synchronous or metachronous), resection of the primary tumo</w:t>
      </w:r>
      <w:r w:rsidR="00375C5F">
        <w:rPr>
          <w:rFonts w:ascii="Times New Roman" w:hAnsi="Times New Roman"/>
          <w:sz w:val="20"/>
          <w:lang w:val="en-GB"/>
        </w:rPr>
        <w:t>u</w:t>
      </w:r>
      <w:r w:rsidRPr="00E40E6E">
        <w:rPr>
          <w:rFonts w:ascii="Times New Roman" w:hAnsi="Times New Roman"/>
          <w:sz w:val="20"/>
          <w:lang w:val="en-GB"/>
        </w:rPr>
        <w:t>r (yes or no)</w:t>
      </w:r>
      <w:r w:rsidR="00AC05BD">
        <w:rPr>
          <w:rFonts w:ascii="Times New Roman" w:hAnsi="Times New Roman"/>
          <w:sz w:val="20"/>
          <w:lang w:val="en-GB"/>
        </w:rPr>
        <w:t>, sidedness of the primary tumo</w:t>
      </w:r>
      <w:r w:rsidR="00375C5F">
        <w:rPr>
          <w:rFonts w:ascii="Times New Roman" w:hAnsi="Times New Roman"/>
          <w:sz w:val="20"/>
          <w:lang w:val="en-GB"/>
        </w:rPr>
        <w:t>u</w:t>
      </w:r>
      <w:r w:rsidRPr="00E40E6E">
        <w:rPr>
          <w:rFonts w:ascii="Times New Roman" w:hAnsi="Times New Roman"/>
          <w:sz w:val="20"/>
          <w:lang w:val="en-GB"/>
        </w:rPr>
        <w:t>r (left or right), ALP, and WBC. Missing data were imputed using the methods described above and continuous variables were truncated at the 1</w:t>
      </w:r>
      <w:r w:rsidRPr="00E40E6E">
        <w:rPr>
          <w:rFonts w:ascii="Times New Roman" w:hAnsi="Times New Roman"/>
          <w:sz w:val="20"/>
          <w:vertAlign w:val="superscript"/>
          <w:lang w:val="en-GB"/>
        </w:rPr>
        <w:t>st</w:t>
      </w:r>
      <w:r w:rsidRPr="00E40E6E">
        <w:rPr>
          <w:rFonts w:ascii="Times New Roman" w:hAnsi="Times New Roman"/>
          <w:sz w:val="20"/>
          <w:lang w:val="en-GB"/>
        </w:rPr>
        <w:t xml:space="preserve"> and 99</w:t>
      </w:r>
      <w:r w:rsidRPr="00E40E6E">
        <w:rPr>
          <w:rFonts w:ascii="Times New Roman" w:hAnsi="Times New Roman"/>
          <w:sz w:val="20"/>
          <w:vertAlign w:val="superscript"/>
          <w:lang w:val="en-GB"/>
        </w:rPr>
        <w:t>th</w:t>
      </w:r>
      <w:r w:rsidRPr="00E40E6E">
        <w:rPr>
          <w:rFonts w:ascii="Times New Roman" w:hAnsi="Times New Roman"/>
          <w:sz w:val="20"/>
          <w:lang w:val="en-GB"/>
        </w:rPr>
        <w:t xml:space="preserve"> percentile. Continuous variables were transformed when not linearly association with the endpoint. 2) Predictors were selected using logistic regression analysis with backward stepwise selection based on AIC (rms package), with assessment of any potential interaction effects; 3) </w:t>
      </w:r>
      <w:r w:rsidR="003A63E4" w:rsidRPr="003A63E4">
        <w:rPr>
          <w:rFonts w:ascii="Times New Roman" w:hAnsi="Times New Roman"/>
          <w:sz w:val="20"/>
          <w:lang w:val="en-GB"/>
        </w:rPr>
        <w:t>The model was subjected to 1000 bootstrap resamples for internal validation and app</w:t>
      </w:r>
      <w:r w:rsidR="003A63E4">
        <w:rPr>
          <w:rFonts w:ascii="Times New Roman" w:hAnsi="Times New Roman"/>
          <w:sz w:val="20"/>
          <w:lang w:val="en-GB"/>
        </w:rPr>
        <w:t>raised with Harrell’s C-index</w:t>
      </w:r>
      <w:r w:rsidR="00033191">
        <w:rPr>
          <w:rFonts w:ascii="Times New Roman" w:hAnsi="Times New Roman"/>
          <w:sz w:val="20"/>
          <w:vertAlign w:val="superscript"/>
          <w:lang w:val="en-GB"/>
        </w:rPr>
        <w:fldChar w:fldCharType="begin"/>
      </w:r>
      <w:r w:rsidR="00033191">
        <w:rPr>
          <w:rFonts w:ascii="Times New Roman" w:hAnsi="Times New Roman"/>
          <w:sz w:val="20"/>
          <w:vertAlign w:val="superscript"/>
          <w:lang w:val="en-GB"/>
        </w:rPr>
        <w:instrText xml:space="preserve"> REF _Ref531807493 \r \h </w:instrText>
      </w:r>
      <w:r w:rsidR="00033191">
        <w:rPr>
          <w:rFonts w:ascii="Times New Roman" w:hAnsi="Times New Roman"/>
          <w:sz w:val="20"/>
          <w:vertAlign w:val="superscript"/>
          <w:lang w:val="en-GB"/>
        </w:rPr>
      </w:r>
      <w:r w:rsidR="00033191">
        <w:rPr>
          <w:rFonts w:ascii="Times New Roman" w:hAnsi="Times New Roman"/>
          <w:sz w:val="20"/>
          <w:vertAlign w:val="superscript"/>
          <w:lang w:val="en-GB"/>
        </w:rPr>
        <w:fldChar w:fldCharType="separate"/>
      </w:r>
      <w:r w:rsidR="00033191">
        <w:rPr>
          <w:rFonts w:ascii="Times New Roman" w:hAnsi="Times New Roman"/>
          <w:sz w:val="20"/>
          <w:vertAlign w:val="superscript"/>
          <w:lang w:val="en-GB"/>
        </w:rPr>
        <w:t>11</w:t>
      </w:r>
      <w:r w:rsidR="00033191">
        <w:rPr>
          <w:rFonts w:ascii="Times New Roman" w:hAnsi="Times New Roman"/>
          <w:sz w:val="20"/>
          <w:vertAlign w:val="superscript"/>
          <w:lang w:val="en-GB"/>
        </w:rPr>
        <w:fldChar w:fldCharType="end"/>
      </w:r>
      <w:r w:rsidR="003A63E4">
        <w:rPr>
          <w:rFonts w:ascii="Times New Roman" w:hAnsi="Times New Roman"/>
          <w:sz w:val="20"/>
          <w:lang w:val="en-GB"/>
        </w:rPr>
        <w:t xml:space="preserve">; </w:t>
      </w:r>
      <w:r w:rsidRPr="00E40E6E">
        <w:rPr>
          <w:rFonts w:ascii="Times New Roman" w:hAnsi="Times New Roman"/>
          <w:sz w:val="20"/>
          <w:lang w:val="en-GB"/>
        </w:rPr>
        <w:t>4) Model coefficients were shrunk using penalized maximum likelihood (optimal penalty factor of 12; pentrace package), after which FOCUS data were used for external validation</w:t>
      </w:r>
      <w:r w:rsidR="003A63E4">
        <w:rPr>
          <w:rFonts w:ascii="Times New Roman" w:hAnsi="Times New Roman"/>
          <w:sz w:val="20"/>
          <w:lang w:val="en-GB"/>
        </w:rPr>
        <w:t xml:space="preserve"> and a nomogram was constructed (rms package)</w:t>
      </w:r>
      <w:r w:rsidRPr="00E40E6E">
        <w:rPr>
          <w:rFonts w:ascii="Times New Roman" w:hAnsi="Times New Roman"/>
          <w:sz w:val="20"/>
          <w:lang w:val="en-GB"/>
        </w:rPr>
        <w:t xml:space="preserve">. </w:t>
      </w:r>
    </w:p>
    <w:p w:rsidR="00E40E6E" w:rsidRPr="00E40E6E" w:rsidRDefault="00E40E6E" w:rsidP="00E40E6E">
      <w:pPr>
        <w:spacing w:line="240" w:lineRule="auto"/>
        <w:rPr>
          <w:rFonts w:ascii="Times New Roman" w:hAnsi="Times New Roman"/>
          <w:b/>
          <w:sz w:val="20"/>
          <w:lang w:val="en-GB"/>
        </w:rPr>
      </w:pPr>
      <w:r w:rsidRPr="00E40E6E">
        <w:rPr>
          <w:rFonts w:ascii="Times New Roman" w:hAnsi="Times New Roman"/>
          <w:b/>
          <w:sz w:val="20"/>
          <w:lang w:val="en-GB"/>
        </w:rPr>
        <w:t>Model outcomes</w:t>
      </w:r>
    </w:p>
    <w:p w:rsidR="00E40E6E" w:rsidRPr="00E40E6E" w:rsidRDefault="00E40E6E" w:rsidP="00E40E6E">
      <w:pPr>
        <w:spacing w:line="240" w:lineRule="auto"/>
        <w:rPr>
          <w:rFonts w:ascii="Times New Roman" w:hAnsi="Times New Roman"/>
          <w:sz w:val="20"/>
          <w:lang w:val="en-GB"/>
        </w:rPr>
      </w:pPr>
      <w:r w:rsidRPr="00E40E6E">
        <w:rPr>
          <w:rFonts w:ascii="Times New Roman" w:hAnsi="Times New Roman"/>
          <w:sz w:val="20"/>
          <w:lang w:val="en-GB"/>
        </w:rPr>
        <w:t>The first model was used to predict median OS in months with sequential treatment and with upfront combination treatment for every individual patient in the CAIRO trial. The predicted gain in median OS of combination versus sequential treatment was subsequently calculated as the difference between these two survival estimates. The second model was used to predict the probability of receiving second-line treatment after first-line monochemotherapy. Since exposure to all available drugs is associated with improved survival</w:t>
      </w:r>
      <w:r w:rsidR="00033191">
        <w:rPr>
          <w:rFonts w:ascii="Times New Roman" w:hAnsi="Times New Roman"/>
          <w:sz w:val="20"/>
          <w:vertAlign w:val="superscript"/>
          <w:lang w:val="en-GB"/>
        </w:rPr>
        <w:fldChar w:fldCharType="begin"/>
      </w:r>
      <w:r w:rsidR="00033191">
        <w:rPr>
          <w:rFonts w:ascii="Times New Roman" w:hAnsi="Times New Roman"/>
          <w:sz w:val="20"/>
          <w:vertAlign w:val="superscript"/>
          <w:lang w:val="en-GB"/>
        </w:rPr>
        <w:instrText xml:space="preserve"> REF _Ref531807509 \r \h </w:instrText>
      </w:r>
      <w:r w:rsidR="00033191">
        <w:rPr>
          <w:rFonts w:ascii="Times New Roman" w:hAnsi="Times New Roman"/>
          <w:sz w:val="20"/>
          <w:vertAlign w:val="superscript"/>
          <w:lang w:val="en-GB"/>
        </w:rPr>
      </w:r>
      <w:r w:rsidR="00033191">
        <w:rPr>
          <w:rFonts w:ascii="Times New Roman" w:hAnsi="Times New Roman"/>
          <w:sz w:val="20"/>
          <w:vertAlign w:val="superscript"/>
          <w:lang w:val="en-GB"/>
        </w:rPr>
        <w:fldChar w:fldCharType="separate"/>
      </w:r>
      <w:r w:rsidR="00033191">
        <w:rPr>
          <w:rFonts w:ascii="Times New Roman" w:hAnsi="Times New Roman"/>
          <w:sz w:val="20"/>
          <w:vertAlign w:val="superscript"/>
          <w:lang w:val="en-GB"/>
        </w:rPr>
        <w:t>12</w:t>
      </w:r>
      <w:r w:rsidR="00033191">
        <w:rPr>
          <w:rFonts w:ascii="Times New Roman" w:hAnsi="Times New Roman"/>
          <w:sz w:val="20"/>
          <w:vertAlign w:val="superscript"/>
          <w:lang w:val="en-GB"/>
        </w:rPr>
        <w:fldChar w:fldCharType="end"/>
      </w:r>
      <w:r w:rsidRPr="00E40E6E">
        <w:rPr>
          <w:rFonts w:ascii="Times New Roman" w:hAnsi="Times New Roman"/>
          <w:sz w:val="20"/>
          <w:lang w:val="en-GB"/>
        </w:rPr>
        <w:t>, this model would be particularly helpful for patients who do not have a clear predicted survival benefit for combination or sequential chemotherapy.</w:t>
      </w:r>
    </w:p>
    <w:p w:rsidR="00E9794E" w:rsidRDefault="00E40E6E" w:rsidP="00E40E6E">
      <w:pPr>
        <w:spacing w:line="240" w:lineRule="auto"/>
        <w:rPr>
          <w:rFonts w:ascii="Times New Roman" w:hAnsi="Times New Roman"/>
          <w:sz w:val="20"/>
          <w:lang w:val="en-GB"/>
        </w:rPr>
      </w:pPr>
      <w:r w:rsidRPr="00E40E6E">
        <w:rPr>
          <w:rFonts w:ascii="Times New Roman" w:hAnsi="Times New Roman"/>
          <w:sz w:val="20"/>
          <w:lang w:val="en-GB"/>
        </w:rPr>
        <w:t>For the model predicting gain in median OS, decision curve analysis was used to determine whether treatment-decisions based on the model predictions of treatment effect would result in better clinical outcomes than treating patients based on group level results (treating all or none with combination therapy).</w:t>
      </w:r>
      <w:r w:rsidR="00033191">
        <w:rPr>
          <w:rFonts w:ascii="Times New Roman" w:hAnsi="Times New Roman"/>
          <w:sz w:val="20"/>
          <w:vertAlign w:val="superscript"/>
          <w:lang w:val="en-GB"/>
        </w:rPr>
        <w:fldChar w:fldCharType="begin"/>
      </w:r>
      <w:r w:rsidR="00033191">
        <w:rPr>
          <w:rFonts w:ascii="Times New Roman" w:hAnsi="Times New Roman"/>
          <w:sz w:val="20"/>
          <w:vertAlign w:val="superscript"/>
          <w:lang w:val="en-GB"/>
        </w:rPr>
        <w:instrText xml:space="preserve"> REF _Ref488828803 \r \h </w:instrText>
      </w:r>
      <w:r w:rsidR="00033191">
        <w:rPr>
          <w:rFonts w:ascii="Times New Roman" w:hAnsi="Times New Roman"/>
          <w:sz w:val="20"/>
          <w:vertAlign w:val="superscript"/>
          <w:lang w:val="en-GB"/>
        </w:rPr>
      </w:r>
      <w:r w:rsidR="00033191">
        <w:rPr>
          <w:rFonts w:ascii="Times New Roman" w:hAnsi="Times New Roman"/>
          <w:sz w:val="20"/>
          <w:vertAlign w:val="superscript"/>
          <w:lang w:val="en-GB"/>
        </w:rPr>
        <w:fldChar w:fldCharType="separate"/>
      </w:r>
      <w:r w:rsidR="00033191">
        <w:rPr>
          <w:rFonts w:ascii="Times New Roman" w:hAnsi="Times New Roman"/>
          <w:sz w:val="20"/>
          <w:vertAlign w:val="superscript"/>
          <w:lang w:val="en-GB"/>
        </w:rPr>
        <w:t>13</w:t>
      </w:r>
      <w:r w:rsidR="00033191">
        <w:rPr>
          <w:rFonts w:ascii="Times New Roman" w:hAnsi="Times New Roman"/>
          <w:sz w:val="20"/>
          <w:vertAlign w:val="superscript"/>
          <w:lang w:val="en-GB"/>
        </w:rPr>
        <w:fldChar w:fldCharType="end"/>
      </w:r>
      <w:r w:rsidRPr="00E40E6E">
        <w:rPr>
          <w:rFonts w:ascii="Times New Roman" w:hAnsi="Times New Roman"/>
          <w:sz w:val="20"/>
          <w:lang w:val="en-GB"/>
        </w:rPr>
        <w:t xml:space="preserve"> This method includes calculation of net benefit, which was defined as the predicted gain in median OS minus the treatment threshold multiplied by the associated treatment rate (i.e. proportion of patients treated with combination therapy according to a certain strategy at a certain threshold). The treatment threshold is the smallest gain in OS at which a patient and doctor would opt for upfront combination treatment. For example, a threshold of three months gain in OS implies that at that point the benefits (gain in OS) and harms (e.g. toxicity) of combination treatment are considered equal. Thus, the more harms are associated with a treatment, the higher the treatment threshold. At each threshold, data from patients who were actually treated according to the strategy at hand was used. For example, when 50% of patients have a predicted gain of more than a hypothetical threshold of three months for combination treatment, and the median OS benefit observed in patients with a congruent actual and recommended treatment is two months, the net benefit will be 2.0 – 0.5 x 3 = 0.5. Positive net benefit indicates that combination treatment is superior to treating all patients with sequential chemotherapy, which is the reference (net benefit equals zero), whereas negative net benefit indicates worse clinical outcome. In CAIRO as well as FOCUS data, the net benefit in OS of the following treatment strategies was compared: treat all patients with sequential chemotherapy, treat all patients with upfront combination chemotherapy, prediction-based treatment, and prediction-based treatment treating only those with a significant predicted treatment effect (</w:t>
      </w:r>
      <w:r w:rsidRPr="00E40E6E">
        <w:rPr>
          <w:rFonts w:ascii="Times New Roman" w:hAnsi="Times New Roman"/>
          <w:i/>
          <w:sz w:val="20"/>
          <w:lang w:val="en-GB"/>
        </w:rPr>
        <w:t>P</w:t>
      </w:r>
      <w:r w:rsidRPr="00E40E6E">
        <w:rPr>
          <w:rFonts w:ascii="Times New Roman" w:hAnsi="Times New Roman"/>
          <w:sz w:val="20"/>
          <w:lang w:val="en-GB"/>
        </w:rPr>
        <w:t>&lt;.05). Since the selection of a threshold is highly subjective, we calculated the net benefit for thresholds ranging from zero to five months gain in median OS and presented the results graphically as decision curves. Analyses were performed using SPSS, version 24, and R (with packages as described above, and own algorithms), version 3.3.3.</w:t>
      </w:r>
    </w:p>
    <w:p w:rsidR="00E40E6E" w:rsidRDefault="00E40E6E" w:rsidP="00E40E6E">
      <w:pPr>
        <w:spacing w:line="240" w:lineRule="auto"/>
        <w:rPr>
          <w:rFonts w:ascii="Times New Roman" w:hAnsi="Times New Roman"/>
          <w:sz w:val="20"/>
          <w:lang w:val="en-GB"/>
        </w:rPr>
      </w:pPr>
    </w:p>
    <w:p w:rsidR="00E40E6E" w:rsidRDefault="00E40E6E" w:rsidP="00E40E6E">
      <w:pPr>
        <w:spacing w:line="240" w:lineRule="auto"/>
        <w:rPr>
          <w:rFonts w:ascii="Times New Roman" w:hAnsi="Times New Roman"/>
          <w:sz w:val="20"/>
          <w:lang w:val="en-GB"/>
        </w:rPr>
      </w:pPr>
    </w:p>
    <w:p w:rsidR="00E40E6E" w:rsidRDefault="00E40E6E" w:rsidP="00E40E6E">
      <w:pPr>
        <w:spacing w:line="240" w:lineRule="auto"/>
        <w:rPr>
          <w:rFonts w:ascii="Times New Roman" w:hAnsi="Times New Roman"/>
          <w:sz w:val="20"/>
          <w:lang w:val="en-GB"/>
        </w:rPr>
      </w:pPr>
    </w:p>
    <w:p w:rsidR="003A63E4" w:rsidRDefault="003A63E4" w:rsidP="00E40E6E">
      <w:pPr>
        <w:spacing w:line="240" w:lineRule="auto"/>
        <w:rPr>
          <w:rFonts w:ascii="Times New Roman" w:hAnsi="Times New Roman"/>
          <w:sz w:val="20"/>
          <w:lang w:val="en-GB"/>
        </w:rPr>
      </w:pPr>
    </w:p>
    <w:p w:rsidR="003A63E4" w:rsidRDefault="003A63E4" w:rsidP="00E40E6E">
      <w:pPr>
        <w:spacing w:line="240" w:lineRule="auto"/>
        <w:rPr>
          <w:rFonts w:ascii="Times New Roman" w:hAnsi="Times New Roman"/>
          <w:sz w:val="20"/>
          <w:lang w:val="en-GB"/>
        </w:rPr>
      </w:pPr>
    </w:p>
    <w:p w:rsidR="003A63E4" w:rsidRDefault="003A63E4" w:rsidP="00E40E6E">
      <w:pPr>
        <w:spacing w:line="240" w:lineRule="auto"/>
        <w:rPr>
          <w:rFonts w:ascii="Times New Roman" w:hAnsi="Times New Roman"/>
          <w:sz w:val="20"/>
          <w:lang w:val="en-GB"/>
        </w:rPr>
      </w:pPr>
    </w:p>
    <w:p w:rsidR="003A63E4" w:rsidRDefault="003A63E4" w:rsidP="00E40E6E">
      <w:pPr>
        <w:spacing w:line="240" w:lineRule="auto"/>
        <w:rPr>
          <w:rFonts w:ascii="Times New Roman" w:hAnsi="Times New Roman"/>
          <w:sz w:val="20"/>
          <w:lang w:val="en-GB"/>
        </w:rPr>
      </w:pPr>
    </w:p>
    <w:p w:rsidR="00033191" w:rsidRDefault="00033191" w:rsidP="00E40E6E">
      <w:pPr>
        <w:spacing w:line="240" w:lineRule="auto"/>
        <w:rPr>
          <w:rFonts w:ascii="Times New Roman" w:hAnsi="Times New Roman"/>
          <w:sz w:val="20"/>
          <w:lang w:val="en-GB"/>
        </w:rPr>
      </w:pPr>
    </w:p>
    <w:p w:rsidR="003A63E4" w:rsidRPr="00325208" w:rsidRDefault="00B72D64" w:rsidP="00E40E6E">
      <w:pPr>
        <w:spacing w:line="240" w:lineRule="auto"/>
        <w:rPr>
          <w:rFonts w:ascii="Times New Roman" w:hAnsi="Times New Roman"/>
          <w:b/>
          <w:sz w:val="24"/>
          <w:lang w:val="en-US"/>
        </w:rPr>
      </w:pPr>
      <w:r w:rsidRPr="00B72D64">
        <w:rPr>
          <w:rFonts w:ascii="Times New Roman" w:hAnsi="Times New Roman"/>
          <w:b/>
          <w:sz w:val="24"/>
          <w:lang w:val="en-GB"/>
        </w:rPr>
        <w:lastRenderedPageBreak/>
        <w:t>Supplementary</w:t>
      </w:r>
      <w:r w:rsidRPr="00325208">
        <w:rPr>
          <w:rFonts w:ascii="Times New Roman" w:hAnsi="Times New Roman"/>
          <w:b/>
          <w:sz w:val="24"/>
          <w:lang w:val="en-US"/>
        </w:rPr>
        <w:t xml:space="preserve"> </w:t>
      </w:r>
      <w:r w:rsidR="003A63E4" w:rsidRPr="00325208">
        <w:rPr>
          <w:rFonts w:ascii="Times New Roman" w:hAnsi="Times New Roman"/>
          <w:b/>
          <w:sz w:val="24"/>
          <w:lang w:val="en-US"/>
        </w:rPr>
        <w:t>References</w:t>
      </w:r>
    </w:p>
    <w:p w:rsidR="001E5D1B" w:rsidRPr="001E5D1B" w:rsidRDefault="001E5D1B" w:rsidP="001E5D1B">
      <w:pPr>
        <w:numPr>
          <w:ilvl w:val="0"/>
          <w:numId w:val="2"/>
        </w:numPr>
        <w:spacing w:after="0"/>
        <w:rPr>
          <w:rFonts w:ascii="Times New Roman" w:hAnsi="Times New Roman"/>
          <w:sz w:val="20"/>
        </w:rPr>
      </w:pPr>
      <w:bookmarkStart w:id="0" w:name="_Ref494294570"/>
      <w:r w:rsidRPr="001E5D1B">
        <w:rPr>
          <w:rFonts w:ascii="Times New Roman" w:hAnsi="Times New Roman"/>
          <w:sz w:val="20"/>
        </w:rPr>
        <w:t xml:space="preserve">Koopman M, Antonini NF, Douma J et al. </w:t>
      </w:r>
      <w:r w:rsidRPr="001E5D1B">
        <w:rPr>
          <w:rFonts w:ascii="Times New Roman" w:hAnsi="Times New Roman"/>
          <w:sz w:val="20"/>
          <w:lang w:val="en-US"/>
        </w:rPr>
        <w:t xml:space="preserve">Sequential versus combination chemotherapy with capecitabine, irinotecan, and oxaliplatin in advanced colorectal cancer (CAIRO): a phase III randomised controlled trial. </w:t>
      </w:r>
      <w:r w:rsidRPr="001E5D1B">
        <w:rPr>
          <w:rFonts w:ascii="Times New Roman" w:hAnsi="Times New Roman"/>
          <w:sz w:val="20"/>
        </w:rPr>
        <w:t>Lancet 2007; 370: 135-142.</w:t>
      </w:r>
    </w:p>
    <w:p w:rsidR="001E5D1B" w:rsidRDefault="001E5D1B" w:rsidP="001E5D1B">
      <w:pPr>
        <w:numPr>
          <w:ilvl w:val="0"/>
          <w:numId w:val="2"/>
        </w:numPr>
        <w:spacing w:after="0"/>
        <w:rPr>
          <w:rFonts w:ascii="Times New Roman" w:hAnsi="Times New Roman"/>
          <w:sz w:val="20"/>
        </w:rPr>
      </w:pPr>
      <w:r w:rsidRPr="001E5D1B">
        <w:rPr>
          <w:rFonts w:ascii="Times New Roman" w:hAnsi="Times New Roman"/>
          <w:sz w:val="20"/>
        </w:rPr>
        <w:t xml:space="preserve">Seymour MT, Maughan TS, Ledermann JA et al. </w:t>
      </w:r>
      <w:r w:rsidRPr="001E5D1B">
        <w:rPr>
          <w:rFonts w:ascii="Times New Roman" w:hAnsi="Times New Roman"/>
          <w:sz w:val="20"/>
          <w:lang w:val="en-US"/>
        </w:rPr>
        <w:t xml:space="preserve">Different strategies of sequential and combination chemotherapy for patients with poor prognosis advanced colorectal cancer (MRC FOCUS): a randomised controlled trial. </w:t>
      </w:r>
      <w:r w:rsidRPr="001E5D1B">
        <w:rPr>
          <w:rFonts w:ascii="Times New Roman" w:hAnsi="Times New Roman"/>
          <w:sz w:val="20"/>
        </w:rPr>
        <w:t>Lancet 2007; 370: 143-152.</w:t>
      </w:r>
    </w:p>
    <w:p w:rsidR="001E5D1B" w:rsidRPr="001E5D1B" w:rsidRDefault="001E5D1B" w:rsidP="001E5D1B">
      <w:pPr>
        <w:numPr>
          <w:ilvl w:val="0"/>
          <w:numId w:val="2"/>
        </w:numPr>
        <w:spacing w:after="0"/>
        <w:rPr>
          <w:rFonts w:ascii="Times New Roman" w:hAnsi="Times New Roman"/>
          <w:sz w:val="20"/>
        </w:rPr>
      </w:pPr>
      <w:bookmarkStart w:id="1" w:name="_Ref531807361"/>
      <w:r w:rsidRPr="001E5D1B">
        <w:rPr>
          <w:rFonts w:ascii="Times New Roman" w:hAnsi="Times New Roman"/>
          <w:sz w:val="20"/>
          <w:lang w:val="en-US"/>
        </w:rPr>
        <w:t xml:space="preserve">Köhne CH, Cunningham D, Di Costanzo F et al. Clinical determinants of survival in patients with 5-fluorouracil-based treatment for metastatic colorectal cancer: results of a multivariate analysis of 3825 patients. </w:t>
      </w:r>
      <w:r w:rsidRPr="001E5D1B">
        <w:rPr>
          <w:rFonts w:ascii="Times New Roman" w:hAnsi="Times New Roman"/>
          <w:sz w:val="20"/>
        </w:rPr>
        <w:t>Ann Oncol 2002; 13: 308-317.</w:t>
      </w:r>
      <w:bookmarkEnd w:id="1"/>
    </w:p>
    <w:p w:rsidR="001E5D1B" w:rsidRPr="001E5D1B" w:rsidRDefault="001E5D1B" w:rsidP="001E5D1B">
      <w:pPr>
        <w:numPr>
          <w:ilvl w:val="0"/>
          <w:numId w:val="2"/>
        </w:numPr>
        <w:spacing w:after="0"/>
        <w:rPr>
          <w:rFonts w:ascii="Times New Roman" w:hAnsi="Times New Roman"/>
          <w:sz w:val="20"/>
        </w:rPr>
      </w:pPr>
      <w:r w:rsidRPr="001E5D1B">
        <w:rPr>
          <w:rFonts w:ascii="Times New Roman" w:hAnsi="Times New Roman"/>
          <w:sz w:val="20"/>
          <w:lang w:val="en-US"/>
        </w:rPr>
        <w:t xml:space="preserve">Renfro LA, Loupakis F, Adams RA et al. Body Mass Index Is Prognostic in Metastatic Colorectal Cancer: Pooled Analysis of Patients From First-Line Clinical Trials in the ARCAD Database. </w:t>
      </w:r>
      <w:r w:rsidRPr="001E5D1B">
        <w:rPr>
          <w:rFonts w:ascii="Times New Roman" w:hAnsi="Times New Roman"/>
          <w:sz w:val="20"/>
        </w:rPr>
        <w:t>J Clin Oncol 2016; 34: 144-150.</w:t>
      </w:r>
    </w:p>
    <w:p w:rsidR="001E5D1B" w:rsidRPr="001E5D1B" w:rsidRDefault="001E5D1B" w:rsidP="001E5D1B">
      <w:pPr>
        <w:numPr>
          <w:ilvl w:val="0"/>
          <w:numId w:val="2"/>
        </w:numPr>
        <w:spacing w:after="0"/>
        <w:rPr>
          <w:rFonts w:ascii="Times New Roman" w:hAnsi="Times New Roman"/>
          <w:sz w:val="20"/>
        </w:rPr>
      </w:pPr>
      <w:r w:rsidRPr="001E5D1B">
        <w:rPr>
          <w:rFonts w:ascii="Times New Roman" w:hAnsi="Times New Roman"/>
          <w:sz w:val="20"/>
          <w:lang w:val="en-US"/>
        </w:rPr>
        <w:t xml:space="preserve">Holch JW, Ricard I, Stintzing S, Modest DP, Heinemann V. The relevance of primary tumour location in patients with metastatic colorectal cancer: A meta-analysis of first-line clinical trials. </w:t>
      </w:r>
      <w:r w:rsidRPr="001E5D1B">
        <w:rPr>
          <w:rFonts w:ascii="Times New Roman" w:hAnsi="Times New Roman"/>
          <w:sz w:val="20"/>
        </w:rPr>
        <w:t>Eur J Cancer 2017; 70: 87–98.</w:t>
      </w:r>
    </w:p>
    <w:p w:rsidR="001E5D1B" w:rsidRDefault="001E5D1B" w:rsidP="004304F9">
      <w:pPr>
        <w:numPr>
          <w:ilvl w:val="0"/>
          <w:numId w:val="2"/>
        </w:numPr>
        <w:spacing w:after="0"/>
        <w:rPr>
          <w:rFonts w:ascii="Times New Roman" w:hAnsi="Times New Roman"/>
          <w:sz w:val="20"/>
        </w:rPr>
      </w:pPr>
      <w:bookmarkStart w:id="2" w:name="_Ref531807364"/>
      <w:r w:rsidRPr="001E5D1B">
        <w:rPr>
          <w:rFonts w:ascii="Times New Roman" w:hAnsi="Times New Roman"/>
          <w:sz w:val="20"/>
        </w:rPr>
        <w:t xml:space="preserve">Venderbosch S, de Wilt JH, Teerenstra S et al. </w:t>
      </w:r>
      <w:r w:rsidRPr="001E5D1B">
        <w:rPr>
          <w:rFonts w:ascii="Times New Roman" w:hAnsi="Times New Roman"/>
          <w:sz w:val="20"/>
          <w:lang w:val="en-US"/>
        </w:rPr>
        <w:t xml:space="preserve">Prognostic value of resection of primary tumor in patients with stage IV colorectal cancer: retrospective analysis of two randomized studies and a review of the literature. </w:t>
      </w:r>
      <w:r w:rsidRPr="001E5D1B">
        <w:rPr>
          <w:rFonts w:ascii="Times New Roman" w:hAnsi="Times New Roman"/>
          <w:sz w:val="20"/>
        </w:rPr>
        <w:t>Ann Surg Oncol 2011; 18: 3252-3260.</w:t>
      </w:r>
      <w:bookmarkEnd w:id="2"/>
    </w:p>
    <w:p w:rsidR="001E5D1B" w:rsidRPr="001E5D1B" w:rsidRDefault="001E5D1B" w:rsidP="004304F9">
      <w:pPr>
        <w:numPr>
          <w:ilvl w:val="0"/>
          <w:numId w:val="2"/>
        </w:numPr>
        <w:spacing w:after="0"/>
        <w:rPr>
          <w:rFonts w:ascii="Times New Roman" w:hAnsi="Times New Roman"/>
          <w:sz w:val="20"/>
        </w:rPr>
      </w:pPr>
      <w:bookmarkStart w:id="3" w:name="_Ref531807411"/>
      <w:r w:rsidRPr="001E5D1B">
        <w:rPr>
          <w:rFonts w:ascii="Times New Roman" w:hAnsi="Times New Roman"/>
          <w:sz w:val="20"/>
          <w:lang w:val="en-US"/>
        </w:rPr>
        <w:t xml:space="preserve">Cremolini C, Loupakis F, Antoniotti C et al. FOLFOXIRI plus bevacizumab versus FOLFIRI plus bevacizumab as first-line treatment of patients with metastatic colorectal cancer: updated overall survival and molecular subgroup analyses of the open-label, phase 3 TRIBE study. </w:t>
      </w:r>
      <w:r w:rsidRPr="001E5D1B">
        <w:rPr>
          <w:rFonts w:ascii="Times New Roman" w:hAnsi="Times New Roman"/>
          <w:sz w:val="20"/>
        </w:rPr>
        <w:t>Lancet Oncol 2015; 16: 1306-1315.</w:t>
      </w:r>
      <w:bookmarkEnd w:id="3"/>
    </w:p>
    <w:p w:rsidR="001E5D1B" w:rsidRPr="001E5D1B" w:rsidRDefault="001E5D1B" w:rsidP="001E5D1B">
      <w:pPr>
        <w:numPr>
          <w:ilvl w:val="0"/>
          <w:numId w:val="2"/>
        </w:numPr>
        <w:spacing w:after="0"/>
        <w:rPr>
          <w:rFonts w:ascii="Times New Roman" w:hAnsi="Times New Roman"/>
          <w:sz w:val="20"/>
        </w:rPr>
      </w:pPr>
      <w:bookmarkStart w:id="4" w:name="_Ref531807422"/>
      <w:r w:rsidRPr="001E5D1B">
        <w:rPr>
          <w:rFonts w:ascii="Times New Roman" w:hAnsi="Times New Roman"/>
          <w:sz w:val="20"/>
          <w:lang w:val="en-US"/>
        </w:rPr>
        <w:t xml:space="preserve">Steyerberg EW. Clinical Prediction Models: A Practical Approach to Development, Validation, and Updating. </w:t>
      </w:r>
      <w:r w:rsidRPr="001E5D1B">
        <w:rPr>
          <w:rFonts w:ascii="Times New Roman" w:hAnsi="Times New Roman"/>
          <w:sz w:val="20"/>
        </w:rPr>
        <w:t>New York: Springer, 2009.</w:t>
      </w:r>
      <w:bookmarkEnd w:id="4"/>
    </w:p>
    <w:p w:rsidR="001E5D1B" w:rsidRPr="001E5D1B" w:rsidRDefault="001E5D1B" w:rsidP="001E5D1B">
      <w:pPr>
        <w:numPr>
          <w:ilvl w:val="0"/>
          <w:numId w:val="2"/>
        </w:numPr>
        <w:spacing w:after="0"/>
        <w:rPr>
          <w:rFonts w:ascii="Times New Roman" w:hAnsi="Times New Roman"/>
          <w:sz w:val="20"/>
        </w:rPr>
      </w:pPr>
      <w:bookmarkStart w:id="5" w:name="_Ref531807447"/>
      <w:r w:rsidRPr="001E5D1B">
        <w:rPr>
          <w:rFonts w:ascii="Times New Roman" w:hAnsi="Times New Roman"/>
          <w:sz w:val="20"/>
          <w:lang w:val="en-US"/>
        </w:rPr>
        <w:t xml:space="preserve">Gerds TA, Kattan MW, Schumacher M, Yu C. Estimating a time-dependent concordance index for survival prediction models with covariate dependent censoring. </w:t>
      </w:r>
      <w:r w:rsidRPr="001E5D1B">
        <w:rPr>
          <w:rFonts w:ascii="Times New Roman" w:hAnsi="Times New Roman"/>
          <w:sz w:val="20"/>
        </w:rPr>
        <w:t>Stat Med 2013; 32: 2173-2184.</w:t>
      </w:r>
      <w:bookmarkEnd w:id="5"/>
    </w:p>
    <w:p w:rsidR="003A63E4" w:rsidRPr="001E5D1B" w:rsidRDefault="00325208" w:rsidP="001E5D1B">
      <w:pPr>
        <w:numPr>
          <w:ilvl w:val="0"/>
          <w:numId w:val="2"/>
        </w:numPr>
        <w:spacing w:after="0"/>
        <w:rPr>
          <w:rFonts w:ascii="Times New Roman" w:hAnsi="Times New Roman"/>
          <w:sz w:val="20"/>
          <w:lang w:val="en-US"/>
        </w:rPr>
      </w:pPr>
      <w:bookmarkStart w:id="6" w:name="_Ref488832244"/>
      <w:bookmarkEnd w:id="0"/>
      <w:r w:rsidRPr="001E5D1B">
        <w:rPr>
          <w:rFonts w:ascii="Times New Roman" w:hAnsi="Times New Roman"/>
          <w:sz w:val="20"/>
          <w:lang w:val="en-GB"/>
        </w:rPr>
        <w:t>Iasonos A, Schrag D, Raj GV, Panageas KS</w:t>
      </w:r>
      <w:r w:rsidR="001E5D1B">
        <w:rPr>
          <w:rFonts w:ascii="Times New Roman" w:hAnsi="Times New Roman"/>
          <w:sz w:val="20"/>
          <w:lang w:val="en-GB"/>
        </w:rPr>
        <w:t>.</w:t>
      </w:r>
      <w:r w:rsidRPr="001E5D1B">
        <w:rPr>
          <w:rFonts w:ascii="Times New Roman" w:hAnsi="Times New Roman"/>
          <w:sz w:val="20"/>
          <w:lang w:val="en-GB"/>
        </w:rPr>
        <w:t xml:space="preserve"> How to build and interpret a nomogram for cancer prognosis. J Clin Oncol </w:t>
      </w:r>
      <w:r w:rsidR="001E5D1B" w:rsidRPr="001E5D1B">
        <w:rPr>
          <w:rFonts w:ascii="Times New Roman" w:hAnsi="Times New Roman"/>
          <w:sz w:val="20"/>
          <w:lang w:val="en-GB"/>
        </w:rPr>
        <w:t xml:space="preserve">2008; </w:t>
      </w:r>
      <w:r w:rsidRPr="001E5D1B">
        <w:rPr>
          <w:rFonts w:ascii="Times New Roman" w:hAnsi="Times New Roman"/>
          <w:sz w:val="20"/>
          <w:lang w:val="en-GB"/>
        </w:rPr>
        <w:t>26: 1364-1370.</w:t>
      </w:r>
      <w:bookmarkEnd w:id="6"/>
    </w:p>
    <w:p w:rsidR="001E5D1B" w:rsidRPr="001E5D1B" w:rsidRDefault="001E5D1B" w:rsidP="001E5D1B">
      <w:pPr>
        <w:numPr>
          <w:ilvl w:val="0"/>
          <w:numId w:val="2"/>
        </w:numPr>
        <w:spacing w:after="0"/>
        <w:rPr>
          <w:rFonts w:ascii="Times New Roman" w:hAnsi="Times New Roman"/>
          <w:sz w:val="20"/>
        </w:rPr>
      </w:pPr>
      <w:bookmarkStart w:id="7" w:name="_Ref531807493"/>
      <w:r w:rsidRPr="001E5D1B">
        <w:rPr>
          <w:rFonts w:ascii="Times New Roman" w:hAnsi="Times New Roman"/>
          <w:sz w:val="20"/>
          <w:lang w:val="en-US"/>
        </w:rPr>
        <w:t xml:space="preserve">Harrell FE. Regression Modeling Strategies with Applications to Linear Models, Logistic Regression, and Survival Analysis. New </w:t>
      </w:r>
      <w:r w:rsidRPr="001E5D1B">
        <w:rPr>
          <w:rFonts w:ascii="Times New Roman" w:hAnsi="Times New Roman"/>
          <w:sz w:val="20"/>
        </w:rPr>
        <w:t>York: Springer; 2001.</w:t>
      </w:r>
      <w:bookmarkEnd w:id="7"/>
      <w:r w:rsidRPr="001E5D1B">
        <w:rPr>
          <w:rFonts w:ascii="Times New Roman" w:hAnsi="Times New Roman"/>
          <w:sz w:val="20"/>
        </w:rPr>
        <w:t xml:space="preserve"> </w:t>
      </w:r>
    </w:p>
    <w:p w:rsidR="001E5D1B" w:rsidRPr="001E5D1B" w:rsidRDefault="001E5D1B" w:rsidP="001E5D1B">
      <w:pPr>
        <w:numPr>
          <w:ilvl w:val="0"/>
          <w:numId w:val="2"/>
        </w:numPr>
        <w:spacing w:after="0"/>
        <w:rPr>
          <w:rFonts w:ascii="Times New Roman" w:hAnsi="Times New Roman"/>
          <w:sz w:val="20"/>
        </w:rPr>
      </w:pPr>
      <w:bookmarkStart w:id="8" w:name="_Ref531807509"/>
      <w:r w:rsidRPr="001E5D1B">
        <w:rPr>
          <w:rFonts w:ascii="Times New Roman" w:hAnsi="Times New Roman"/>
          <w:sz w:val="20"/>
          <w:lang w:val="en-US"/>
        </w:rPr>
        <w:t xml:space="preserve">Grothey A, Sargent D, Goldberg RM, Schmoll HJ. Survival of patients with advanced colorectal cancer improves with the availability of fluorouracil-leucovorin, irinotecan, and oxaliplatin in the course of treatment. </w:t>
      </w:r>
      <w:r w:rsidRPr="001E5D1B">
        <w:rPr>
          <w:rFonts w:ascii="Times New Roman" w:hAnsi="Times New Roman"/>
          <w:sz w:val="20"/>
        </w:rPr>
        <w:t>J Clin Oncol 2004; 22: 1209-1214.</w:t>
      </w:r>
      <w:bookmarkEnd w:id="8"/>
      <w:r w:rsidRPr="001E5D1B">
        <w:rPr>
          <w:rFonts w:ascii="Times New Roman" w:hAnsi="Times New Roman"/>
          <w:sz w:val="20"/>
        </w:rPr>
        <w:t xml:space="preserve"> </w:t>
      </w:r>
    </w:p>
    <w:p w:rsidR="00325208" w:rsidRPr="001E5D1B" w:rsidRDefault="00325208" w:rsidP="001E5D1B">
      <w:pPr>
        <w:numPr>
          <w:ilvl w:val="0"/>
          <w:numId w:val="2"/>
        </w:numPr>
        <w:spacing w:after="0"/>
        <w:rPr>
          <w:rFonts w:ascii="Times New Roman" w:hAnsi="Times New Roman"/>
          <w:sz w:val="20"/>
          <w:lang w:val="en-US"/>
        </w:rPr>
      </w:pPr>
      <w:bookmarkStart w:id="9" w:name="_Ref488828803"/>
      <w:r w:rsidRPr="001E5D1B">
        <w:rPr>
          <w:rFonts w:ascii="Times New Roman" w:hAnsi="Times New Roman"/>
          <w:sz w:val="20"/>
          <w:lang w:val="en-GB"/>
        </w:rPr>
        <w:t>Vickers AJ, Kattan MW, Daniel S</w:t>
      </w:r>
      <w:r w:rsidR="001E5D1B" w:rsidRPr="001E5D1B">
        <w:rPr>
          <w:rFonts w:ascii="Times New Roman" w:hAnsi="Times New Roman"/>
          <w:sz w:val="20"/>
          <w:lang w:val="en-GB"/>
        </w:rPr>
        <w:t>.</w:t>
      </w:r>
      <w:r w:rsidRPr="001E5D1B">
        <w:rPr>
          <w:rFonts w:ascii="Times New Roman" w:hAnsi="Times New Roman"/>
          <w:sz w:val="20"/>
          <w:lang w:val="en-GB"/>
        </w:rPr>
        <w:t xml:space="preserve"> Method for evaluating prediction models that apply the results of randomized trials to individual patients. Trials </w:t>
      </w:r>
      <w:r w:rsidR="001E5D1B" w:rsidRPr="001E5D1B">
        <w:rPr>
          <w:rFonts w:ascii="Times New Roman" w:hAnsi="Times New Roman"/>
          <w:sz w:val="20"/>
          <w:lang w:val="en-GB"/>
        </w:rPr>
        <w:t xml:space="preserve">2007; </w:t>
      </w:r>
      <w:r w:rsidRPr="001E5D1B">
        <w:rPr>
          <w:rFonts w:ascii="Times New Roman" w:hAnsi="Times New Roman"/>
          <w:sz w:val="20"/>
          <w:lang w:val="en-GB"/>
        </w:rPr>
        <w:t>8: 14.</w:t>
      </w:r>
      <w:bookmarkEnd w:id="9"/>
    </w:p>
    <w:p w:rsidR="00325208" w:rsidRDefault="00325208" w:rsidP="00325208">
      <w:pPr>
        <w:spacing w:after="0"/>
        <w:rPr>
          <w:rFonts w:ascii="Times New Roman" w:hAnsi="Times New Roman"/>
          <w:sz w:val="20"/>
          <w:lang w:val="en-GB"/>
        </w:rPr>
      </w:pPr>
    </w:p>
    <w:p w:rsidR="00325208" w:rsidRDefault="00325208" w:rsidP="00325208">
      <w:pPr>
        <w:spacing w:after="0"/>
        <w:rPr>
          <w:rFonts w:ascii="Times New Roman" w:hAnsi="Times New Roman"/>
          <w:sz w:val="20"/>
          <w:lang w:val="en-GB"/>
        </w:rPr>
      </w:pPr>
    </w:p>
    <w:p w:rsidR="00325208" w:rsidRDefault="00325208" w:rsidP="00325208">
      <w:pPr>
        <w:spacing w:after="0"/>
        <w:rPr>
          <w:rFonts w:ascii="Times New Roman" w:hAnsi="Times New Roman"/>
          <w:sz w:val="20"/>
          <w:lang w:val="en-GB"/>
        </w:rPr>
      </w:pPr>
    </w:p>
    <w:p w:rsidR="00325208" w:rsidRDefault="00325208" w:rsidP="00325208">
      <w:pPr>
        <w:spacing w:after="0"/>
        <w:rPr>
          <w:rFonts w:ascii="Times New Roman" w:hAnsi="Times New Roman"/>
          <w:sz w:val="20"/>
          <w:lang w:val="en-GB"/>
        </w:rPr>
      </w:pPr>
    </w:p>
    <w:p w:rsidR="00325208" w:rsidRPr="00325208" w:rsidRDefault="00325208" w:rsidP="00325208">
      <w:pPr>
        <w:spacing w:after="0"/>
        <w:rPr>
          <w:rFonts w:ascii="Times New Roman" w:hAnsi="Times New Roman"/>
          <w:sz w:val="20"/>
          <w:lang w:val="en-GB"/>
        </w:rPr>
      </w:pPr>
    </w:p>
    <w:p w:rsidR="003A63E4" w:rsidRDefault="003A63E4" w:rsidP="00325208">
      <w:pPr>
        <w:spacing w:line="240" w:lineRule="auto"/>
        <w:rPr>
          <w:rFonts w:ascii="Times New Roman" w:hAnsi="Times New Roman"/>
          <w:sz w:val="20"/>
          <w:lang w:val="en-GB"/>
        </w:rPr>
      </w:pPr>
    </w:p>
    <w:p w:rsidR="003A63E4" w:rsidRPr="003A63E4" w:rsidRDefault="003A63E4" w:rsidP="003A63E4">
      <w:pPr>
        <w:spacing w:line="240" w:lineRule="auto"/>
        <w:rPr>
          <w:rFonts w:ascii="Times New Roman" w:hAnsi="Times New Roman"/>
          <w:sz w:val="20"/>
          <w:lang w:val="en-GB"/>
        </w:rPr>
      </w:pPr>
    </w:p>
    <w:p w:rsidR="00E40E6E" w:rsidRDefault="00E40E6E" w:rsidP="00E40E6E">
      <w:pPr>
        <w:spacing w:line="240" w:lineRule="auto"/>
        <w:rPr>
          <w:rFonts w:ascii="Times New Roman" w:hAnsi="Times New Roman"/>
          <w:sz w:val="20"/>
          <w:lang w:val="en-GB"/>
        </w:rPr>
      </w:pPr>
    </w:p>
    <w:p w:rsidR="00CD2076" w:rsidRDefault="00CD2076" w:rsidP="00E40E6E">
      <w:pPr>
        <w:spacing w:line="240" w:lineRule="auto"/>
        <w:rPr>
          <w:rFonts w:ascii="Times New Roman" w:hAnsi="Times New Roman"/>
          <w:sz w:val="20"/>
          <w:lang w:val="en-GB"/>
        </w:rPr>
      </w:pPr>
    </w:p>
    <w:p w:rsidR="00E40E6E" w:rsidRPr="00E40E6E" w:rsidRDefault="00E40E6E" w:rsidP="00E40E6E">
      <w:pPr>
        <w:spacing w:line="240" w:lineRule="auto"/>
        <w:rPr>
          <w:rFonts w:ascii="Arial" w:hAnsi="Arial" w:cs="Arial"/>
          <w:b/>
          <w:sz w:val="20"/>
          <w:lang w:val="en-GB"/>
        </w:rPr>
      </w:pPr>
    </w:p>
    <w:p w:rsidR="00E9794E" w:rsidRDefault="00E9794E" w:rsidP="00F82E5A">
      <w:pPr>
        <w:rPr>
          <w:rFonts w:ascii="Arial" w:hAnsi="Arial" w:cs="Arial"/>
          <w:b/>
          <w:sz w:val="24"/>
          <w:lang w:val="en-GB"/>
        </w:rPr>
      </w:pPr>
    </w:p>
    <w:p w:rsidR="00AD5ACC" w:rsidRPr="00F82E5A" w:rsidRDefault="00190C05" w:rsidP="00AD5ACC">
      <w:pPr>
        <w:rPr>
          <w:rFonts w:ascii="Times New Roman" w:hAnsi="Times New Roman"/>
          <w:b/>
          <w:sz w:val="20"/>
          <w:lang w:val="en-GB"/>
        </w:rPr>
      </w:pPr>
      <w:bookmarkStart w:id="10" w:name="_Ref503701587"/>
      <w:r>
        <w:rPr>
          <w:noProof/>
          <w:lang w:eastAsia="nl-NL"/>
        </w:rPr>
        <w:lastRenderedPageBreak/>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5715</wp:posOffset>
                </wp:positionV>
                <wp:extent cx="2682240" cy="652780"/>
                <wp:effectExtent l="0" t="0" r="3810" b="0"/>
                <wp:wrapSquare wrapText="bothSides"/>
                <wp:docPr id="7"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2240" cy="652780"/>
                        </a:xfrm>
                        <a:prstGeom prst="rect">
                          <a:avLst/>
                        </a:prstGeom>
                        <a:solidFill>
                          <a:prstClr val="white"/>
                        </a:solidFill>
                        <a:ln>
                          <a:noFill/>
                        </a:ln>
                        <a:effectLst/>
                      </wps:spPr>
                      <wps:txbx>
                        <w:txbxContent>
                          <w:p w:rsidR="00AD5ACC" w:rsidRPr="004E77A1" w:rsidRDefault="00B72D64" w:rsidP="005A4AD4">
                            <w:pPr>
                              <w:pStyle w:val="Bijschrift"/>
                              <w:spacing w:line="240" w:lineRule="auto"/>
                              <w:rPr>
                                <w:rFonts w:ascii="Times New Roman" w:hAnsi="Times New Roman"/>
                                <w:noProof/>
                                <w:sz w:val="24"/>
                                <w:lang w:val="en-US"/>
                              </w:rPr>
                            </w:pPr>
                            <w:r w:rsidRPr="004E77A1">
                              <w:rPr>
                                <w:rFonts w:ascii="Times New Roman" w:hAnsi="Times New Roman"/>
                                <w:sz w:val="24"/>
                                <w:lang w:val="en-GB"/>
                              </w:rPr>
                              <w:t>Supplementary</w:t>
                            </w:r>
                            <w:r w:rsidRPr="004E77A1">
                              <w:rPr>
                                <w:rFonts w:ascii="Times New Roman" w:hAnsi="Times New Roman"/>
                                <w:sz w:val="24"/>
                                <w:lang w:val="en-US"/>
                              </w:rPr>
                              <w:t xml:space="preserve"> </w:t>
                            </w:r>
                            <w:r w:rsidR="00AD5ACC" w:rsidRPr="004E77A1">
                              <w:rPr>
                                <w:rFonts w:ascii="Times New Roman" w:hAnsi="Times New Roman"/>
                                <w:sz w:val="24"/>
                                <w:lang w:val="en-US"/>
                              </w:rPr>
                              <w:t xml:space="preserve">Figure 1. </w:t>
                            </w:r>
                            <w:r w:rsidR="00AD5ACC" w:rsidRPr="004E77A1">
                              <w:rPr>
                                <w:rFonts w:ascii="Times New Roman" w:hAnsi="Times New Roman"/>
                                <w:sz w:val="24"/>
                                <w:lang w:val="en-GB"/>
                              </w:rPr>
                              <w:t>Internal calibration plot of predicted versus observed median overall survival.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0" o:spid="_x0000_s1026" type="#_x0000_t202" style="position:absolute;margin-left:0;margin-top:.45pt;width:211.2pt;height:51.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daQQIAAIgEAAAOAAAAZHJzL2Uyb0RvYy54bWysVMGO2jAQvVfqP1i+l0DUsigirCgrqkpo&#10;dyVY7dk4DrFwPK5tSOjXd+wksN32VPXijD3PM555bzK/b2tFzsI6CTqnk9GYEqE5FFIfcvqyW3+a&#10;UeI80wVToEVOL8LR+8XHD/PGZCKFClQhLMEg2mWNyWnlvcmSxPFK1MyNwAiNzhJszTxu7SEpLGsw&#10;eq2SdDyeJg3Ywljgwjk8feicdBHjl6Xg/qksnfBE5RTf5uNq47oPa7KYs+xgmakk75/B/uEVNZMa&#10;k15DPTDPyMnKP0LVkltwUPoRhzqBspRcxBqwmsn4XTXbihkRa8HmOHNtk/t/Yfnj+dkSWeT0jhLN&#10;aqRoJ47On9mRTGJ7GuMyRG0N4nz7FVqkOZbqzAb40WEHkzeY0HmXOUSHdrSlrcMXCyV4ERm4XLsu&#10;Wk84HqbTWZp+RhdH3/RLejeLeZPbbWOd/yagJsHIqUVW4wvYeeN8yM+yARKSOVCyWEulwiY4VsqS&#10;M0MFNJX0InCON35DKR2wGsKtzt2diCihPsutsGD5dt8iNJh7KC7YHQudvJzha4lpN8z5Z2ZRT1gc&#10;zoh/wqVU0OQUeouSCuzPv50HPNKMXkoa1GdO3Y8Ts4IS9V2jAIKYB8MOxn4w9KleARY8wekzPJp4&#10;wXo1mKWF+hVHZxmyoItpjrly6gdz5bspwdHjYrmMIJSsYX6jt4YPIgjt3bWvzJqeHI+0PsKgXJa9&#10;46jDRpbM8uSx4ZHAWxd7NaHcI0v9aIZ5eruPqNsPZPELAAD//wMAUEsDBBQABgAIAAAAIQDJZ/v/&#10;3QAAAAUBAAAPAAAAZHJzL2Rvd25yZXYueG1sTI9BS8NAFITvgv9heYI3u2mstsZsihaEoog2iufX&#10;7GsSzb4N2W0b/73Pkx6HGWa+yZej69SBhtB6NjCdJKCIK29brg28vz1cLECFiGyx80wGvinAsjg9&#10;yTGz/sgbOpSxVlLCIUMDTYx9pnWoGnIYJr4nFm/nB4dR5FBrO+BRyl2n0yS51g5bloUGe1o1VH2V&#10;e2dg3j5Nr4bV42e6jq/P64/dPZYvozHnZ+PdLahIY/wLwy++oEMhTFu/ZxtUZ0CORAM3oMSbpekM&#10;1FZCyeUcdJHr//TFDwAAAP//AwBQSwECLQAUAAYACAAAACEAtoM4kv4AAADhAQAAEwAAAAAAAAAA&#10;AAAAAAAAAAAAW0NvbnRlbnRfVHlwZXNdLnhtbFBLAQItABQABgAIAAAAIQA4/SH/1gAAAJQBAAAL&#10;AAAAAAAAAAAAAAAAAC8BAABfcmVscy8ucmVsc1BLAQItABQABgAIAAAAIQBMgUdaQQIAAIgEAAAO&#10;AAAAAAAAAAAAAAAAAC4CAABkcnMvZTJvRG9jLnhtbFBLAQItABQABgAIAAAAIQDJZ/v/3QAAAAUB&#10;AAAPAAAAAAAAAAAAAAAAAJsEAABkcnMvZG93bnJldi54bWxQSwUGAAAAAAQABADzAAAApQUAAAAA&#10;" stroked="f">
                <v:path arrowok="t"/>
                <v:textbox style="mso-fit-shape-to-text:t" inset="0,0,0,0">
                  <w:txbxContent>
                    <w:p w:rsidR="00AD5ACC" w:rsidRPr="004E77A1" w:rsidRDefault="00B72D64" w:rsidP="005A4AD4">
                      <w:pPr>
                        <w:pStyle w:val="Bijschrift"/>
                        <w:spacing w:line="240" w:lineRule="auto"/>
                        <w:rPr>
                          <w:rFonts w:ascii="Times New Roman" w:hAnsi="Times New Roman"/>
                          <w:noProof/>
                          <w:sz w:val="24"/>
                          <w:lang w:val="en-US"/>
                        </w:rPr>
                      </w:pPr>
                      <w:r w:rsidRPr="004E77A1">
                        <w:rPr>
                          <w:rFonts w:ascii="Times New Roman" w:hAnsi="Times New Roman"/>
                          <w:sz w:val="24"/>
                          <w:lang w:val="en-GB"/>
                        </w:rPr>
                        <w:t>Supplementary</w:t>
                      </w:r>
                      <w:r w:rsidRPr="004E77A1">
                        <w:rPr>
                          <w:rFonts w:ascii="Times New Roman" w:hAnsi="Times New Roman"/>
                          <w:sz w:val="24"/>
                          <w:lang w:val="en-US"/>
                        </w:rPr>
                        <w:t xml:space="preserve"> </w:t>
                      </w:r>
                      <w:r w:rsidR="00AD5ACC" w:rsidRPr="004E77A1">
                        <w:rPr>
                          <w:rFonts w:ascii="Times New Roman" w:hAnsi="Times New Roman"/>
                          <w:sz w:val="24"/>
                          <w:lang w:val="en-US"/>
                        </w:rPr>
                        <w:t xml:space="preserve">Figure 1. </w:t>
                      </w:r>
                      <w:r w:rsidR="00AD5ACC" w:rsidRPr="004E77A1">
                        <w:rPr>
                          <w:rFonts w:ascii="Times New Roman" w:hAnsi="Times New Roman"/>
                          <w:sz w:val="24"/>
                          <w:lang w:val="en-GB"/>
                        </w:rPr>
                        <w:t>Internal calibration plot of predicted versus observed median overall survival.</w:t>
                      </w:r>
                    </w:p>
                  </w:txbxContent>
                </v:textbox>
                <w10:wrap type="square" anchorx="margin"/>
              </v:shape>
            </w:pict>
          </mc:Fallback>
        </mc:AlternateContent>
      </w:r>
    </w:p>
    <w:p w:rsidR="00AD5ACC" w:rsidRPr="00F82E5A" w:rsidRDefault="00AD5ACC" w:rsidP="00AD5ACC">
      <w:pPr>
        <w:rPr>
          <w:b/>
          <w:lang w:val="en-GB"/>
        </w:rPr>
      </w:pPr>
    </w:p>
    <w:p w:rsidR="00AD5ACC" w:rsidRPr="00F82E5A" w:rsidRDefault="0034714D" w:rsidP="00AD5ACC">
      <w:pPr>
        <w:rPr>
          <w:b/>
          <w:lang w:val="en-GB"/>
        </w:rPr>
      </w:pPr>
      <w:r>
        <w:rPr>
          <w:noProof/>
          <w:lang w:eastAsia="nl-NL"/>
        </w:rPr>
        <w:drawing>
          <wp:anchor distT="0" distB="0" distL="114300" distR="114300" simplePos="0" relativeHeight="251661312" behindDoc="0" locked="0" layoutInCell="1" allowOverlap="1">
            <wp:simplePos x="0" y="0"/>
            <wp:positionH relativeFrom="margin">
              <wp:align>center</wp:align>
            </wp:positionH>
            <wp:positionV relativeFrom="paragraph">
              <wp:posOffset>43815</wp:posOffset>
            </wp:positionV>
            <wp:extent cx="2682240" cy="3094355"/>
            <wp:effectExtent l="0" t="0" r="3810" b="0"/>
            <wp:wrapSquare wrapText="bothSides"/>
            <wp:docPr id="23" name="Afbeelding 2" descr="\\amc.intra\users\J\jjkwakman\home\Desktop\scripts RvK\RplotInternal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mc.intra\users\J\jjkwakman\home\Desktop\scripts RvK\RplotInternalValidati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240" cy="309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rFonts w:ascii="Arial" w:hAnsi="Arial" w:cs="Arial"/>
          <w:sz w:val="16"/>
          <w:szCs w:val="20"/>
          <w:lang w:val="en-US"/>
        </w:rPr>
      </w:pPr>
    </w:p>
    <w:p w:rsidR="00AD5ACC" w:rsidRPr="004E77A1" w:rsidRDefault="00AD5ACC" w:rsidP="005A4AD4">
      <w:pPr>
        <w:spacing w:line="240" w:lineRule="auto"/>
        <w:jc w:val="center"/>
        <w:rPr>
          <w:rFonts w:ascii="Times New Roman" w:hAnsi="Times New Roman"/>
          <w:b/>
          <w:sz w:val="18"/>
          <w:lang w:val="en-GB"/>
        </w:rPr>
      </w:pPr>
      <w:r w:rsidRPr="004E77A1">
        <w:rPr>
          <w:rFonts w:ascii="Times New Roman" w:hAnsi="Times New Roman"/>
          <w:sz w:val="16"/>
          <w:szCs w:val="20"/>
          <w:lang w:val="en-US"/>
        </w:rPr>
        <w:t>The tick marks at the top axis represent the distribution of the predicted median overall survival as present in the CAIRO dataset.</w:t>
      </w: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34714D" w:rsidP="00AD5ACC">
      <w:pPr>
        <w:rPr>
          <w:b/>
          <w:lang w:val="en-GB"/>
        </w:rPr>
      </w:pPr>
      <w:r>
        <w:rPr>
          <w:noProof/>
          <w:lang w:eastAsia="nl-NL"/>
        </w:rPr>
        <w:lastRenderedPageBreak/>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9525</wp:posOffset>
                </wp:positionV>
                <wp:extent cx="2905760" cy="601980"/>
                <wp:effectExtent l="0" t="0" r="8890" b="7620"/>
                <wp:wrapSquare wrapText="bothSides"/>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760" cy="601980"/>
                        </a:xfrm>
                        <a:prstGeom prst="rect">
                          <a:avLst/>
                        </a:prstGeom>
                        <a:solidFill>
                          <a:prstClr val="white"/>
                        </a:solidFill>
                        <a:ln>
                          <a:noFill/>
                        </a:ln>
                        <a:effectLst/>
                      </wps:spPr>
                      <wps:txbx>
                        <w:txbxContent>
                          <w:p w:rsidR="00AD5ACC" w:rsidRPr="004E77A1" w:rsidRDefault="00B72D64" w:rsidP="005A4AD4">
                            <w:pPr>
                              <w:pStyle w:val="Bijschrift"/>
                              <w:spacing w:line="240" w:lineRule="auto"/>
                              <w:rPr>
                                <w:rFonts w:ascii="Times New Roman" w:hAnsi="Times New Roman"/>
                                <w:noProof/>
                                <w:sz w:val="24"/>
                                <w:lang w:val="en-US"/>
                              </w:rPr>
                            </w:pPr>
                            <w:r w:rsidRPr="004E77A1">
                              <w:rPr>
                                <w:rFonts w:ascii="Times New Roman" w:hAnsi="Times New Roman"/>
                                <w:sz w:val="24"/>
                                <w:lang w:val="en-GB"/>
                              </w:rPr>
                              <w:t>Supplementary</w:t>
                            </w:r>
                            <w:r w:rsidRPr="004E77A1">
                              <w:rPr>
                                <w:rFonts w:ascii="Times New Roman" w:hAnsi="Times New Roman"/>
                                <w:sz w:val="24"/>
                                <w:lang w:val="en-US"/>
                              </w:rPr>
                              <w:t xml:space="preserve"> </w:t>
                            </w:r>
                            <w:r w:rsidR="00AD5ACC" w:rsidRPr="004E77A1">
                              <w:rPr>
                                <w:rFonts w:ascii="Times New Roman" w:hAnsi="Times New Roman"/>
                                <w:sz w:val="24"/>
                                <w:lang w:val="en-US"/>
                              </w:rPr>
                              <w:t xml:space="preserve">Figure 2. </w:t>
                            </w:r>
                            <w:r w:rsidR="00AD5ACC" w:rsidRPr="004E77A1">
                              <w:rPr>
                                <w:rFonts w:ascii="Times New Roman" w:hAnsi="Times New Roman"/>
                                <w:sz w:val="24"/>
                                <w:lang w:val="en-GB"/>
                              </w:rPr>
                              <w:t>External calibration plot of predicted versus observed median overall survival.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vak 15" o:spid="_x0000_s1027" type="#_x0000_t202" style="position:absolute;margin-left:0;margin-top:.75pt;width:228.8pt;height:47.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YFRAIAAJAEAAAOAAAAZHJzL2Uyb0RvYy54bWysVFFv2jAQfp+0/2D5fQSQytqIUDEqpkmo&#10;rQRTn41jEwvH59mGhP36nZ2Edt2epr2Yi++7O9933zG/b2tNzsJ5Baagk9GYEmE4lMocCvp9t/50&#10;S4kPzJRMgxEFvQhP7xcfP8wbm4spVKBL4QgmMT5vbEGrEGyeZZ5XomZ+BFYYdEpwNQv46Q5Z6ViD&#10;2WudTcfjWdaAK60DLrzH24fOSRcpv5SChycpvQhEFxTfFtLp0rmPZ7aYs/zgmK0U75/B/uEVNVMG&#10;i15TPbDAyMmpP1LVijvwIMOIQ52BlIqL1AN2Mxm/62ZbMStSL0iOt1ea/P9Lyx/Pz46oEmd3Q4lh&#10;Nc5oJ44+nNmR4BXy01ifI2xrERjaL9AiNvXq7Qb40SMke4PpAjyiIx+tdHX8xU4JBuIILlfaRRsI&#10;x8vp3fjm8wxdHH2z8eTuNs0le422zoevAmoSjYI6HGt6ATtvfIj1WT5AYjEPWpVrpXX8iI6VduTM&#10;UAJNpYKITWHEbyhtItZAjOrc3Y1IGuqrxC67xqIV2n3bMTewtIfygiQ56GTmLV8rrL5hPjwzh7rC&#10;HnFXwhMeUkNTUOgtSipwP/92H/E4bvRS0qBOC+p/nJgTlOhvBoUQRT0YbjD2g2FO9Qqw7wluoeXJ&#10;xAAX9GBKB/ULrtAyVkEXMxxrFTQM5ip024IryMVymUAoXcvCxmwtH7QQWd61L8zZfkYBp/sIg4JZ&#10;/m5UHbbjfHkKIFWaY+S1Y7EXFco+Datf0bhXb78T6vWPZPELAAD//wMAUEsDBBQABgAIAAAAIQC1&#10;7Sb/3AAAAAUBAAAPAAAAZHJzL2Rvd25yZXYueG1sTI/BTsMwEETvSPyDtUjcqBNoU5rGqRASqsSl&#10;Iu0HuPE2jojXUew06d+znOC4M6OZt8Vudp244hBaTwrSRQICqfampUbB6fjx9AoiRE1Gd55QwQ0D&#10;7Mr7u0Lnxk/0hdcqNoJLKORagY2xz6UMtUWnw8L3SOxd/OB05HNopBn0xOWuk89JkkmnW+IFq3t8&#10;t1h/V6NT0K4p/Ryr5SzTaXM6Huz+cBv3Sj0+zG9bEBHn+BeGX3xGh5KZzn4kE0SngB+JrK5AsLlc&#10;rTMQZwWb7AVkWcj/9OUPAAAA//8DAFBLAQItABQABgAIAAAAIQC2gziS/gAAAOEBAAATAAAAAAAA&#10;AAAAAAAAAAAAAABbQ29udGVudF9UeXBlc10ueG1sUEsBAi0AFAAGAAgAAAAhADj9If/WAAAAlAEA&#10;AAsAAAAAAAAAAAAAAAAALwEAAF9yZWxzLy5yZWxzUEsBAi0AFAAGAAgAAAAhACJOBgVEAgAAkAQA&#10;AA4AAAAAAAAAAAAAAAAALgIAAGRycy9lMm9Eb2MueG1sUEsBAi0AFAAGAAgAAAAhALXtJv/cAAAA&#10;BQEAAA8AAAAAAAAAAAAAAAAAngQAAGRycy9kb3ducmV2LnhtbFBLBQYAAAAABAAEAPMAAACnBQAA&#10;AAA=&#10;" stroked="f">
                <v:path arrowok="t"/>
                <v:textbox inset="0,0,0,0">
                  <w:txbxContent>
                    <w:p w:rsidR="00AD5ACC" w:rsidRPr="004E77A1" w:rsidRDefault="00B72D64" w:rsidP="005A4AD4">
                      <w:pPr>
                        <w:pStyle w:val="Bijschrift"/>
                        <w:spacing w:line="240" w:lineRule="auto"/>
                        <w:rPr>
                          <w:rFonts w:ascii="Times New Roman" w:hAnsi="Times New Roman"/>
                          <w:noProof/>
                          <w:sz w:val="24"/>
                          <w:lang w:val="en-US"/>
                        </w:rPr>
                      </w:pPr>
                      <w:r w:rsidRPr="004E77A1">
                        <w:rPr>
                          <w:rFonts w:ascii="Times New Roman" w:hAnsi="Times New Roman"/>
                          <w:sz w:val="24"/>
                          <w:lang w:val="en-GB"/>
                        </w:rPr>
                        <w:t>Supplementary</w:t>
                      </w:r>
                      <w:r w:rsidRPr="004E77A1">
                        <w:rPr>
                          <w:rFonts w:ascii="Times New Roman" w:hAnsi="Times New Roman"/>
                          <w:sz w:val="24"/>
                          <w:lang w:val="en-US"/>
                        </w:rPr>
                        <w:t xml:space="preserve"> </w:t>
                      </w:r>
                      <w:r w:rsidR="00AD5ACC" w:rsidRPr="004E77A1">
                        <w:rPr>
                          <w:rFonts w:ascii="Times New Roman" w:hAnsi="Times New Roman"/>
                          <w:sz w:val="24"/>
                          <w:lang w:val="en-US"/>
                        </w:rPr>
                        <w:t xml:space="preserve">Figure 2. </w:t>
                      </w:r>
                      <w:r w:rsidR="00AD5ACC" w:rsidRPr="004E77A1">
                        <w:rPr>
                          <w:rFonts w:ascii="Times New Roman" w:hAnsi="Times New Roman"/>
                          <w:sz w:val="24"/>
                          <w:lang w:val="en-GB"/>
                        </w:rPr>
                        <w:t>External calibration plot of predicted versus observed median overall survival.</w:t>
                      </w:r>
                    </w:p>
                  </w:txbxContent>
                </v:textbox>
                <w10:wrap type="square" anchorx="margin"/>
              </v:shape>
            </w:pict>
          </mc:Fallback>
        </mc:AlternateContent>
      </w:r>
    </w:p>
    <w:p w:rsidR="00AD5ACC" w:rsidRPr="00F82E5A" w:rsidRDefault="00190C05" w:rsidP="00AD5ACC">
      <w:pPr>
        <w:rPr>
          <w:b/>
          <w:lang w:val="en-GB"/>
        </w:rPr>
      </w:pPr>
      <w:r>
        <w:rPr>
          <w:noProof/>
          <w:lang w:eastAsia="nl-NL"/>
        </w:rPr>
        <w:drawing>
          <wp:anchor distT="0" distB="0" distL="114300" distR="114300" simplePos="0" relativeHeight="251662336" behindDoc="0" locked="0" layoutInCell="1" allowOverlap="1">
            <wp:simplePos x="0" y="0"/>
            <wp:positionH relativeFrom="margin">
              <wp:align>center</wp:align>
            </wp:positionH>
            <wp:positionV relativeFrom="paragraph">
              <wp:posOffset>163830</wp:posOffset>
            </wp:positionV>
            <wp:extent cx="2905760" cy="3352800"/>
            <wp:effectExtent l="0" t="0" r="8890" b="0"/>
            <wp:wrapSquare wrapText="bothSides"/>
            <wp:docPr id="24" name="Afbeelding 3" descr="\\amc.intra\users\J\jjkwakman\home\Desktop\scripts RvK\RplotExternal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mc.intra\users\J\jjkwakman\home\Desktop\scripts RvK\RplotExternalValidati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760" cy="335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b/>
          <w:lang w:val="en-GB"/>
        </w:rPr>
      </w:pPr>
    </w:p>
    <w:p w:rsidR="00AD5ACC" w:rsidRPr="00F82E5A" w:rsidRDefault="00AD5ACC" w:rsidP="00AD5ACC">
      <w:pPr>
        <w:rPr>
          <w:rFonts w:ascii="Times New Roman" w:hAnsi="Times New Roman"/>
          <w:sz w:val="20"/>
          <w:szCs w:val="20"/>
          <w:lang w:val="en-US"/>
        </w:rPr>
      </w:pPr>
    </w:p>
    <w:p w:rsidR="00AD5ACC" w:rsidRPr="004E77A1" w:rsidRDefault="00AD5ACC" w:rsidP="005A4AD4">
      <w:pPr>
        <w:spacing w:line="240" w:lineRule="auto"/>
        <w:jc w:val="center"/>
        <w:rPr>
          <w:rFonts w:ascii="Times New Roman" w:hAnsi="Times New Roman"/>
          <w:sz w:val="16"/>
          <w:szCs w:val="20"/>
          <w:lang w:val="en-US"/>
        </w:rPr>
      </w:pPr>
      <w:r w:rsidRPr="004E77A1">
        <w:rPr>
          <w:rFonts w:ascii="Times New Roman" w:hAnsi="Times New Roman"/>
          <w:sz w:val="16"/>
          <w:szCs w:val="20"/>
          <w:lang w:val="en-US"/>
        </w:rPr>
        <w:t>The tick marks at the top axis represent the distribution of the predicted median overall survival as present in the FOCUS dataset.</w:t>
      </w:r>
    </w:p>
    <w:p w:rsidR="00AD5ACC" w:rsidRDefault="00AD5ACC" w:rsidP="00651AEA">
      <w:pPr>
        <w:pStyle w:val="Bijschrift"/>
        <w:keepNext/>
        <w:rPr>
          <w:rFonts w:ascii="Arial" w:hAnsi="Arial" w:cs="Arial"/>
          <w:sz w:val="24"/>
          <w:lang w:val="en-US"/>
        </w:rPr>
      </w:pPr>
    </w:p>
    <w:p w:rsidR="00F82E5A" w:rsidRPr="004E77A1" w:rsidRDefault="00AD5ACC" w:rsidP="005A4AD4">
      <w:pPr>
        <w:pStyle w:val="Bijschrift"/>
        <w:keepNext/>
        <w:rPr>
          <w:rFonts w:ascii="Times New Roman" w:hAnsi="Times New Roman"/>
          <w:bCs w:val="0"/>
          <w:sz w:val="24"/>
          <w:lang w:val="en-US"/>
        </w:rPr>
      </w:pPr>
      <w:r>
        <w:rPr>
          <w:rFonts w:ascii="Arial" w:hAnsi="Arial" w:cs="Arial"/>
          <w:sz w:val="24"/>
          <w:lang w:val="en-US"/>
        </w:rPr>
        <w:br w:type="page"/>
      </w:r>
      <w:bookmarkEnd w:id="10"/>
      <w:r w:rsidR="0034714D" w:rsidRPr="0034714D">
        <w:rPr>
          <w:b w:val="0"/>
          <w:bCs w:val="0"/>
          <w:noProof/>
          <w:sz w:val="22"/>
          <w:szCs w:val="22"/>
          <w:lang w:eastAsia="nl-NL"/>
        </w:rPr>
        <w:lastRenderedPageBreak/>
        <mc:AlternateContent>
          <mc:Choice Requires="wps">
            <w:drawing>
              <wp:anchor distT="0" distB="0" distL="114300" distR="114300" simplePos="0" relativeHeight="251669504" behindDoc="0" locked="0" layoutInCell="1" allowOverlap="1" wp14:anchorId="34561779" wp14:editId="65CF493B">
                <wp:simplePos x="0" y="0"/>
                <wp:positionH relativeFrom="margin">
                  <wp:align>center</wp:align>
                </wp:positionH>
                <wp:positionV relativeFrom="paragraph">
                  <wp:posOffset>252730</wp:posOffset>
                </wp:positionV>
                <wp:extent cx="4562475" cy="601980"/>
                <wp:effectExtent l="0" t="0" r="9525" b="7620"/>
                <wp:wrapSquare wrapText="bothSides"/>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2475" cy="601980"/>
                        </a:xfrm>
                        <a:prstGeom prst="rect">
                          <a:avLst/>
                        </a:prstGeom>
                        <a:solidFill>
                          <a:prstClr val="white"/>
                        </a:solidFill>
                        <a:ln>
                          <a:noFill/>
                        </a:ln>
                        <a:effectLst/>
                      </wps:spPr>
                      <wps:txbx>
                        <w:txbxContent>
                          <w:p w:rsidR="0034714D" w:rsidRPr="004E77A1" w:rsidRDefault="0034714D" w:rsidP="0034714D">
                            <w:pPr>
                              <w:pStyle w:val="Bijschrift"/>
                              <w:spacing w:line="240" w:lineRule="auto"/>
                              <w:rPr>
                                <w:rFonts w:ascii="Times New Roman" w:hAnsi="Times New Roman"/>
                                <w:noProof/>
                                <w:sz w:val="24"/>
                                <w:lang w:val="en-US"/>
                              </w:rPr>
                            </w:pPr>
                            <w:r w:rsidRPr="004E77A1">
                              <w:rPr>
                                <w:rFonts w:ascii="Times New Roman" w:hAnsi="Times New Roman"/>
                                <w:sz w:val="24"/>
                                <w:lang w:val="en-GB"/>
                              </w:rPr>
                              <w:t>Supplementary</w:t>
                            </w:r>
                            <w:r w:rsidRPr="004E77A1">
                              <w:rPr>
                                <w:rFonts w:ascii="Times New Roman" w:hAnsi="Times New Roman"/>
                                <w:sz w:val="24"/>
                                <w:lang w:val="en-US"/>
                              </w:rPr>
                              <w:t xml:space="preserve"> Figure </w:t>
                            </w:r>
                            <w:r w:rsidRPr="004E77A1">
                              <w:rPr>
                                <w:rFonts w:ascii="Times New Roman" w:hAnsi="Times New Roman"/>
                                <w:bCs w:val="0"/>
                                <w:sz w:val="24"/>
                                <w:lang w:val="en-US"/>
                              </w:rPr>
                              <w:t>3. Formula for absolute treatment effect of upfront combination chemotherapy versus sequential chemotherapy in patients with metastatic colorectal cancer.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561779" id="Tekstvak 12" o:spid="_x0000_s1028" type="#_x0000_t202" style="position:absolute;margin-left:0;margin-top:19.9pt;width:359.25pt;height:47.4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CSJRwIAAJAEAAAOAAAAZHJzL2Uyb0RvYy54bWysVFFv2jAQfp+0/2D5fQRQy9qIUDEqpkmo&#10;rQRTn43jEAvb59mGhP36nZ2k7bo9TXsxF993d77vvmN+12pFzsJ5Caagk9GYEmE4lNIcCvp9t/50&#10;Q4kPzJRMgREFvQhP7xYfP8wbm4sp1KBK4QgmMT5vbEHrEGyeZZ7XQjM/AisMOitwmgX8dIesdKzB&#10;7Fpl0/F4ljXgSuuAC+/x9r5z0kXKX1WCh8eq8iIQVVB8W0inS+c+ntlizvKDY7aWvH8G+4dXaCYN&#10;Fn1Jdc8CIycn/0ilJXfgoQojDjqDqpJcpB6wm8n4XTfbmlmRekFyvH2hyf+/tPzh/OSILHF2U0oM&#10;0zijnTj6cGZHglfIT2N9jrCtRWBov0CL2NSrtxvgR4+Q7A2mC/CIjny0ldPxFzslGIgjuLzQLtpA&#10;OF5eXc+mV5+vKeHom40ntzdpLtlrtHU+fBWgSTQK6nCs6QXsvPEh1mf5AInFPChZrqVS8SM6VsqR&#10;M0MJNLUMIjaFEb+hlIlYAzGqc3c3ImmorxK77BqLVmj3bWLudmBpD+UFSXLQycxbvpZYfcN8eGIO&#10;dYXt466ERzwqBU1BobcoqcH9/Nt9xOO40UtJgzotqP9xYk5Qor4ZFEIU9WC4wdgPhjnpFWDfE9xC&#10;y5OJAS6owawc6GdcoWWsgi5mONYqaBjMVei2BVeQi+UygVC6loWN2Vo+aCGyvGufmbP9jAJO9wEG&#10;BbP83ag6bMf58hSgkmmOkdeOxV5UKPs0rH5F4169/U6o1z+SxS8AAAD//wMAUEsDBBQABgAIAAAA&#10;IQCTDGlE3QAAAAcBAAAPAAAAZHJzL2Rvd25yZXYueG1sTI/NasMwEITvhb6D2EJvjewmzY9rOZRC&#10;CeQS4uQBFGtrmVorY8mx8/bdntLjMMPMN/l2cq24Yh8aTwrSWQICqfKmoVrB+fT1sgYRoiajW0+o&#10;4IYBtsXjQ64z40c64rWMteASCplWYGPsMilDZdHpMPMdEnvfvnc6suxraXo9crlr5WuSLKXTDfGC&#10;1R1+Wqx+ysEpaFaU7odyMcl03JxPB7s73IadUs9P08c7iIhTvIfhD5/RoWCmix/IBNEq4CNRwXzD&#10;/Oyu0vUbiAvH5oslyCKX//mLXwAAAP//AwBQSwECLQAUAAYACAAAACEAtoM4kv4AAADhAQAAEwAA&#10;AAAAAAAAAAAAAAAAAAAAW0NvbnRlbnRfVHlwZXNdLnhtbFBLAQItABQABgAIAAAAIQA4/SH/1gAA&#10;AJQBAAALAAAAAAAAAAAAAAAAAC8BAABfcmVscy8ucmVsc1BLAQItABQABgAIAAAAIQB6OCSJRwIA&#10;AJAEAAAOAAAAAAAAAAAAAAAAAC4CAABkcnMvZTJvRG9jLnhtbFBLAQItABQABgAIAAAAIQCTDGlE&#10;3QAAAAcBAAAPAAAAAAAAAAAAAAAAAKEEAABkcnMvZG93bnJldi54bWxQSwUGAAAAAAQABADzAAAA&#10;qwUAAAAA&#10;" stroked="f">
                <v:path arrowok="t"/>
                <v:textbox inset="0,0,0,0">
                  <w:txbxContent>
                    <w:p w:rsidR="0034714D" w:rsidRPr="004E77A1" w:rsidRDefault="0034714D" w:rsidP="0034714D">
                      <w:pPr>
                        <w:pStyle w:val="Bijschrift"/>
                        <w:spacing w:line="240" w:lineRule="auto"/>
                        <w:rPr>
                          <w:rFonts w:ascii="Times New Roman" w:hAnsi="Times New Roman"/>
                          <w:noProof/>
                          <w:sz w:val="24"/>
                          <w:lang w:val="en-US"/>
                        </w:rPr>
                      </w:pPr>
                      <w:r w:rsidRPr="004E77A1">
                        <w:rPr>
                          <w:rFonts w:ascii="Times New Roman" w:hAnsi="Times New Roman"/>
                          <w:sz w:val="24"/>
                          <w:lang w:val="en-GB"/>
                        </w:rPr>
                        <w:t>Supplementary</w:t>
                      </w:r>
                      <w:r w:rsidRPr="004E77A1">
                        <w:rPr>
                          <w:rFonts w:ascii="Times New Roman" w:hAnsi="Times New Roman"/>
                          <w:sz w:val="24"/>
                          <w:lang w:val="en-US"/>
                        </w:rPr>
                        <w:t xml:space="preserve"> Figure </w:t>
                      </w:r>
                      <w:r w:rsidRPr="004E77A1">
                        <w:rPr>
                          <w:rFonts w:ascii="Times New Roman" w:hAnsi="Times New Roman"/>
                          <w:bCs w:val="0"/>
                          <w:sz w:val="24"/>
                          <w:lang w:val="en-US"/>
                        </w:rPr>
                        <w:t>3. Formula for absolute treatment effect of upfront combination chemotherapy versus sequential chemotherapy in patients with metastatic colorectal cancer.</w:t>
                      </w:r>
                    </w:p>
                  </w:txbxContent>
                </v:textbox>
                <w10:wrap type="square" anchorx="margin"/>
              </v:shape>
            </w:pict>
          </mc:Fallback>
        </mc:AlternateContent>
      </w:r>
      <w:r w:rsidR="0034714D" w:rsidRPr="0034714D">
        <w:rPr>
          <w:b w:val="0"/>
          <w:bCs w:val="0"/>
          <w:noProof/>
          <w:sz w:val="22"/>
          <w:szCs w:val="22"/>
          <w:lang w:val="en-US" w:eastAsia="nl-NL"/>
        </w:rPr>
        <w:t xml:space="preserve"> </w:t>
      </w:r>
    </w:p>
    <w:p w:rsidR="00F82E5A" w:rsidRPr="00F82E5A" w:rsidRDefault="00F82E5A" w:rsidP="00F82E5A">
      <w:pPr>
        <w:rPr>
          <w:b/>
          <w:lang w:val="en-GB"/>
        </w:rPr>
      </w:pPr>
    </w:p>
    <w:p w:rsidR="0034714D" w:rsidRDefault="0034714D" w:rsidP="004577DB">
      <w:pPr>
        <w:rPr>
          <w:rFonts w:ascii="Times New Roman" w:hAnsi="Times New Roman"/>
          <w:sz w:val="16"/>
          <w:lang w:val="en-US"/>
        </w:rPr>
      </w:pPr>
      <w:r w:rsidRPr="00FD36A2">
        <w:rPr>
          <w:noProof/>
          <w:lang w:eastAsia="nl-NL"/>
        </w:rPr>
        <w:drawing>
          <wp:anchor distT="0" distB="0" distL="114300" distR="114300" simplePos="0" relativeHeight="251670528" behindDoc="1" locked="0" layoutInCell="1" allowOverlap="1">
            <wp:simplePos x="0" y="0"/>
            <wp:positionH relativeFrom="column">
              <wp:posOffset>-4445</wp:posOffset>
            </wp:positionH>
            <wp:positionV relativeFrom="paragraph">
              <wp:posOffset>210820</wp:posOffset>
            </wp:positionV>
            <wp:extent cx="5286375" cy="3365500"/>
            <wp:effectExtent l="0" t="0" r="0" b="0"/>
            <wp:wrapTopAndBottom/>
            <wp:docPr id="1"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F82E5A" w:rsidRPr="004E77A1" w:rsidRDefault="00F82E5A" w:rsidP="0034714D">
      <w:pPr>
        <w:jc w:val="center"/>
        <w:rPr>
          <w:rFonts w:ascii="Times New Roman" w:hAnsi="Times New Roman"/>
          <w:b/>
          <w:sz w:val="18"/>
          <w:lang w:val="en-GB"/>
        </w:rPr>
      </w:pPr>
      <w:r w:rsidRPr="004E77A1">
        <w:rPr>
          <w:rFonts w:ascii="Times New Roman" w:hAnsi="Times New Roman"/>
          <w:sz w:val="16"/>
          <w:lang w:val="en-US"/>
        </w:rPr>
        <w:t>LP linear predictor; WHO World Health Organization.</w:t>
      </w:r>
      <w:r w:rsidR="004577DB" w:rsidRPr="004E77A1">
        <w:rPr>
          <w:rFonts w:ascii="Times New Roman" w:hAnsi="Times New Roman"/>
          <w:sz w:val="16"/>
          <w:lang w:val="en-US"/>
        </w:rPr>
        <w:t xml:space="preserve"> SI conversion factor: To convert alkaline phosphatase to μkat per liter, multiply by 0.0167.</w:t>
      </w: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Default="00190C05" w:rsidP="00F82E5A">
      <w:pPr>
        <w:rPr>
          <w:b/>
          <w:lang w:val="en-GB"/>
        </w:rPr>
      </w:pPr>
      <w:r>
        <w:rPr>
          <w:b/>
          <w:noProof/>
          <w:lang w:eastAsia="nl-NL"/>
        </w:rPr>
        <w:lastRenderedPageBreak/>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3175</wp:posOffset>
                </wp:positionV>
                <wp:extent cx="3101340" cy="1003300"/>
                <wp:effectExtent l="0" t="0" r="3810" b="0"/>
                <wp:wrapSquare wrapText="bothSides"/>
                <wp:docPr id="5"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1340" cy="1003300"/>
                        </a:xfrm>
                        <a:prstGeom prst="rect">
                          <a:avLst/>
                        </a:prstGeom>
                        <a:solidFill>
                          <a:prstClr val="white"/>
                        </a:solidFill>
                        <a:ln>
                          <a:noFill/>
                        </a:ln>
                        <a:effectLst/>
                      </wps:spPr>
                      <wps:txbx>
                        <w:txbxContent>
                          <w:p w:rsidR="001E264C" w:rsidRPr="004E77A1" w:rsidRDefault="00B72D64" w:rsidP="005A4AD4">
                            <w:pPr>
                              <w:pStyle w:val="Bijschrift"/>
                              <w:spacing w:line="240" w:lineRule="auto"/>
                              <w:rPr>
                                <w:rFonts w:ascii="Times New Roman" w:hAnsi="Times New Roman"/>
                                <w:noProof/>
                                <w:sz w:val="24"/>
                                <w:lang w:val="en-US"/>
                              </w:rPr>
                            </w:pPr>
                            <w:r w:rsidRPr="004E77A1">
                              <w:rPr>
                                <w:rFonts w:ascii="Times New Roman" w:hAnsi="Times New Roman"/>
                                <w:sz w:val="24"/>
                                <w:lang w:val="en-GB"/>
                              </w:rPr>
                              <w:t>Supplementary</w:t>
                            </w:r>
                            <w:r w:rsidRPr="004E77A1">
                              <w:rPr>
                                <w:rFonts w:ascii="Times New Roman" w:hAnsi="Times New Roman"/>
                                <w:sz w:val="24"/>
                                <w:lang w:val="en-US"/>
                              </w:rPr>
                              <w:t xml:space="preserve"> </w:t>
                            </w:r>
                            <w:r w:rsidR="001E264C" w:rsidRPr="004E77A1">
                              <w:rPr>
                                <w:rFonts w:ascii="Times New Roman" w:hAnsi="Times New Roman"/>
                                <w:sz w:val="24"/>
                                <w:lang w:val="en-US"/>
                              </w:rPr>
                              <w:t>Figure 4. Histogram illustrating the distribution of predicted effect for combination chemotherapy versus sequential chemotherapy in CAIRO patients.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kstvak 9" o:spid="_x0000_s1029" type="#_x0000_t202" style="position:absolute;margin-left:0;margin-top:.25pt;width:244.2pt;height:7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oGRgIAAI8EAAAOAAAAZHJzL2Uyb0RvYy54bWysVMFu2zAMvQ/YPwi6L7aTbdiMOEWWIsOA&#10;oC2QDD0rshwLkURNUmJ3Xz9KjtOu22nYRaHFR1Lke8z8pteKnIXzEkxFi0lOiTAcamkOFf2+W7/7&#10;RIkPzNRMgREVfRKe3izevpl3thRTaEHVwhFMYnzZ2Yq2IdgyyzxvhWZ+AlYYdDbgNAv46Q5Z7ViH&#10;2bXKpnn+MevA1dYBF97j7e3gpIuUv2kED/dN40UgqqL4tpBOl859PLPFnJUHx2wr+eUZ7B9eoZk0&#10;WPSa6pYFRk5O/pFKS+7AQxMmHHQGTSO5SD1gN0X+qptty6xIveBwvL2Oyf+/tPzu/OCIrCv6gRLD&#10;NFK0E0cfzuxIPsfpdNaXCNpahIX+C/TIcurU2w3wo0dI9gIzBHhEx2n0jdPxF/skGIgEPF2HLvpA&#10;OF7OiryYvUcXR1+R57NZnmjJnsOt8+GrAE2iUVGHrKYnsPPGh/gAVo6QWM2DkvVaKhU/omOlHDkz&#10;VEDXyiBiVxjxG0qZiDUQowb3cCOShC5VYptDZ9EK/b5Pg5uOY9pD/YRTcjCozFu+llh9w3x4YA5l&#10;hU3iqoR7PBoFXUXhYlHSgvv5t/uIR7bRS0mHMq2o/3FiTlCivhnUQdT0aLjR2I+GOekVYN8FLqHl&#10;ycQAF9RoNg70I27QMlZBFzMca1U0jOYqDMuCG8jFcplAqFzLwsZsLR/FEKe86x+ZsxeOAtJ7B6OA&#10;WfmKqgGbyLLLU8C5Jx7jXIcpXlSFqk9kXTY0rtXL74R6/h9Z/AIAAP//AwBQSwMEFAAGAAgAAAAh&#10;AF8pj67cAAAABQEAAA8AAABkcnMvZG93bnJldi54bWxMj0FLw0AUhO+C/2F5gje7aWk0xGyKFoSi&#10;SDWK59fkNYlm34bdbRv/vc+THocZZr4pVpMd1JF86B0bmM8SUMS1a3puDby/PVxloEJEbnBwTAa+&#10;KcCqPD8rMG/ciV/pWMVWSQmHHA10MY651qHuyGKYuZFYvL3zFqNI3+rG40nK7aAXSXKtLfYsCx2O&#10;tO6o/qoO1sBN/zRP/frxc7GJL8+bj/09VtvJmMuL6e4WVKQp/oXhF1/QoRSmnTtwE9RgQI5EAyko&#10;8ZZZtgS1k1CapaDLQv+nL38AAAD//wMAUEsBAi0AFAAGAAgAAAAhALaDOJL+AAAA4QEAABMAAAAA&#10;AAAAAAAAAAAAAAAAAFtDb250ZW50X1R5cGVzXS54bWxQSwECLQAUAAYACAAAACEAOP0h/9YAAACU&#10;AQAACwAAAAAAAAAAAAAAAAAvAQAAX3JlbHMvLnJlbHNQSwECLQAUAAYACAAAACEAxR3aBkYCAACP&#10;BAAADgAAAAAAAAAAAAAAAAAuAgAAZHJzL2Uyb0RvYy54bWxQSwECLQAUAAYACAAAACEAXymPrtwA&#10;AAAFAQAADwAAAAAAAAAAAAAAAACgBAAAZHJzL2Rvd25yZXYueG1sUEsFBgAAAAAEAAQA8wAAAKkF&#10;AAAAAA==&#10;" stroked="f">
                <v:path arrowok="t"/>
                <v:textbox style="mso-fit-shape-to-text:t" inset="0,0,0,0">
                  <w:txbxContent>
                    <w:p w:rsidR="001E264C" w:rsidRPr="004E77A1" w:rsidRDefault="00B72D64" w:rsidP="005A4AD4">
                      <w:pPr>
                        <w:pStyle w:val="Bijschrift"/>
                        <w:spacing w:line="240" w:lineRule="auto"/>
                        <w:rPr>
                          <w:rFonts w:ascii="Times New Roman" w:hAnsi="Times New Roman"/>
                          <w:noProof/>
                          <w:sz w:val="24"/>
                          <w:lang w:val="en-US"/>
                        </w:rPr>
                      </w:pPr>
                      <w:r w:rsidRPr="004E77A1">
                        <w:rPr>
                          <w:rFonts w:ascii="Times New Roman" w:hAnsi="Times New Roman"/>
                          <w:sz w:val="24"/>
                          <w:lang w:val="en-GB"/>
                        </w:rPr>
                        <w:t>Supplementary</w:t>
                      </w:r>
                      <w:r w:rsidRPr="004E77A1">
                        <w:rPr>
                          <w:rFonts w:ascii="Times New Roman" w:hAnsi="Times New Roman"/>
                          <w:sz w:val="24"/>
                          <w:lang w:val="en-US"/>
                        </w:rPr>
                        <w:t xml:space="preserve"> </w:t>
                      </w:r>
                      <w:r w:rsidR="001E264C" w:rsidRPr="004E77A1">
                        <w:rPr>
                          <w:rFonts w:ascii="Times New Roman" w:hAnsi="Times New Roman"/>
                          <w:sz w:val="24"/>
                          <w:lang w:val="en-US"/>
                        </w:rPr>
                        <w:t>Figure 4. Histogram illustrating the distribution of predicted effect for combination chemotherapy versus sequential chemotherapy in CAIRO patients.</w:t>
                      </w:r>
                    </w:p>
                  </w:txbxContent>
                </v:textbox>
                <w10:wrap type="square" anchorx="margin"/>
              </v:shape>
            </w:pict>
          </mc:Fallback>
        </mc:AlternateContent>
      </w:r>
    </w:p>
    <w:p w:rsidR="001E264C" w:rsidRDefault="001E264C" w:rsidP="00F82E5A">
      <w:pPr>
        <w:rPr>
          <w:b/>
          <w:lang w:val="en-GB"/>
        </w:rPr>
      </w:pPr>
    </w:p>
    <w:p w:rsidR="001E264C" w:rsidRDefault="0034714D" w:rsidP="00F82E5A">
      <w:pPr>
        <w:rPr>
          <w:b/>
          <w:lang w:val="en-GB"/>
        </w:rPr>
      </w:pPr>
      <w:r>
        <w:rPr>
          <w:b/>
          <w:noProof/>
          <w:lang w:eastAsia="nl-NL"/>
        </w:rPr>
        <w:drawing>
          <wp:anchor distT="0" distB="0" distL="114300" distR="114300" simplePos="0" relativeHeight="251659264" behindDoc="0" locked="0" layoutInCell="1" allowOverlap="1">
            <wp:simplePos x="0" y="0"/>
            <wp:positionH relativeFrom="margin">
              <wp:align>center</wp:align>
            </wp:positionH>
            <wp:positionV relativeFrom="paragraph">
              <wp:posOffset>114300</wp:posOffset>
            </wp:positionV>
            <wp:extent cx="3101340" cy="2727960"/>
            <wp:effectExtent l="0" t="0" r="3810" b="0"/>
            <wp:wrapSquare wrapText="bothSides"/>
            <wp:docPr id="21" name="Afbeelding 1" descr="\\amc.intra\users\J\jjkwakman\home\Desktop\scripts RvK\RplotPredictedBenef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mc.intra\users\J\jjkwakman\home\Desktop\scripts RvK\RplotPredictedBenefi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1340" cy="2727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64C" w:rsidRDefault="001E264C" w:rsidP="00F82E5A">
      <w:pPr>
        <w:rPr>
          <w:b/>
          <w:lang w:val="en-GB"/>
        </w:rPr>
      </w:pPr>
    </w:p>
    <w:p w:rsidR="001E264C" w:rsidRDefault="001E264C" w:rsidP="00F82E5A">
      <w:pPr>
        <w:rPr>
          <w:b/>
          <w:lang w:val="en-GB"/>
        </w:rPr>
      </w:pPr>
    </w:p>
    <w:p w:rsidR="001E264C" w:rsidRDefault="001E264C" w:rsidP="00F82E5A">
      <w:pPr>
        <w:rPr>
          <w:b/>
          <w:lang w:val="en-GB"/>
        </w:rPr>
      </w:pPr>
    </w:p>
    <w:p w:rsidR="001E264C" w:rsidRDefault="001E264C" w:rsidP="00F82E5A">
      <w:pPr>
        <w:rPr>
          <w:b/>
          <w:lang w:val="en-GB"/>
        </w:rPr>
      </w:pPr>
    </w:p>
    <w:p w:rsidR="001E264C" w:rsidRDefault="001E264C" w:rsidP="00F82E5A">
      <w:pPr>
        <w:rPr>
          <w:b/>
          <w:lang w:val="en-GB"/>
        </w:rPr>
      </w:pPr>
    </w:p>
    <w:p w:rsidR="001E264C" w:rsidRDefault="001E264C" w:rsidP="00F82E5A">
      <w:pPr>
        <w:rPr>
          <w:b/>
          <w:lang w:val="en-GB"/>
        </w:rPr>
      </w:pPr>
    </w:p>
    <w:p w:rsidR="001E264C" w:rsidRDefault="001E264C" w:rsidP="00F82E5A">
      <w:pPr>
        <w:rPr>
          <w:b/>
          <w:lang w:val="en-GB"/>
        </w:rPr>
      </w:pPr>
    </w:p>
    <w:p w:rsidR="001E264C" w:rsidRDefault="001E264C" w:rsidP="00F82E5A">
      <w:pPr>
        <w:rPr>
          <w:b/>
          <w:lang w:val="en-GB"/>
        </w:rPr>
      </w:pPr>
    </w:p>
    <w:p w:rsidR="001E264C" w:rsidRDefault="001E264C" w:rsidP="00F82E5A">
      <w:pPr>
        <w:rPr>
          <w:b/>
          <w:lang w:val="en-GB"/>
        </w:rPr>
      </w:pPr>
    </w:p>
    <w:p w:rsidR="001E264C" w:rsidRDefault="001E264C" w:rsidP="00F82E5A">
      <w:pPr>
        <w:rPr>
          <w:b/>
          <w:lang w:val="en-GB"/>
        </w:rPr>
      </w:pPr>
    </w:p>
    <w:p w:rsidR="001E264C" w:rsidRDefault="001E264C" w:rsidP="00F82E5A">
      <w:pPr>
        <w:rPr>
          <w:b/>
          <w:lang w:val="en-GB"/>
        </w:rPr>
      </w:pPr>
    </w:p>
    <w:p w:rsidR="001E264C" w:rsidRDefault="001E264C" w:rsidP="00F82E5A">
      <w:pPr>
        <w:rPr>
          <w:b/>
          <w:lang w:val="en-GB"/>
        </w:rPr>
      </w:pPr>
    </w:p>
    <w:p w:rsidR="001E264C" w:rsidRDefault="001E264C" w:rsidP="00F82E5A">
      <w:pPr>
        <w:rPr>
          <w:b/>
          <w:lang w:val="en-GB"/>
        </w:rPr>
      </w:pPr>
    </w:p>
    <w:p w:rsidR="001E264C" w:rsidRDefault="001E264C" w:rsidP="00F82E5A">
      <w:pPr>
        <w:rPr>
          <w:b/>
          <w:lang w:val="en-GB"/>
        </w:rPr>
      </w:pPr>
    </w:p>
    <w:p w:rsidR="001E264C" w:rsidRDefault="001E264C" w:rsidP="00F82E5A">
      <w:pPr>
        <w:rPr>
          <w:b/>
          <w:lang w:val="en-GB"/>
        </w:rPr>
      </w:pPr>
    </w:p>
    <w:p w:rsidR="001E264C" w:rsidRDefault="001E264C" w:rsidP="00F82E5A">
      <w:pPr>
        <w:rPr>
          <w:b/>
          <w:lang w:val="en-GB"/>
        </w:rPr>
      </w:pPr>
    </w:p>
    <w:p w:rsidR="001E264C" w:rsidRDefault="001E264C" w:rsidP="00F82E5A">
      <w:pPr>
        <w:rPr>
          <w:b/>
          <w:lang w:val="en-GB"/>
        </w:rPr>
      </w:pPr>
    </w:p>
    <w:p w:rsidR="001E264C" w:rsidRDefault="001E264C" w:rsidP="00F82E5A">
      <w:pPr>
        <w:rPr>
          <w:b/>
          <w:lang w:val="en-GB"/>
        </w:rPr>
      </w:pPr>
    </w:p>
    <w:p w:rsidR="001E264C" w:rsidRDefault="001E264C" w:rsidP="00F82E5A">
      <w:pPr>
        <w:rPr>
          <w:b/>
          <w:lang w:val="en-GB"/>
        </w:rPr>
      </w:pPr>
    </w:p>
    <w:p w:rsidR="001E264C" w:rsidRDefault="001E264C" w:rsidP="00F82E5A">
      <w:pPr>
        <w:rPr>
          <w:b/>
          <w:lang w:val="en-GB"/>
        </w:rPr>
      </w:pPr>
    </w:p>
    <w:p w:rsidR="001E264C" w:rsidRDefault="001E264C" w:rsidP="00F82E5A">
      <w:pPr>
        <w:rPr>
          <w:b/>
          <w:lang w:val="en-GB"/>
        </w:rPr>
      </w:pPr>
    </w:p>
    <w:p w:rsidR="001E264C" w:rsidRDefault="001E264C" w:rsidP="00F82E5A">
      <w:pPr>
        <w:rPr>
          <w:b/>
          <w:lang w:val="en-GB"/>
        </w:rPr>
      </w:pPr>
    </w:p>
    <w:p w:rsidR="001E264C" w:rsidRDefault="001E264C" w:rsidP="00F82E5A">
      <w:pPr>
        <w:rPr>
          <w:b/>
          <w:lang w:val="en-GB"/>
        </w:rPr>
      </w:pPr>
    </w:p>
    <w:p w:rsidR="001E264C" w:rsidRDefault="001E264C" w:rsidP="00F82E5A">
      <w:pPr>
        <w:rPr>
          <w:b/>
          <w:lang w:val="en-GB"/>
        </w:rPr>
      </w:pPr>
    </w:p>
    <w:p w:rsidR="001E264C" w:rsidRPr="00F82E5A" w:rsidRDefault="0034714D" w:rsidP="00F82E5A">
      <w:pPr>
        <w:rPr>
          <w:b/>
          <w:lang w:val="en-GB"/>
        </w:rPr>
      </w:pPr>
      <w:r>
        <w:rPr>
          <w:noProof/>
          <w:lang w:eastAsia="nl-NL"/>
        </w:rPr>
        <w:lastRenderedPageBreak/>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9525</wp:posOffset>
                </wp:positionV>
                <wp:extent cx="3131820" cy="1005840"/>
                <wp:effectExtent l="0" t="0" r="0" b="3810"/>
                <wp:wrapSquare wrapText="bothSides"/>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1820" cy="1005840"/>
                        </a:xfrm>
                        <a:prstGeom prst="rect">
                          <a:avLst/>
                        </a:prstGeom>
                        <a:solidFill>
                          <a:prstClr val="white"/>
                        </a:solidFill>
                        <a:ln>
                          <a:noFill/>
                        </a:ln>
                        <a:effectLst/>
                      </wps:spPr>
                      <wps:txbx>
                        <w:txbxContent>
                          <w:p w:rsidR="00F82E5A" w:rsidRPr="004E77A1" w:rsidRDefault="00B72D64" w:rsidP="005A4AD4">
                            <w:pPr>
                              <w:pStyle w:val="Bijschrift"/>
                              <w:spacing w:line="240" w:lineRule="auto"/>
                              <w:rPr>
                                <w:rFonts w:ascii="Times New Roman" w:hAnsi="Times New Roman"/>
                                <w:sz w:val="24"/>
                                <w:lang w:val="en-GB"/>
                              </w:rPr>
                            </w:pPr>
                            <w:r w:rsidRPr="004E77A1">
                              <w:rPr>
                                <w:rFonts w:ascii="Times New Roman" w:hAnsi="Times New Roman"/>
                                <w:sz w:val="24"/>
                                <w:lang w:val="en-GB"/>
                              </w:rPr>
                              <w:t>Supplementary</w:t>
                            </w:r>
                            <w:r w:rsidRPr="004E77A1">
                              <w:rPr>
                                <w:rFonts w:ascii="Times New Roman" w:hAnsi="Times New Roman"/>
                                <w:sz w:val="24"/>
                                <w:lang w:val="en-US"/>
                              </w:rPr>
                              <w:t xml:space="preserve"> </w:t>
                            </w:r>
                            <w:r w:rsidR="00F82E5A" w:rsidRPr="004E77A1">
                              <w:rPr>
                                <w:rFonts w:ascii="Times New Roman" w:hAnsi="Times New Roman"/>
                                <w:sz w:val="24"/>
                                <w:lang w:val="en-US"/>
                              </w:rPr>
                              <w:t xml:space="preserve">Figure </w:t>
                            </w:r>
                            <w:r w:rsidR="00F82E5A" w:rsidRPr="004E77A1">
                              <w:rPr>
                                <w:rFonts w:ascii="Times New Roman" w:hAnsi="Times New Roman"/>
                                <w:sz w:val="24"/>
                              </w:rPr>
                              <w:fldChar w:fldCharType="begin"/>
                            </w:r>
                            <w:r w:rsidR="00F82E5A" w:rsidRPr="004E77A1">
                              <w:rPr>
                                <w:rFonts w:ascii="Times New Roman" w:hAnsi="Times New Roman"/>
                                <w:sz w:val="24"/>
                                <w:lang w:val="en-US"/>
                              </w:rPr>
                              <w:instrText xml:space="preserve"> SEQ eFigure \* ARABIC </w:instrText>
                            </w:r>
                            <w:r w:rsidR="00F82E5A" w:rsidRPr="004E77A1">
                              <w:rPr>
                                <w:rFonts w:ascii="Times New Roman" w:hAnsi="Times New Roman"/>
                                <w:sz w:val="24"/>
                              </w:rPr>
                              <w:fldChar w:fldCharType="separate"/>
                            </w:r>
                            <w:r w:rsidR="00F82E5A" w:rsidRPr="004E77A1">
                              <w:rPr>
                                <w:rFonts w:ascii="Times New Roman" w:hAnsi="Times New Roman"/>
                                <w:noProof/>
                                <w:sz w:val="24"/>
                                <w:lang w:val="en-US"/>
                              </w:rPr>
                              <w:t>5</w:t>
                            </w:r>
                            <w:r w:rsidR="00F82E5A" w:rsidRPr="004E77A1">
                              <w:rPr>
                                <w:rFonts w:ascii="Times New Roman" w:hAnsi="Times New Roman"/>
                                <w:sz w:val="24"/>
                              </w:rPr>
                              <w:fldChar w:fldCharType="end"/>
                            </w:r>
                            <w:r w:rsidR="00F82E5A" w:rsidRPr="004E77A1">
                              <w:rPr>
                                <w:rFonts w:ascii="Times New Roman" w:hAnsi="Times New Roman"/>
                                <w:sz w:val="24"/>
                                <w:lang w:val="en-US"/>
                              </w:rPr>
                              <w:t xml:space="preserve">. </w:t>
                            </w:r>
                            <w:r w:rsidR="00F82E5A" w:rsidRPr="004E77A1">
                              <w:rPr>
                                <w:rFonts w:ascii="Times New Roman" w:hAnsi="Times New Roman"/>
                                <w:sz w:val="24"/>
                                <w:lang w:val="en-GB"/>
                              </w:rPr>
                              <w:t>Histogram illustrating the distribution of predicted effect for combination chemotherapy versus sequential chemotherapy in FOCUS patients.</w:t>
                            </w:r>
                          </w:p>
                          <w:p w:rsidR="00F82E5A" w:rsidRPr="00C53572" w:rsidRDefault="00F82E5A" w:rsidP="00F82E5A">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vak 16" o:spid="_x0000_s1030" type="#_x0000_t202" style="position:absolute;margin-left:0;margin-top:.75pt;width:246.6pt;height:79.2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EsRwIAAJEEAAAOAAAAZHJzL2Uyb0RvYy54bWysVMFu2zAMvQ/YPwi6L7aTrSiMOEWWIsOA&#10;oC2QFD0rshwLkUVNUmJnXz9KttOu22nYRaHFR1J8fMz8rmsUOQvrJOiCZpOUEqE5lFIfCvq8W3+6&#10;pcR5pkumQIuCXoSjd4uPH+atycUUalClsASTaJe3pqC19yZPEsdr0TA3ASM0OiuwDfP4aQ9JaVmL&#10;2RuVTNP0JmnBlsYCF87h7X3vpIuYv6oE949V5YQnqqD4Nh9PG899OJPFnOUHy0wt+fAM9g+vaJjU&#10;WPSa6p55Rk5W/pGqkdyCg8pPODQJVJXkIvaA3WTpu262NTMi9oLkOHOlyf2/tPzh/GSJLHF2N5Ro&#10;1uCMduLo/JkdCV4hP61xOcK2BoG++wodYmOvzmyAHx1CkjeYPsAhOvDRVbYJv9gpwUAcweVKu+g8&#10;4Xg5y2bZ7RRdHH1Zmn65/RwHk7yGG+v8NwENCUZBLc41PoGdN86HB7B8hIRqDpQs11Kp8BEcK2XJ&#10;maEG2lp6EbrCiN9QSgeshhDVu/sbEUU0VAlt9p0Fy3f7LlI3G2naQ3lBliz0OnOGryVW3zDnn5hF&#10;YWGTuCz+EY9KQVtQGCxKarA//3Yf8Dhv9FLSolAL6n6cmBWUqO8alRBUPRp2NPajoU/NCrDvDNfQ&#10;8GhigPVqNCsLzQvu0DJUQRfTHGsV1I/myvfrgjvIxXIZQahdw/xGbw0fxRBY3nUvzJphRh7H+wCj&#10;hFn+blQ9tud8efJQyTjHwGvP4qAq1H0c1rCjYbHefkfU6z/J4hcAAAD//wMAUEsDBBQABgAIAAAA&#10;IQDoDuxw2wAAAAYBAAAPAAAAZHJzL2Rvd25yZXYueG1sTI/NasMwEITvhb6D2EJvjew0/bFjOZRC&#10;CfQS4uQBFGtrmVgrY8mx8/bdnNrj7Cwz3xSb2XXigkNoPSlIFwkIpNqblhoFx8PX0zuIEDUZ3XlC&#10;BVcMsCnv7wqdGz/RHi9VbASHUMi1Ahtjn0sZaotOh4Xvkdj78YPTkeXQSDPoicNdJ5dJ8iqdbokb&#10;rO7x02J9rkanoH2j9HusVrNMp+x42Nnt7jpulXp8mD/WICLO8e8ZbviMDiUznfxIJohOAQ+JfH0B&#10;weYqe16CON10loEsC/kfv/wFAAD//wMAUEsBAi0AFAAGAAgAAAAhALaDOJL+AAAA4QEAABMAAAAA&#10;AAAAAAAAAAAAAAAAAFtDb250ZW50X1R5cGVzXS54bWxQSwECLQAUAAYACAAAACEAOP0h/9YAAACU&#10;AQAACwAAAAAAAAAAAAAAAAAvAQAAX3JlbHMvLnJlbHNQSwECLQAUAAYACAAAACEAXfKxLEcCAACR&#10;BAAADgAAAAAAAAAAAAAAAAAuAgAAZHJzL2Uyb0RvYy54bWxQSwECLQAUAAYACAAAACEA6A7scNsA&#10;AAAGAQAADwAAAAAAAAAAAAAAAAChBAAAZHJzL2Rvd25yZXYueG1sUEsFBgAAAAAEAAQA8wAAAKkF&#10;AAAAAA==&#10;" stroked="f">
                <v:path arrowok="t"/>
                <v:textbox inset="0,0,0,0">
                  <w:txbxContent>
                    <w:p w:rsidR="00F82E5A" w:rsidRPr="004E77A1" w:rsidRDefault="00B72D64" w:rsidP="005A4AD4">
                      <w:pPr>
                        <w:pStyle w:val="Bijschrift"/>
                        <w:spacing w:line="240" w:lineRule="auto"/>
                        <w:rPr>
                          <w:rFonts w:ascii="Times New Roman" w:hAnsi="Times New Roman"/>
                          <w:sz w:val="24"/>
                          <w:lang w:val="en-GB"/>
                        </w:rPr>
                      </w:pPr>
                      <w:r w:rsidRPr="004E77A1">
                        <w:rPr>
                          <w:rFonts w:ascii="Times New Roman" w:hAnsi="Times New Roman"/>
                          <w:sz w:val="24"/>
                          <w:lang w:val="en-GB"/>
                        </w:rPr>
                        <w:t>Supplementary</w:t>
                      </w:r>
                      <w:r w:rsidRPr="004E77A1">
                        <w:rPr>
                          <w:rFonts w:ascii="Times New Roman" w:hAnsi="Times New Roman"/>
                          <w:sz w:val="24"/>
                          <w:lang w:val="en-US"/>
                        </w:rPr>
                        <w:t xml:space="preserve"> </w:t>
                      </w:r>
                      <w:r w:rsidR="00F82E5A" w:rsidRPr="004E77A1">
                        <w:rPr>
                          <w:rFonts w:ascii="Times New Roman" w:hAnsi="Times New Roman"/>
                          <w:sz w:val="24"/>
                          <w:lang w:val="en-US"/>
                        </w:rPr>
                        <w:t xml:space="preserve">Figure </w:t>
                      </w:r>
                      <w:r w:rsidR="00F82E5A" w:rsidRPr="004E77A1">
                        <w:rPr>
                          <w:rFonts w:ascii="Times New Roman" w:hAnsi="Times New Roman"/>
                          <w:sz w:val="24"/>
                        </w:rPr>
                        <w:fldChar w:fldCharType="begin"/>
                      </w:r>
                      <w:r w:rsidR="00F82E5A" w:rsidRPr="004E77A1">
                        <w:rPr>
                          <w:rFonts w:ascii="Times New Roman" w:hAnsi="Times New Roman"/>
                          <w:sz w:val="24"/>
                          <w:lang w:val="en-US"/>
                        </w:rPr>
                        <w:instrText xml:space="preserve"> SEQ eFigure \* ARABIC </w:instrText>
                      </w:r>
                      <w:r w:rsidR="00F82E5A" w:rsidRPr="004E77A1">
                        <w:rPr>
                          <w:rFonts w:ascii="Times New Roman" w:hAnsi="Times New Roman"/>
                          <w:sz w:val="24"/>
                        </w:rPr>
                        <w:fldChar w:fldCharType="separate"/>
                      </w:r>
                      <w:r w:rsidR="00F82E5A" w:rsidRPr="004E77A1">
                        <w:rPr>
                          <w:rFonts w:ascii="Times New Roman" w:hAnsi="Times New Roman"/>
                          <w:noProof/>
                          <w:sz w:val="24"/>
                          <w:lang w:val="en-US"/>
                        </w:rPr>
                        <w:t>5</w:t>
                      </w:r>
                      <w:r w:rsidR="00F82E5A" w:rsidRPr="004E77A1">
                        <w:rPr>
                          <w:rFonts w:ascii="Times New Roman" w:hAnsi="Times New Roman"/>
                          <w:sz w:val="24"/>
                        </w:rPr>
                        <w:fldChar w:fldCharType="end"/>
                      </w:r>
                      <w:r w:rsidR="00F82E5A" w:rsidRPr="004E77A1">
                        <w:rPr>
                          <w:rFonts w:ascii="Times New Roman" w:hAnsi="Times New Roman"/>
                          <w:sz w:val="24"/>
                          <w:lang w:val="en-US"/>
                        </w:rPr>
                        <w:t xml:space="preserve">. </w:t>
                      </w:r>
                      <w:r w:rsidR="00F82E5A" w:rsidRPr="004E77A1">
                        <w:rPr>
                          <w:rFonts w:ascii="Times New Roman" w:hAnsi="Times New Roman"/>
                          <w:sz w:val="24"/>
                          <w:lang w:val="en-GB"/>
                        </w:rPr>
                        <w:t>Histogram illustrating the distribution of predicted effect for combination chemotherapy versus sequential chemotherapy in FOCUS patients.</w:t>
                      </w:r>
                    </w:p>
                    <w:p w:rsidR="00F82E5A" w:rsidRPr="00C53572" w:rsidRDefault="00F82E5A" w:rsidP="00F82E5A">
                      <w:pPr>
                        <w:rPr>
                          <w:lang w:val="en-GB"/>
                        </w:rPr>
                      </w:pPr>
                    </w:p>
                  </w:txbxContent>
                </v:textbox>
                <w10:wrap type="square" anchorx="margin"/>
              </v:shape>
            </w:pict>
          </mc:Fallback>
        </mc:AlternateContent>
      </w:r>
    </w:p>
    <w:p w:rsidR="00F82E5A" w:rsidRPr="00F82E5A" w:rsidRDefault="00F82E5A" w:rsidP="00F82E5A">
      <w:pPr>
        <w:rPr>
          <w:rFonts w:ascii="Times New Roman" w:hAnsi="Times New Roman"/>
          <w:b/>
          <w:sz w:val="20"/>
          <w:lang w:val="en-GB"/>
        </w:rPr>
      </w:pPr>
    </w:p>
    <w:p w:rsidR="00F82E5A" w:rsidRPr="00F82E5A" w:rsidRDefault="00190C05" w:rsidP="00F82E5A">
      <w:pPr>
        <w:rPr>
          <w:b/>
          <w:lang w:val="en-GB"/>
        </w:rPr>
      </w:pPr>
      <w:r>
        <w:rPr>
          <w:noProof/>
          <w:lang w:eastAsia="nl-NL"/>
        </w:rPr>
        <w:drawing>
          <wp:anchor distT="0" distB="0" distL="114300" distR="114300" simplePos="0" relativeHeight="251651072" behindDoc="0" locked="0" layoutInCell="1" allowOverlap="1">
            <wp:simplePos x="0" y="0"/>
            <wp:positionH relativeFrom="margin">
              <wp:align>center</wp:align>
            </wp:positionH>
            <wp:positionV relativeFrom="paragraph">
              <wp:posOffset>231775</wp:posOffset>
            </wp:positionV>
            <wp:extent cx="3131820" cy="2750820"/>
            <wp:effectExtent l="0" t="0" r="0" b="0"/>
            <wp:wrapSquare wrapText="bothSides"/>
            <wp:docPr id="10" name="Afbeelding 5" descr="\\amc.intra\users\J\jjkwakman\home\Desktop\scripts RvK\RplotPredictedBenefitFOC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amc.intra\users\J\jjkwakman\home\Desktop\scripts RvK\RplotPredictedBenefitFOCU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1820" cy="2750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4E77A1" w:rsidRPr="008B3502" w:rsidRDefault="004E77A1" w:rsidP="004E77A1">
      <w:pPr>
        <w:rPr>
          <w:rFonts w:ascii="Times New Roman" w:hAnsi="Times New Roman"/>
          <w:b/>
          <w:bCs/>
          <w:lang w:val="en-GB"/>
        </w:rPr>
      </w:pPr>
      <w:r>
        <w:rPr>
          <w:rFonts w:ascii="Times New Roman" w:hAnsi="Times New Roman"/>
          <w:b/>
          <w:bCs/>
          <w:lang w:val="en-US"/>
        </w:rPr>
        <w:lastRenderedPageBreak/>
        <w:t>Supplementary Table 1</w:t>
      </w:r>
      <w:r w:rsidRPr="008B3502">
        <w:rPr>
          <w:rFonts w:ascii="Times New Roman" w:hAnsi="Times New Roman"/>
          <w:b/>
          <w:bCs/>
          <w:lang w:val="en-US"/>
        </w:rPr>
        <w:t xml:space="preserve">. </w:t>
      </w:r>
      <w:r w:rsidRPr="008B3502">
        <w:rPr>
          <w:rFonts w:ascii="Times New Roman" w:hAnsi="Times New Roman"/>
          <w:b/>
          <w:bCs/>
          <w:lang w:val="en-GB"/>
        </w:rPr>
        <w:t>Clinical implications according to different treatment-thresholds (CAIRO data)</w:t>
      </w:r>
      <w:r>
        <w:rPr>
          <w:rFonts w:ascii="Times New Roman" w:hAnsi="Times New Roman"/>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976"/>
        <w:gridCol w:w="1701"/>
        <w:gridCol w:w="1560"/>
      </w:tblGrid>
      <w:tr w:rsidR="004E77A1" w:rsidRPr="006627E8" w:rsidTr="006627E8">
        <w:tc>
          <w:tcPr>
            <w:tcW w:w="2235" w:type="dxa"/>
            <w:shd w:val="clear" w:color="auto" w:fill="auto"/>
          </w:tcPr>
          <w:p w:rsidR="004E77A1" w:rsidRPr="008B3502" w:rsidRDefault="004E77A1" w:rsidP="006627E8">
            <w:pPr>
              <w:jc w:val="center"/>
              <w:rPr>
                <w:rFonts w:ascii="Times New Roman" w:hAnsi="Times New Roman"/>
                <w:b/>
                <w:lang w:val="en-GB"/>
              </w:rPr>
            </w:pPr>
            <w:r w:rsidRPr="008B3502">
              <w:rPr>
                <w:rFonts w:ascii="Times New Roman" w:hAnsi="Times New Roman"/>
                <w:b/>
                <w:lang w:val="en-GB"/>
              </w:rPr>
              <w:t>Treatment-threshold (gain in median OS in months)</w:t>
            </w:r>
          </w:p>
        </w:tc>
        <w:tc>
          <w:tcPr>
            <w:tcW w:w="2976" w:type="dxa"/>
            <w:shd w:val="clear" w:color="auto" w:fill="auto"/>
          </w:tcPr>
          <w:p w:rsidR="004E77A1" w:rsidRPr="008B3502" w:rsidRDefault="004E77A1" w:rsidP="006627E8">
            <w:pPr>
              <w:jc w:val="center"/>
              <w:rPr>
                <w:rFonts w:ascii="Times New Roman" w:hAnsi="Times New Roman"/>
                <w:b/>
                <w:lang w:val="en-GB"/>
              </w:rPr>
            </w:pPr>
            <w:r w:rsidRPr="008B3502">
              <w:rPr>
                <w:rFonts w:ascii="Times New Roman" w:hAnsi="Times New Roman"/>
                <w:b/>
                <w:lang w:val="en-GB"/>
              </w:rPr>
              <w:t>Strategy associated with the highest net benefit</w:t>
            </w:r>
          </w:p>
        </w:tc>
        <w:tc>
          <w:tcPr>
            <w:tcW w:w="1701" w:type="dxa"/>
            <w:shd w:val="clear" w:color="auto" w:fill="auto"/>
          </w:tcPr>
          <w:p w:rsidR="004E77A1" w:rsidRPr="00701532" w:rsidRDefault="004E77A1" w:rsidP="006627E8">
            <w:pPr>
              <w:jc w:val="center"/>
              <w:rPr>
                <w:rFonts w:ascii="Times New Roman" w:hAnsi="Times New Roman"/>
                <w:b/>
                <w:vertAlign w:val="superscript"/>
                <w:lang w:val="en-GB"/>
              </w:rPr>
            </w:pPr>
            <w:r w:rsidRPr="008B3502">
              <w:rPr>
                <w:rFonts w:ascii="Times New Roman" w:hAnsi="Times New Roman"/>
                <w:b/>
                <w:lang w:val="en-GB"/>
              </w:rPr>
              <w:t>Combination chemotherapy treatment rate</w:t>
            </w:r>
            <w:r>
              <w:rPr>
                <w:rFonts w:ascii="Times New Roman" w:hAnsi="Times New Roman"/>
                <w:b/>
                <w:vertAlign w:val="superscript"/>
                <w:lang w:val="en-GB"/>
              </w:rPr>
              <w:t>a</w:t>
            </w:r>
          </w:p>
        </w:tc>
        <w:tc>
          <w:tcPr>
            <w:tcW w:w="1560" w:type="dxa"/>
            <w:shd w:val="clear" w:color="auto" w:fill="auto"/>
          </w:tcPr>
          <w:p w:rsidR="004E77A1" w:rsidRPr="008B3502" w:rsidRDefault="004E77A1" w:rsidP="006627E8">
            <w:pPr>
              <w:jc w:val="center"/>
              <w:rPr>
                <w:rFonts w:ascii="Times New Roman" w:hAnsi="Times New Roman"/>
                <w:b/>
                <w:lang w:val="en-GB"/>
              </w:rPr>
            </w:pPr>
            <w:r w:rsidRPr="008B3502">
              <w:rPr>
                <w:rFonts w:ascii="Times New Roman" w:hAnsi="Times New Roman"/>
                <w:b/>
                <w:lang w:val="en-GB"/>
              </w:rPr>
              <w:t>Average gain in median OS (months)</w:t>
            </w:r>
            <w:r>
              <w:rPr>
                <w:rFonts w:ascii="Times New Roman" w:hAnsi="Times New Roman"/>
                <w:b/>
                <w:vertAlign w:val="superscript"/>
                <w:lang w:val="en-GB"/>
              </w:rPr>
              <w:t>b</w:t>
            </w:r>
          </w:p>
        </w:tc>
      </w:tr>
      <w:tr w:rsidR="004E77A1" w:rsidRPr="00F82E5A" w:rsidTr="006627E8">
        <w:tc>
          <w:tcPr>
            <w:tcW w:w="2235" w:type="dxa"/>
            <w:shd w:val="clear" w:color="auto" w:fill="auto"/>
          </w:tcPr>
          <w:p w:rsidR="004E77A1" w:rsidRPr="008B3502" w:rsidRDefault="004E77A1" w:rsidP="006627E8">
            <w:pPr>
              <w:jc w:val="center"/>
              <w:rPr>
                <w:rFonts w:ascii="Times New Roman" w:hAnsi="Times New Roman"/>
                <w:lang w:val="en-GB"/>
              </w:rPr>
            </w:pPr>
            <w:r w:rsidRPr="008B3502">
              <w:rPr>
                <w:rFonts w:ascii="Times New Roman" w:hAnsi="Times New Roman"/>
                <w:lang w:val="en-GB"/>
              </w:rPr>
              <w:t>0</w:t>
            </w:r>
          </w:p>
        </w:tc>
        <w:tc>
          <w:tcPr>
            <w:tcW w:w="2976" w:type="dxa"/>
            <w:shd w:val="clear" w:color="auto" w:fill="auto"/>
          </w:tcPr>
          <w:p w:rsidR="004E77A1" w:rsidRPr="008B3502" w:rsidRDefault="004E77A1" w:rsidP="006627E8">
            <w:pPr>
              <w:jc w:val="center"/>
              <w:rPr>
                <w:rFonts w:ascii="Times New Roman" w:hAnsi="Times New Roman"/>
                <w:lang w:val="en-GB"/>
              </w:rPr>
            </w:pPr>
            <w:r w:rsidRPr="008B3502">
              <w:rPr>
                <w:rFonts w:ascii="Times New Roman" w:hAnsi="Times New Roman"/>
                <w:lang w:val="en-GB"/>
              </w:rPr>
              <w:t>Prediction-based treatment</w:t>
            </w:r>
          </w:p>
        </w:tc>
        <w:tc>
          <w:tcPr>
            <w:tcW w:w="1701" w:type="dxa"/>
            <w:shd w:val="clear" w:color="auto" w:fill="auto"/>
          </w:tcPr>
          <w:p w:rsidR="004E77A1" w:rsidRPr="008B3502" w:rsidRDefault="004E77A1" w:rsidP="006627E8">
            <w:pPr>
              <w:jc w:val="center"/>
              <w:rPr>
                <w:rFonts w:ascii="Times New Roman" w:hAnsi="Times New Roman"/>
                <w:lang w:val="en-GB"/>
              </w:rPr>
            </w:pPr>
            <w:r w:rsidRPr="008B3502">
              <w:rPr>
                <w:rFonts w:ascii="Times New Roman" w:hAnsi="Times New Roman"/>
                <w:lang w:val="en-GB"/>
              </w:rPr>
              <w:t>71.2%</w:t>
            </w:r>
          </w:p>
        </w:tc>
        <w:tc>
          <w:tcPr>
            <w:tcW w:w="1560" w:type="dxa"/>
            <w:shd w:val="clear" w:color="auto" w:fill="auto"/>
          </w:tcPr>
          <w:p w:rsidR="004E77A1" w:rsidRPr="008B3502" w:rsidRDefault="004E77A1" w:rsidP="006627E8">
            <w:pPr>
              <w:jc w:val="center"/>
              <w:rPr>
                <w:rFonts w:ascii="Times New Roman" w:hAnsi="Times New Roman"/>
                <w:lang w:val="en-GB"/>
              </w:rPr>
            </w:pPr>
            <w:r w:rsidRPr="008B3502">
              <w:rPr>
                <w:rFonts w:ascii="Times New Roman" w:hAnsi="Times New Roman"/>
                <w:lang w:val="en-GB"/>
              </w:rPr>
              <w:t>3.1</w:t>
            </w:r>
          </w:p>
        </w:tc>
      </w:tr>
      <w:tr w:rsidR="004E77A1" w:rsidRPr="00F82E5A" w:rsidTr="006627E8">
        <w:tc>
          <w:tcPr>
            <w:tcW w:w="2235" w:type="dxa"/>
            <w:shd w:val="clear" w:color="auto" w:fill="auto"/>
          </w:tcPr>
          <w:p w:rsidR="004E77A1" w:rsidRPr="008B3502" w:rsidRDefault="004E77A1" w:rsidP="006627E8">
            <w:pPr>
              <w:jc w:val="center"/>
              <w:rPr>
                <w:rFonts w:ascii="Times New Roman" w:hAnsi="Times New Roman"/>
                <w:lang w:val="en-GB"/>
              </w:rPr>
            </w:pPr>
            <w:r w:rsidRPr="008B3502">
              <w:rPr>
                <w:rFonts w:ascii="Times New Roman" w:hAnsi="Times New Roman"/>
                <w:lang w:val="en-GB"/>
              </w:rPr>
              <w:t>1</w:t>
            </w:r>
          </w:p>
        </w:tc>
        <w:tc>
          <w:tcPr>
            <w:tcW w:w="2976" w:type="dxa"/>
            <w:shd w:val="clear" w:color="auto" w:fill="auto"/>
          </w:tcPr>
          <w:p w:rsidR="004E77A1" w:rsidRPr="008B3502" w:rsidRDefault="004E77A1" w:rsidP="006627E8">
            <w:pPr>
              <w:jc w:val="center"/>
              <w:rPr>
                <w:rFonts w:ascii="Times New Roman" w:hAnsi="Times New Roman"/>
                <w:lang w:val="en-GB"/>
              </w:rPr>
            </w:pPr>
            <w:r w:rsidRPr="008B3502">
              <w:rPr>
                <w:rFonts w:ascii="Times New Roman" w:hAnsi="Times New Roman"/>
                <w:lang w:val="en-GB"/>
              </w:rPr>
              <w:t xml:space="preserve">Prediction-based treatment </w:t>
            </w:r>
          </w:p>
        </w:tc>
        <w:tc>
          <w:tcPr>
            <w:tcW w:w="1701" w:type="dxa"/>
            <w:shd w:val="clear" w:color="auto" w:fill="auto"/>
          </w:tcPr>
          <w:p w:rsidR="004E77A1" w:rsidRPr="008B3502" w:rsidRDefault="004E77A1" w:rsidP="006627E8">
            <w:pPr>
              <w:jc w:val="center"/>
              <w:rPr>
                <w:rFonts w:ascii="Times New Roman" w:hAnsi="Times New Roman"/>
                <w:lang w:val="en-GB"/>
              </w:rPr>
            </w:pPr>
            <w:r w:rsidRPr="008B3502">
              <w:rPr>
                <w:rFonts w:ascii="Times New Roman" w:hAnsi="Times New Roman"/>
                <w:lang w:val="en-GB"/>
              </w:rPr>
              <w:t>70.0%</w:t>
            </w:r>
          </w:p>
        </w:tc>
        <w:tc>
          <w:tcPr>
            <w:tcW w:w="1560" w:type="dxa"/>
            <w:shd w:val="clear" w:color="auto" w:fill="auto"/>
          </w:tcPr>
          <w:p w:rsidR="004E77A1" w:rsidRPr="008B3502" w:rsidRDefault="004E77A1" w:rsidP="006627E8">
            <w:pPr>
              <w:jc w:val="center"/>
              <w:rPr>
                <w:rFonts w:ascii="Times New Roman" w:hAnsi="Times New Roman"/>
                <w:lang w:val="en-GB"/>
              </w:rPr>
            </w:pPr>
            <w:r w:rsidRPr="008B3502">
              <w:rPr>
                <w:rFonts w:ascii="Times New Roman" w:hAnsi="Times New Roman"/>
                <w:lang w:val="en-GB"/>
              </w:rPr>
              <w:t>3.1</w:t>
            </w:r>
          </w:p>
        </w:tc>
      </w:tr>
      <w:tr w:rsidR="004E77A1" w:rsidRPr="00F82E5A" w:rsidTr="006627E8">
        <w:tc>
          <w:tcPr>
            <w:tcW w:w="2235" w:type="dxa"/>
            <w:shd w:val="clear" w:color="auto" w:fill="auto"/>
          </w:tcPr>
          <w:p w:rsidR="004E77A1" w:rsidRPr="008B3502" w:rsidRDefault="004E77A1" w:rsidP="006627E8">
            <w:pPr>
              <w:jc w:val="center"/>
              <w:rPr>
                <w:rFonts w:ascii="Times New Roman" w:hAnsi="Times New Roman"/>
                <w:lang w:val="en-GB"/>
              </w:rPr>
            </w:pPr>
            <w:r w:rsidRPr="008B3502">
              <w:rPr>
                <w:rFonts w:ascii="Times New Roman" w:hAnsi="Times New Roman"/>
                <w:lang w:val="en-GB"/>
              </w:rPr>
              <w:t>2</w:t>
            </w:r>
          </w:p>
        </w:tc>
        <w:tc>
          <w:tcPr>
            <w:tcW w:w="2976" w:type="dxa"/>
            <w:shd w:val="clear" w:color="auto" w:fill="auto"/>
          </w:tcPr>
          <w:p w:rsidR="004E77A1" w:rsidRPr="008B3502" w:rsidRDefault="004E77A1" w:rsidP="006627E8">
            <w:pPr>
              <w:jc w:val="center"/>
              <w:rPr>
                <w:rFonts w:ascii="Times New Roman" w:hAnsi="Times New Roman"/>
                <w:lang w:val="en-GB"/>
              </w:rPr>
            </w:pPr>
            <w:r w:rsidRPr="008B3502">
              <w:rPr>
                <w:rFonts w:ascii="Times New Roman" w:hAnsi="Times New Roman"/>
                <w:lang w:val="en-GB"/>
              </w:rPr>
              <w:t>Prediction-based treatment with statistical significance</w:t>
            </w:r>
          </w:p>
        </w:tc>
        <w:tc>
          <w:tcPr>
            <w:tcW w:w="1701" w:type="dxa"/>
            <w:shd w:val="clear" w:color="auto" w:fill="auto"/>
          </w:tcPr>
          <w:p w:rsidR="004E77A1" w:rsidRPr="008B3502" w:rsidRDefault="004E77A1" w:rsidP="006627E8">
            <w:pPr>
              <w:jc w:val="center"/>
              <w:rPr>
                <w:rFonts w:ascii="Times New Roman" w:hAnsi="Times New Roman"/>
                <w:lang w:val="en-GB"/>
              </w:rPr>
            </w:pPr>
            <w:r w:rsidRPr="008B3502">
              <w:rPr>
                <w:rFonts w:ascii="Times New Roman" w:hAnsi="Times New Roman"/>
                <w:lang w:val="en-GB"/>
              </w:rPr>
              <w:t>33.5%</w:t>
            </w:r>
          </w:p>
        </w:tc>
        <w:tc>
          <w:tcPr>
            <w:tcW w:w="1560" w:type="dxa"/>
            <w:shd w:val="clear" w:color="auto" w:fill="auto"/>
          </w:tcPr>
          <w:p w:rsidR="004E77A1" w:rsidRPr="008B3502" w:rsidRDefault="004E77A1" w:rsidP="006627E8">
            <w:pPr>
              <w:jc w:val="center"/>
              <w:rPr>
                <w:rFonts w:ascii="Times New Roman" w:hAnsi="Times New Roman"/>
                <w:lang w:val="en-GB"/>
              </w:rPr>
            </w:pPr>
            <w:r w:rsidRPr="008B3502">
              <w:rPr>
                <w:rFonts w:ascii="Times New Roman" w:hAnsi="Times New Roman"/>
                <w:lang w:val="en-GB"/>
              </w:rPr>
              <w:t>4.1</w:t>
            </w:r>
          </w:p>
        </w:tc>
      </w:tr>
      <w:tr w:rsidR="004E77A1" w:rsidRPr="00F82E5A" w:rsidTr="006627E8">
        <w:tc>
          <w:tcPr>
            <w:tcW w:w="2235" w:type="dxa"/>
            <w:shd w:val="clear" w:color="auto" w:fill="auto"/>
          </w:tcPr>
          <w:p w:rsidR="004E77A1" w:rsidRPr="008B3502" w:rsidRDefault="004E77A1" w:rsidP="006627E8">
            <w:pPr>
              <w:jc w:val="center"/>
              <w:rPr>
                <w:rFonts w:ascii="Times New Roman" w:hAnsi="Times New Roman"/>
                <w:lang w:val="en-GB"/>
              </w:rPr>
            </w:pPr>
            <w:r w:rsidRPr="008B3502">
              <w:rPr>
                <w:rFonts w:ascii="Times New Roman" w:hAnsi="Times New Roman"/>
                <w:lang w:val="en-GB"/>
              </w:rPr>
              <w:t>≥3</w:t>
            </w:r>
          </w:p>
        </w:tc>
        <w:tc>
          <w:tcPr>
            <w:tcW w:w="2976" w:type="dxa"/>
            <w:shd w:val="clear" w:color="auto" w:fill="auto"/>
          </w:tcPr>
          <w:p w:rsidR="004E77A1" w:rsidRPr="008B3502" w:rsidRDefault="004E77A1" w:rsidP="006627E8">
            <w:pPr>
              <w:jc w:val="center"/>
              <w:rPr>
                <w:rFonts w:ascii="Times New Roman" w:hAnsi="Times New Roman"/>
                <w:lang w:val="en-GB"/>
              </w:rPr>
            </w:pPr>
            <w:r w:rsidRPr="008B3502">
              <w:rPr>
                <w:rFonts w:ascii="Times New Roman" w:hAnsi="Times New Roman"/>
                <w:lang w:val="en-GB"/>
              </w:rPr>
              <w:t>Treat all patients with sequential chemotherapy</w:t>
            </w:r>
          </w:p>
        </w:tc>
        <w:tc>
          <w:tcPr>
            <w:tcW w:w="1701" w:type="dxa"/>
            <w:shd w:val="clear" w:color="auto" w:fill="auto"/>
          </w:tcPr>
          <w:p w:rsidR="004E77A1" w:rsidRPr="008B3502" w:rsidRDefault="004E77A1" w:rsidP="006627E8">
            <w:pPr>
              <w:jc w:val="center"/>
              <w:rPr>
                <w:rFonts w:ascii="Times New Roman" w:hAnsi="Times New Roman"/>
                <w:lang w:val="en-GB"/>
              </w:rPr>
            </w:pPr>
            <w:r w:rsidRPr="008B3502">
              <w:rPr>
                <w:rFonts w:ascii="Times New Roman" w:hAnsi="Times New Roman"/>
                <w:lang w:val="en-GB"/>
              </w:rPr>
              <w:t>0%</w:t>
            </w:r>
          </w:p>
        </w:tc>
        <w:tc>
          <w:tcPr>
            <w:tcW w:w="1560" w:type="dxa"/>
            <w:shd w:val="clear" w:color="auto" w:fill="auto"/>
          </w:tcPr>
          <w:p w:rsidR="004E77A1" w:rsidRPr="008B3502" w:rsidRDefault="004E77A1" w:rsidP="006627E8">
            <w:pPr>
              <w:keepNext/>
              <w:jc w:val="center"/>
              <w:rPr>
                <w:rFonts w:ascii="Times New Roman" w:hAnsi="Times New Roman"/>
                <w:lang w:val="en-GB"/>
              </w:rPr>
            </w:pPr>
            <w:r w:rsidRPr="008B3502">
              <w:rPr>
                <w:rFonts w:ascii="Times New Roman" w:hAnsi="Times New Roman"/>
                <w:lang w:val="en-GB"/>
              </w:rPr>
              <w:t>NA</w:t>
            </w:r>
          </w:p>
        </w:tc>
      </w:tr>
    </w:tbl>
    <w:p w:rsidR="004E77A1" w:rsidRDefault="004E77A1" w:rsidP="00F82E5A">
      <w:pPr>
        <w:rPr>
          <w:b/>
          <w:lang w:val="en-GB"/>
        </w:rPr>
      </w:pPr>
      <w:r w:rsidRPr="008B3502">
        <w:rPr>
          <w:rFonts w:ascii="Times New Roman" w:hAnsi="Times New Roman"/>
          <w:bCs/>
          <w:sz w:val="20"/>
          <w:szCs w:val="20"/>
          <w:lang w:val="en-GB"/>
        </w:rPr>
        <w:t>OS overall survival; NA not applicable.</w:t>
      </w:r>
      <w:r>
        <w:rPr>
          <w:rFonts w:ascii="Times New Roman" w:hAnsi="Times New Roman"/>
          <w:bCs/>
          <w:sz w:val="20"/>
          <w:szCs w:val="20"/>
          <w:lang w:val="en-GB"/>
        </w:rPr>
        <w:t xml:space="preserve"> </w:t>
      </w:r>
      <w:r>
        <w:rPr>
          <w:rFonts w:ascii="Times New Roman" w:hAnsi="Times New Roman"/>
          <w:bCs/>
          <w:sz w:val="20"/>
          <w:szCs w:val="20"/>
          <w:vertAlign w:val="superscript"/>
          <w:lang w:val="en-GB"/>
        </w:rPr>
        <w:t>a</w:t>
      </w:r>
      <w:r>
        <w:rPr>
          <w:rFonts w:ascii="Times New Roman" w:hAnsi="Times New Roman"/>
          <w:bCs/>
          <w:sz w:val="20"/>
          <w:szCs w:val="20"/>
          <w:lang w:val="en-GB"/>
        </w:rPr>
        <w:t>Percentage of patients who would be treated with combination chemotherapy instead of sequential chemotherapy according to the strategy with highest net benefit.</w:t>
      </w:r>
      <w:r w:rsidRPr="008B3502">
        <w:rPr>
          <w:rFonts w:ascii="Times New Roman" w:hAnsi="Times New Roman"/>
          <w:bCs/>
          <w:sz w:val="20"/>
          <w:szCs w:val="20"/>
          <w:lang w:val="en-GB"/>
        </w:rPr>
        <w:t xml:space="preserve"> </w:t>
      </w:r>
      <w:r>
        <w:rPr>
          <w:rFonts w:ascii="Times New Roman" w:hAnsi="Times New Roman"/>
          <w:bCs/>
          <w:sz w:val="20"/>
          <w:szCs w:val="20"/>
          <w:vertAlign w:val="superscript"/>
          <w:lang w:val="en-GB"/>
        </w:rPr>
        <w:t>b</w:t>
      </w:r>
      <w:r w:rsidRPr="008B3502">
        <w:rPr>
          <w:rFonts w:ascii="Times New Roman" w:hAnsi="Times New Roman"/>
          <w:bCs/>
          <w:sz w:val="20"/>
          <w:szCs w:val="20"/>
          <w:lang w:val="en-GB"/>
        </w:rPr>
        <w:t>Median gain for patients treated with combination chemotherapy (according to strategy with highest net benefit) as compared to sequential chemotherapy.</w:t>
      </w:r>
    </w:p>
    <w:p w:rsidR="004E77A1" w:rsidRDefault="004E77A1">
      <w:pPr>
        <w:spacing w:after="0" w:line="240" w:lineRule="auto"/>
        <w:rPr>
          <w:b/>
          <w:lang w:val="en-GB"/>
        </w:rPr>
      </w:pPr>
      <w:r>
        <w:rPr>
          <w:b/>
          <w:lang w:val="en-GB"/>
        </w:rPr>
        <w:br w:type="page"/>
      </w:r>
    </w:p>
    <w:p w:rsidR="003C2433" w:rsidRDefault="003C2433" w:rsidP="00F82E5A">
      <w:pPr>
        <w:rPr>
          <w:b/>
          <w:lang w:val="en-GB"/>
        </w:rPr>
      </w:pPr>
      <w:r>
        <w:rPr>
          <w:noProof/>
          <w:lang w:eastAsia="nl-NL"/>
        </w:rPr>
        <w:lastRenderedPageBreak/>
        <mc:AlternateContent>
          <mc:Choice Requires="wps">
            <w:drawing>
              <wp:anchor distT="0" distB="0" distL="114300" distR="114300" simplePos="0" relativeHeight="251666432" behindDoc="0" locked="0" layoutInCell="1" allowOverlap="1" wp14:anchorId="40DE1FD7" wp14:editId="24785F49">
                <wp:simplePos x="0" y="0"/>
                <wp:positionH relativeFrom="margin">
                  <wp:align>center</wp:align>
                </wp:positionH>
                <wp:positionV relativeFrom="paragraph">
                  <wp:posOffset>0</wp:posOffset>
                </wp:positionV>
                <wp:extent cx="3639185" cy="777240"/>
                <wp:effectExtent l="0" t="0" r="0" b="3810"/>
                <wp:wrapSquare wrapText="bothSides"/>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9185" cy="777240"/>
                        </a:xfrm>
                        <a:prstGeom prst="rect">
                          <a:avLst/>
                        </a:prstGeom>
                        <a:solidFill>
                          <a:prstClr val="white"/>
                        </a:solidFill>
                        <a:ln>
                          <a:noFill/>
                        </a:ln>
                        <a:effectLst/>
                      </wps:spPr>
                      <wps:txbx>
                        <w:txbxContent>
                          <w:p w:rsidR="003C2433" w:rsidRPr="003C2433" w:rsidRDefault="003C2433" w:rsidP="003C2433">
                            <w:pPr>
                              <w:pStyle w:val="Bijschrift"/>
                              <w:spacing w:line="240" w:lineRule="auto"/>
                              <w:rPr>
                                <w:rFonts w:ascii="Times New Roman" w:hAnsi="Times New Roman"/>
                                <w:noProof/>
                                <w:sz w:val="24"/>
                                <w:lang w:val="en-GB"/>
                              </w:rPr>
                            </w:pPr>
                            <w:r w:rsidRPr="004E77A1">
                              <w:rPr>
                                <w:rFonts w:ascii="Times New Roman" w:hAnsi="Times New Roman"/>
                                <w:sz w:val="24"/>
                                <w:lang w:val="en-GB"/>
                              </w:rPr>
                              <w:t>Supplementary</w:t>
                            </w:r>
                            <w:r w:rsidRPr="004E77A1">
                              <w:rPr>
                                <w:rFonts w:ascii="Times New Roman" w:hAnsi="Times New Roman"/>
                                <w:sz w:val="24"/>
                                <w:lang w:val="en-US"/>
                              </w:rPr>
                              <w:t xml:space="preserve"> Figure </w:t>
                            </w:r>
                            <w:r w:rsidR="0034714D">
                              <w:rPr>
                                <w:rFonts w:ascii="Times New Roman" w:hAnsi="Times New Roman"/>
                                <w:sz w:val="24"/>
                                <w:lang w:val="en-US"/>
                              </w:rPr>
                              <w:t>6</w:t>
                            </w:r>
                            <w:r>
                              <w:rPr>
                                <w:rFonts w:ascii="Times New Roman" w:hAnsi="Times New Roman"/>
                                <w:sz w:val="24"/>
                                <w:lang w:val="en-US"/>
                              </w:rPr>
                              <w:t>.</w:t>
                            </w:r>
                            <w:r w:rsidRPr="003C2433">
                              <w:rPr>
                                <w:rFonts w:ascii="Times New Roman" w:hAnsi="Times New Roman"/>
                                <w:sz w:val="24"/>
                                <w:lang w:val="en-US"/>
                              </w:rPr>
                              <w:t xml:space="preserve"> Nomogram predicting the probability of receiving second-line treatment after first-line monochemotherapy.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DE1FD7" id="Tekstvak 8" o:spid="_x0000_s1031" type="#_x0000_t202" style="position:absolute;margin-left:0;margin-top:0;width:286.55pt;height:61.2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6VRQIAAI4EAAAOAAAAZHJzL2Uyb0RvYy54bWysVFFv2jAQfp+0/2D5fQTo1rKIUDGqTpNQ&#10;WwmmPhvHJhaOz7MNSffrd3YS6Lo9TXsxF993d777vmN+29aanITzCkxBJ6MxJcJwKJXZF/T79v7D&#10;jBIfmCmZBiMK+iI8vV28fzdvbC6mUIEuhSOYxPi8sQWtQrB5lnleiZr5EVhh0CnB1Szgp9tnpWMN&#10;Zq91Nh2Pr7MGXGkdcOE93t51TrpI+aUUPDxK6UUguqD4tpBOl85dPLPFnOV7x2yleP8M9g+vqJky&#10;WPSc6o4FRo5O/ZGqVtyBBxlGHOoMpFRcpB6wm8n4TTebilmResHheHsek/9/afnD6ckRVRYUiTKs&#10;Roq24uDDiR3ILE6nsT5H0MYiLLRfoEWWU6feroEfPEKyV5guwCM6TqOVro6/2CfBQCTg5Tx00QbC&#10;8fLq+urzZPaJEo6+m5ub6cfESnaJts6HrwJqEo2COiQ1vYCd1j7E+iwfILGYB63Ke6V1/IiOlXbk&#10;xFAATaWCiE1hxG8obSLWQIzq3N2NSArqq8Quu8aiFdpd288NI+LNDsoXHJKDTmTe8nuF1dfMhyfm&#10;UFXYPm5KeMRDamgKCr1FSQXu59/uIx7JRi8lDaq0oP7HkTlBif5mUAZR0oPhBmM3GOZYrwD7nuAO&#10;Wp5MDHBBD6Z0UD/jAi1jFXQxw7FWQcNgrkK3K7iAXCyXCYTCtSyszcbyQQtxytv2mTnbcxSQ3QcY&#10;9MvyN1R12G7my2MAqRKPlyn2okLRJ7L6BY1b9fo7oS5/I4tfAAAA//8DAFBLAwQUAAYACAAAACEA&#10;X3PPF9sAAAAFAQAADwAAAGRycy9kb3ducmV2LnhtbEyPwU7DMBBE70j8g7VI3KiTUCikcSqEhCpx&#10;qUj7AW68jSPidRQ7Tfr3LFzoZaTVjGbeFpvZdeKMQ2g9KUgXCQik2puWGgWH/cfDC4gQNRndeUIF&#10;FwywKW9vCp0bP9EXnqvYCC6hkGsFNsY+lzLUFp0OC98jsXfyg9ORz6GRZtATl7tOZknyLJ1uiRes&#10;7vHdYv1djU5Bu6L0c6yWs0yn18N+Z7e7y7hV6v5ufluDiDjH/zD84jM6lMx09COZIDoF/Ej8U/ae&#10;Vo8piCOHsmwJsizkNX35AwAA//8DAFBLAQItABQABgAIAAAAIQC2gziS/gAAAOEBAAATAAAAAAAA&#10;AAAAAAAAAAAAAABbQ29udGVudF9UeXBlc10ueG1sUEsBAi0AFAAGAAgAAAAhADj9If/WAAAAlAEA&#10;AAsAAAAAAAAAAAAAAAAALwEAAF9yZWxzLy5yZWxzUEsBAi0AFAAGAAgAAAAhAGL7zpVFAgAAjgQA&#10;AA4AAAAAAAAAAAAAAAAALgIAAGRycy9lMm9Eb2MueG1sUEsBAi0AFAAGAAgAAAAhAF9zzxfbAAAA&#10;BQEAAA8AAAAAAAAAAAAAAAAAnwQAAGRycy9kb3ducmV2LnhtbFBLBQYAAAAABAAEAPMAAACnBQAA&#10;AAA=&#10;" stroked="f">
                <v:path arrowok="t"/>
                <v:textbox inset="0,0,0,0">
                  <w:txbxContent>
                    <w:p w:rsidR="003C2433" w:rsidRPr="003C2433" w:rsidRDefault="003C2433" w:rsidP="003C2433">
                      <w:pPr>
                        <w:pStyle w:val="Bijschrift"/>
                        <w:spacing w:line="240" w:lineRule="auto"/>
                        <w:rPr>
                          <w:rFonts w:ascii="Times New Roman" w:hAnsi="Times New Roman"/>
                          <w:noProof/>
                          <w:sz w:val="24"/>
                          <w:lang w:val="en-GB"/>
                        </w:rPr>
                      </w:pPr>
                      <w:r w:rsidRPr="004E77A1">
                        <w:rPr>
                          <w:rFonts w:ascii="Times New Roman" w:hAnsi="Times New Roman"/>
                          <w:sz w:val="24"/>
                          <w:lang w:val="en-GB"/>
                        </w:rPr>
                        <w:t>Supplementary</w:t>
                      </w:r>
                      <w:r w:rsidRPr="004E77A1">
                        <w:rPr>
                          <w:rFonts w:ascii="Times New Roman" w:hAnsi="Times New Roman"/>
                          <w:sz w:val="24"/>
                          <w:lang w:val="en-US"/>
                        </w:rPr>
                        <w:t xml:space="preserve"> Figure </w:t>
                      </w:r>
                      <w:r w:rsidR="0034714D">
                        <w:rPr>
                          <w:rFonts w:ascii="Times New Roman" w:hAnsi="Times New Roman"/>
                          <w:sz w:val="24"/>
                          <w:lang w:val="en-US"/>
                        </w:rPr>
                        <w:t>6</w:t>
                      </w:r>
                      <w:r>
                        <w:rPr>
                          <w:rFonts w:ascii="Times New Roman" w:hAnsi="Times New Roman"/>
                          <w:sz w:val="24"/>
                          <w:lang w:val="en-US"/>
                        </w:rPr>
                        <w:t>.</w:t>
                      </w:r>
                      <w:r w:rsidRPr="003C2433">
                        <w:rPr>
                          <w:rFonts w:ascii="Times New Roman" w:hAnsi="Times New Roman"/>
                          <w:sz w:val="24"/>
                          <w:lang w:val="en-US"/>
                        </w:rPr>
                        <w:t xml:space="preserve"> Nomogram predicting the probability of receiving second-line treatment after first-line monochemotherapy.</w:t>
                      </w:r>
                    </w:p>
                  </w:txbxContent>
                </v:textbox>
                <w10:wrap type="square" anchorx="margin"/>
              </v:shape>
            </w:pict>
          </mc:Fallback>
        </mc:AlternateContent>
      </w:r>
    </w:p>
    <w:p w:rsidR="003C2433" w:rsidRDefault="003C2433" w:rsidP="003C2433">
      <w:pPr>
        <w:rPr>
          <w:b/>
          <w:lang w:val="en-GB"/>
        </w:rPr>
      </w:pPr>
      <w:r w:rsidRPr="003C2433">
        <w:rPr>
          <w:b/>
          <w:noProof/>
          <w:lang w:eastAsia="nl-NL"/>
        </w:rPr>
        <w:drawing>
          <wp:anchor distT="0" distB="0" distL="114300" distR="114300" simplePos="0" relativeHeight="251667456" behindDoc="0" locked="0" layoutInCell="1" allowOverlap="1">
            <wp:simplePos x="0" y="0"/>
            <wp:positionH relativeFrom="margin">
              <wp:posOffset>-11430</wp:posOffset>
            </wp:positionH>
            <wp:positionV relativeFrom="paragraph">
              <wp:posOffset>504825</wp:posOffset>
            </wp:positionV>
            <wp:extent cx="5762625" cy="3014345"/>
            <wp:effectExtent l="0" t="0" r="9525" b="0"/>
            <wp:wrapSquare wrapText="bothSides"/>
            <wp:docPr id="11" name="Afbeelding 11" descr="\\amc.intra\users\J\jjkwakman\home\Desktop\Onderzoeken\predictive nomogram\Acta Oncologica\Figure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c.intra\users\J\jjkwakman\home\Desktop\Onderzoeken\predictive nomogram\Acta Oncologica\Figure 3.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30143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C2433" w:rsidRDefault="003C2433" w:rsidP="003C2433">
      <w:pPr>
        <w:jc w:val="center"/>
        <w:rPr>
          <w:b/>
          <w:lang w:val="en-GB"/>
        </w:rPr>
      </w:pPr>
    </w:p>
    <w:p w:rsidR="003C2433" w:rsidRPr="003C2433" w:rsidRDefault="003C2433" w:rsidP="003C2433">
      <w:pPr>
        <w:jc w:val="center"/>
        <w:rPr>
          <w:rFonts w:ascii="Times New Roman" w:hAnsi="Times New Roman"/>
          <w:sz w:val="12"/>
          <w:lang w:val="en-GB"/>
        </w:rPr>
      </w:pPr>
      <w:r w:rsidRPr="003C2433">
        <w:rPr>
          <w:rFonts w:ascii="Times New Roman" w:hAnsi="Times New Roman"/>
          <w:sz w:val="16"/>
          <w:szCs w:val="24"/>
          <w:lang w:val="en-GB"/>
        </w:rPr>
        <w:t>WHO World Health Organization; WBC white blood cell count; BMI Body Mass Index. *0=right-sided colon, 1=left-sided colon/rectum. **0=no, 1=yes.</w:t>
      </w:r>
    </w:p>
    <w:p w:rsidR="003C2433" w:rsidRDefault="003C2433">
      <w:pPr>
        <w:spacing w:after="0" w:line="240" w:lineRule="auto"/>
        <w:rPr>
          <w:b/>
          <w:lang w:val="en-GB"/>
        </w:rPr>
      </w:pPr>
    </w:p>
    <w:p w:rsidR="00F82E5A" w:rsidRPr="00F82E5A" w:rsidRDefault="0034714D" w:rsidP="00F82E5A">
      <w:pPr>
        <w:rPr>
          <w:b/>
          <w:lang w:val="en-GB"/>
        </w:rPr>
      </w:pPr>
      <w:r>
        <w:rPr>
          <w:noProof/>
          <w:lang w:eastAsia="nl-NL"/>
        </w:rPr>
        <w:lastRenderedPageBreak/>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3639185" cy="777240"/>
                <wp:effectExtent l="0" t="0" r="0" b="3810"/>
                <wp:wrapSquare wrapText="bothSides"/>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9185" cy="777240"/>
                        </a:xfrm>
                        <a:prstGeom prst="rect">
                          <a:avLst/>
                        </a:prstGeom>
                        <a:solidFill>
                          <a:prstClr val="white"/>
                        </a:solidFill>
                        <a:ln>
                          <a:noFill/>
                        </a:ln>
                        <a:effectLst/>
                      </wps:spPr>
                      <wps:txbx>
                        <w:txbxContent>
                          <w:p w:rsidR="00F82E5A" w:rsidRPr="004E77A1" w:rsidRDefault="00B72D64" w:rsidP="005A4AD4">
                            <w:pPr>
                              <w:pStyle w:val="Bijschrift"/>
                              <w:spacing w:line="240" w:lineRule="auto"/>
                              <w:rPr>
                                <w:rFonts w:ascii="Times New Roman" w:hAnsi="Times New Roman"/>
                                <w:noProof/>
                                <w:sz w:val="24"/>
                                <w:lang w:val="en-US"/>
                              </w:rPr>
                            </w:pPr>
                            <w:r w:rsidRPr="004E77A1">
                              <w:rPr>
                                <w:rFonts w:ascii="Times New Roman" w:hAnsi="Times New Roman"/>
                                <w:sz w:val="24"/>
                                <w:lang w:val="en-GB"/>
                              </w:rPr>
                              <w:t>Supplementary</w:t>
                            </w:r>
                            <w:r w:rsidRPr="004E77A1">
                              <w:rPr>
                                <w:rFonts w:ascii="Times New Roman" w:hAnsi="Times New Roman"/>
                                <w:sz w:val="24"/>
                                <w:lang w:val="en-US"/>
                              </w:rPr>
                              <w:t xml:space="preserve"> </w:t>
                            </w:r>
                            <w:r w:rsidR="00F82E5A" w:rsidRPr="004E77A1">
                              <w:rPr>
                                <w:rFonts w:ascii="Times New Roman" w:hAnsi="Times New Roman"/>
                                <w:sz w:val="24"/>
                                <w:lang w:val="en-US"/>
                              </w:rPr>
                              <w:t xml:space="preserve">Figure </w:t>
                            </w:r>
                            <w:r w:rsidR="003C2433">
                              <w:rPr>
                                <w:rFonts w:ascii="Times New Roman" w:hAnsi="Times New Roman"/>
                                <w:sz w:val="24"/>
                              </w:rPr>
                              <w:t>7</w:t>
                            </w:r>
                            <w:r w:rsidR="00F82E5A" w:rsidRPr="004E77A1">
                              <w:rPr>
                                <w:rFonts w:ascii="Times New Roman" w:hAnsi="Times New Roman"/>
                                <w:sz w:val="24"/>
                                <w:lang w:val="en-US"/>
                              </w:rPr>
                              <w:t xml:space="preserve">. </w:t>
                            </w:r>
                            <w:r w:rsidR="00F82E5A" w:rsidRPr="004E77A1">
                              <w:rPr>
                                <w:rFonts w:ascii="Times New Roman" w:hAnsi="Times New Roman"/>
                                <w:sz w:val="24"/>
                                <w:lang w:val="en-GB"/>
                              </w:rPr>
                              <w:t>Interval calibration plot of predicted and observed probabilities for receiving second-line treatment in CAIRO patients.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vak 17" o:spid="_x0000_s1032" type="#_x0000_t202" style="position:absolute;margin-left:0;margin-top:0;width:286.55pt;height:61.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ZBRwIAAJAEAAAOAAAAZHJzL2Uyb0RvYy54bWysVFFv2jAQfp+0/2D5fQRoV9qIUDEqpkmo&#10;rQRTn43jEAvb59mGhP36nR1Cu25P017Mxffdne+775jet1qRo3BeginoaDCkRBgOpTS7gn7fLD/d&#10;UuIDMyVTYERBT8LT+9nHD9PG5mIMNahSOIJJjM8bW9A6BJtnmee10MwPwAqDzgqcZgE/3S4rHWsw&#10;u1bZeDi8yRpwpXXAhfd4+9A56SzlryrBw1NVeRGIKii+LaTTpXMbz2w2ZfnOMVtLfn4G+4dXaCYN&#10;Fr2kemCBkYOTf6TSkjvwUIUBB51BVUkuUg/YzWj4rpt1zaxIvSA53l5o8v8vLX88PjsiS5zdhBLD&#10;NM5oI/Y+HNme4BXy01ifI2xtERjaL9AiNvXq7Qr43iMke4PpAjyiIx9t5XT8xU4JBuIIThfaRRsI&#10;x8urm6u70e1nSjj6JpPJ+DrNJXuNts6HrwI0iUZBHY41vYAdVz7E+izvIbGYByXLpVQqfkTHQjly&#10;ZCiBppZBxKYw4jeUMhFrIEZ17u5GJA2dq8Quu8aiFdptm5i77lnaQnlCkhx0MvOWLyVWXzEfnplD&#10;XWH7uCvhCY9KQVNQOFuU1OB+/u0+4nHc6KWkQZ0W1P84MCcoUd8MCiGKujdcb2x7wxz0ArDvEW6h&#10;5cnEABdUb1YO9Auu0DxWQRczHGsVNPTmInTbgivIxXyeQChdy8LKrC3vtRBZ3rQvzNnzjAJO9xF6&#10;BbP83ag6bMf5/BCgkmmOkdeOxbOoUPZpWOcVjXv19juhXv9IZr8AAAD//wMAUEsDBBQABgAIAAAA&#10;IQBfc88X2wAAAAUBAAAPAAAAZHJzL2Rvd25yZXYueG1sTI/BTsMwEETvSPyDtUjcqJNQKKRxKoSE&#10;KnGpSPsBbryNI+J1FDtN+vcsXOhlpNWMZt4Wm9l14oxDaD0pSBcJCKTam5YaBYf9x8MLiBA1Gd15&#10;QgUXDLApb28KnRs/0Reeq9gILqGQawU2xj6XMtQWnQ4L3yOxd/KD05HPoZFm0BOXu05mSfIsnW6J&#10;F6zu8d1i/V2NTkG7ovRzrJazTKfXw35nt7vLuFXq/m5+W4OIOMf/MPziMzqUzHT0I5kgOgX8SPxT&#10;9p5WjymII4eybAmyLOQ1ffkDAAD//wMAUEsBAi0AFAAGAAgAAAAhALaDOJL+AAAA4QEAABMAAAAA&#10;AAAAAAAAAAAAAAAAAFtDb250ZW50X1R5cGVzXS54bWxQSwECLQAUAAYACAAAACEAOP0h/9YAAACU&#10;AQAACwAAAAAAAAAAAAAAAAAvAQAAX3JlbHMvLnJlbHNQSwECLQAUAAYACAAAACEASoZ2QUcCAACQ&#10;BAAADgAAAAAAAAAAAAAAAAAuAgAAZHJzL2Uyb0RvYy54bWxQSwECLQAUAAYACAAAACEAX3PPF9sA&#10;AAAFAQAADwAAAAAAAAAAAAAAAAChBAAAZHJzL2Rvd25yZXYueG1sUEsFBgAAAAAEAAQA8wAAAKkF&#10;AAAAAA==&#10;" stroked="f">
                <v:path arrowok="t"/>
                <v:textbox inset="0,0,0,0">
                  <w:txbxContent>
                    <w:p w:rsidR="00F82E5A" w:rsidRPr="004E77A1" w:rsidRDefault="00B72D64" w:rsidP="005A4AD4">
                      <w:pPr>
                        <w:pStyle w:val="Bijschrift"/>
                        <w:spacing w:line="240" w:lineRule="auto"/>
                        <w:rPr>
                          <w:rFonts w:ascii="Times New Roman" w:hAnsi="Times New Roman"/>
                          <w:noProof/>
                          <w:sz w:val="24"/>
                          <w:lang w:val="en-US"/>
                        </w:rPr>
                      </w:pPr>
                      <w:r w:rsidRPr="004E77A1">
                        <w:rPr>
                          <w:rFonts w:ascii="Times New Roman" w:hAnsi="Times New Roman"/>
                          <w:sz w:val="24"/>
                          <w:lang w:val="en-GB"/>
                        </w:rPr>
                        <w:t>Supplementary</w:t>
                      </w:r>
                      <w:r w:rsidRPr="004E77A1">
                        <w:rPr>
                          <w:rFonts w:ascii="Times New Roman" w:hAnsi="Times New Roman"/>
                          <w:sz w:val="24"/>
                          <w:lang w:val="en-US"/>
                        </w:rPr>
                        <w:t xml:space="preserve"> </w:t>
                      </w:r>
                      <w:r w:rsidR="00F82E5A" w:rsidRPr="004E77A1">
                        <w:rPr>
                          <w:rFonts w:ascii="Times New Roman" w:hAnsi="Times New Roman"/>
                          <w:sz w:val="24"/>
                          <w:lang w:val="en-US"/>
                        </w:rPr>
                        <w:t xml:space="preserve">Figure </w:t>
                      </w:r>
                      <w:r w:rsidR="003C2433">
                        <w:rPr>
                          <w:rFonts w:ascii="Times New Roman" w:hAnsi="Times New Roman"/>
                          <w:sz w:val="24"/>
                        </w:rPr>
                        <w:t>7</w:t>
                      </w:r>
                      <w:r w:rsidR="00F82E5A" w:rsidRPr="004E77A1">
                        <w:rPr>
                          <w:rFonts w:ascii="Times New Roman" w:hAnsi="Times New Roman"/>
                          <w:sz w:val="24"/>
                          <w:lang w:val="en-US"/>
                        </w:rPr>
                        <w:t xml:space="preserve">. </w:t>
                      </w:r>
                      <w:r w:rsidR="00F82E5A" w:rsidRPr="004E77A1">
                        <w:rPr>
                          <w:rFonts w:ascii="Times New Roman" w:hAnsi="Times New Roman"/>
                          <w:sz w:val="24"/>
                          <w:lang w:val="en-GB"/>
                        </w:rPr>
                        <w:t>Interval calibration plot of predicted and observed probabilities for receiving second-line treatment in CAIRO patients.</w:t>
                      </w:r>
                    </w:p>
                  </w:txbxContent>
                </v:textbox>
                <w10:wrap type="square" anchorx="margin"/>
              </v:shape>
            </w:pict>
          </mc:Fallback>
        </mc:AlternateContent>
      </w:r>
      <w:r w:rsidR="00190C05">
        <w:rPr>
          <w:noProof/>
          <w:lang w:eastAsia="nl-NL"/>
        </w:rPr>
        <w:drawing>
          <wp:anchor distT="0" distB="0" distL="114300" distR="114300" simplePos="0" relativeHeight="251652096" behindDoc="0" locked="0" layoutInCell="1" allowOverlap="1">
            <wp:simplePos x="0" y="0"/>
            <wp:positionH relativeFrom="column">
              <wp:posOffset>982345</wp:posOffset>
            </wp:positionH>
            <wp:positionV relativeFrom="paragraph">
              <wp:posOffset>295275</wp:posOffset>
            </wp:positionV>
            <wp:extent cx="3639185" cy="4137660"/>
            <wp:effectExtent l="0" t="0" r="0" b="0"/>
            <wp:wrapSquare wrapText="bothSides"/>
            <wp:docPr id="9" name="Afbeelding 6" descr="\\amc.intra\users\J\jjkwakman\home\Desktop\scripts RvK\RplotInt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mc.intra\users\J\jjkwakman\home\Desktop\scripts RvK\RplotIntValidatio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39185" cy="4137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rFonts w:ascii="Times New Roman" w:hAnsi="Times New Roman"/>
          <w:sz w:val="20"/>
          <w:lang w:val="en-US"/>
        </w:rPr>
      </w:pPr>
    </w:p>
    <w:p w:rsidR="00F82E5A" w:rsidRPr="00F82E5A" w:rsidRDefault="00F82E5A" w:rsidP="00F82E5A">
      <w:pPr>
        <w:rPr>
          <w:rFonts w:ascii="Times New Roman" w:hAnsi="Times New Roman"/>
          <w:sz w:val="20"/>
          <w:lang w:val="en-US"/>
        </w:rPr>
      </w:pPr>
    </w:p>
    <w:p w:rsidR="00F82E5A" w:rsidRPr="00F82E5A" w:rsidRDefault="00F82E5A" w:rsidP="00F82E5A">
      <w:pPr>
        <w:rPr>
          <w:rFonts w:ascii="Times New Roman" w:hAnsi="Times New Roman"/>
          <w:sz w:val="20"/>
          <w:lang w:val="en-US"/>
        </w:rPr>
      </w:pPr>
    </w:p>
    <w:p w:rsidR="00F82E5A" w:rsidRPr="00F82E5A" w:rsidRDefault="00F82E5A" w:rsidP="00F82E5A">
      <w:pPr>
        <w:rPr>
          <w:rFonts w:ascii="Times New Roman" w:hAnsi="Times New Roman"/>
          <w:sz w:val="20"/>
          <w:lang w:val="en-US"/>
        </w:rPr>
      </w:pPr>
    </w:p>
    <w:p w:rsidR="00F82E5A" w:rsidRPr="00F82E5A" w:rsidRDefault="00F82E5A" w:rsidP="00F82E5A">
      <w:pPr>
        <w:rPr>
          <w:rFonts w:ascii="Times New Roman" w:hAnsi="Times New Roman"/>
          <w:sz w:val="20"/>
          <w:lang w:val="en-US"/>
        </w:rPr>
      </w:pPr>
    </w:p>
    <w:p w:rsidR="00E453B7" w:rsidRDefault="00E453B7" w:rsidP="00F82E5A">
      <w:pPr>
        <w:jc w:val="center"/>
        <w:rPr>
          <w:rFonts w:ascii="Arial" w:hAnsi="Arial" w:cs="Arial"/>
          <w:sz w:val="16"/>
          <w:lang w:val="en-US"/>
        </w:rPr>
      </w:pPr>
    </w:p>
    <w:p w:rsidR="00E453B7" w:rsidRDefault="00E453B7" w:rsidP="00F82E5A">
      <w:pPr>
        <w:jc w:val="center"/>
        <w:rPr>
          <w:rFonts w:ascii="Arial" w:hAnsi="Arial" w:cs="Arial"/>
          <w:sz w:val="16"/>
          <w:lang w:val="en-US"/>
        </w:rPr>
      </w:pPr>
    </w:p>
    <w:p w:rsidR="00F82E5A" w:rsidRPr="004E77A1" w:rsidRDefault="00F82E5A" w:rsidP="00F82E5A">
      <w:pPr>
        <w:jc w:val="center"/>
        <w:rPr>
          <w:rFonts w:ascii="Times New Roman" w:hAnsi="Times New Roman"/>
          <w:sz w:val="16"/>
          <w:lang w:val="en-US"/>
        </w:rPr>
      </w:pPr>
      <w:r w:rsidRPr="004E77A1">
        <w:rPr>
          <w:rFonts w:ascii="Times New Roman" w:hAnsi="Times New Roman"/>
          <w:sz w:val="16"/>
          <w:lang w:val="en-US"/>
        </w:rPr>
        <w:t>The tick marks at the bottom axis represent the distribution of the predicted probabilities.</w:t>
      </w:r>
    </w:p>
    <w:p w:rsidR="00F82E5A" w:rsidRPr="00F82E5A" w:rsidRDefault="00F82E5A" w:rsidP="00F82E5A">
      <w:pPr>
        <w:rPr>
          <w:b/>
          <w:lang w:val="en-GB"/>
        </w:rPr>
      </w:pPr>
    </w:p>
    <w:p w:rsidR="00F82E5A" w:rsidRPr="00F82E5A" w:rsidRDefault="00F82E5A" w:rsidP="00F82E5A">
      <w:pPr>
        <w:rPr>
          <w:rFonts w:ascii="Times New Roman" w:hAnsi="Times New Roman"/>
          <w:b/>
          <w:sz w:val="20"/>
          <w:lang w:val="en-GB"/>
        </w:rPr>
      </w:pPr>
    </w:p>
    <w:p w:rsidR="00F82E5A" w:rsidRPr="00F82E5A" w:rsidRDefault="00F82E5A" w:rsidP="00F82E5A">
      <w:pPr>
        <w:rPr>
          <w:rFonts w:ascii="Times New Roman" w:hAnsi="Times New Roman"/>
          <w:b/>
          <w:sz w:val="20"/>
          <w:lang w:val="en-GB"/>
        </w:rPr>
      </w:pPr>
    </w:p>
    <w:p w:rsidR="00F82E5A" w:rsidRPr="00F82E5A" w:rsidRDefault="00F82E5A" w:rsidP="00F82E5A">
      <w:pPr>
        <w:rPr>
          <w:rFonts w:ascii="Times New Roman" w:hAnsi="Times New Roman"/>
          <w:b/>
          <w:sz w:val="20"/>
          <w:lang w:val="en-GB"/>
        </w:rPr>
      </w:pPr>
    </w:p>
    <w:p w:rsidR="00F82E5A" w:rsidRPr="00F82E5A" w:rsidRDefault="00F82E5A" w:rsidP="00F82E5A">
      <w:pPr>
        <w:rPr>
          <w:rFonts w:ascii="Times New Roman" w:hAnsi="Times New Roman"/>
          <w:b/>
          <w:sz w:val="20"/>
          <w:lang w:val="en-GB"/>
        </w:rPr>
      </w:pPr>
    </w:p>
    <w:p w:rsidR="00F82E5A" w:rsidRPr="00F82E5A" w:rsidRDefault="00F82E5A" w:rsidP="00F82E5A">
      <w:pPr>
        <w:rPr>
          <w:rFonts w:ascii="Times New Roman" w:hAnsi="Times New Roman"/>
          <w:b/>
          <w:sz w:val="20"/>
          <w:lang w:val="en-GB"/>
        </w:rPr>
      </w:pPr>
    </w:p>
    <w:p w:rsidR="00F82E5A" w:rsidRPr="00F82E5A" w:rsidRDefault="00F82E5A" w:rsidP="00F82E5A">
      <w:pPr>
        <w:rPr>
          <w:rFonts w:ascii="Times New Roman" w:hAnsi="Times New Roman"/>
          <w:b/>
          <w:sz w:val="20"/>
          <w:lang w:val="en-GB"/>
        </w:rPr>
      </w:pPr>
    </w:p>
    <w:p w:rsidR="00F82E5A" w:rsidRPr="00F82E5A" w:rsidRDefault="00F82E5A" w:rsidP="00F82E5A">
      <w:pPr>
        <w:rPr>
          <w:rFonts w:ascii="Times New Roman" w:hAnsi="Times New Roman"/>
          <w:b/>
          <w:sz w:val="20"/>
          <w:lang w:val="en-GB"/>
        </w:rPr>
      </w:pPr>
    </w:p>
    <w:p w:rsidR="00F82E5A" w:rsidRPr="00F82E5A" w:rsidRDefault="00F82E5A" w:rsidP="00F82E5A">
      <w:pPr>
        <w:rPr>
          <w:rFonts w:ascii="Times New Roman" w:hAnsi="Times New Roman"/>
          <w:b/>
          <w:sz w:val="20"/>
          <w:lang w:val="en-GB"/>
        </w:rPr>
      </w:pPr>
    </w:p>
    <w:p w:rsidR="00F82E5A" w:rsidRPr="00F82E5A" w:rsidRDefault="00F82E5A" w:rsidP="00F82E5A">
      <w:pPr>
        <w:rPr>
          <w:rFonts w:ascii="Times New Roman" w:hAnsi="Times New Roman"/>
          <w:b/>
          <w:sz w:val="20"/>
          <w:lang w:val="en-GB"/>
        </w:rPr>
      </w:pPr>
    </w:p>
    <w:p w:rsidR="00F82E5A" w:rsidRDefault="00F82E5A" w:rsidP="00F82E5A">
      <w:pPr>
        <w:rPr>
          <w:rFonts w:ascii="Times New Roman" w:hAnsi="Times New Roman"/>
          <w:b/>
          <w:sz w:val="20"/>
          <w:lang w:val="en-GB"/>
        </w:rPr>
      </w:pPr>
    </w:p>
    <w:p w:rsidR="005A4AD4" w:rsidRDefault="005A4AD4" w:rsidP="00F82E5A">
      <w:pPr>
        <w:rPr>
          <w:rFonts w:ascii="Times New Roman" w:hAnsi="Times New Roman"/>
          <w:b/>
          <w:sz w:val="20"/>
          <w:lang w:val="en-GB"/>
        </w:rPr>
      </w:pPr>
    </w:p>
    <w:p w:rsidR="005A4AD4" w:rsidRPr="00F82E5A" w:rsidRDefault="005A4AD4" w:rsidP="00F82E5A">
      <w:pPr>
        <w:rPr>
          <w:rFonts w:ascii="Times New Roman" w:hAnsi="Times New Roman"/>
          <w:b/>
          <w:sz w:val="20"/>
          <w:lang w:val="en-GB"/>
        </w:rPr>
      </w:pPr>
    </w:p>
    <w:p w:rsidR="00F82E5A" w:rsidRPr="00F82E5A" w:rsidRDefault="00190C05" w:rsidP="00F82E5A">
      <w:pPr>
        <w:rPr>
          <w:rFonts w:ascii="Times New Roman" w:hAnsi="Times New Roman"/>
          <w:b/>
          <w:sz w:val="20"/>
          <w:lang w:val="en-GB"/>
        </w:rPr>
      </w:pPr>
      <w:r>
        <w:rPr>
          <w:noProof/>
          <w:lang w:eastAsia="nl-NL"/>
        </w:rPr>
        <w:lastRenderedPageBreak/>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12700</wp:posOffset>
                </wp:positionV>
                <wp:extent cx="3276600" cy="822960"/>
                <wp:effectExtent l="0" t="0" r="0" b="0"/>
                <wp:wrapSquare wrapText="bothSides"/>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6600" cy="822960"/>
                        </a:xfrm>
                        <a:prstGeom prst="rect">
                          <a:avLst/>
                        </a:prstGeom>
                        <a:solidFill>
                          <a:prstClr val="white"/>
                        </a:solidFill>
                        <a:ln>
                          <a:noFill/>
                        </a:ln>
                        <a:effectLst/>
                      </wps:spPr>
                      <wps:txbx>
                        <w:txbxContent>
                          <w:p w:rsidR="00F82E5A" w:rsidRPr="004E77A1" w:rsidRDefault="00B72D64" w:rsidP="005A4AD4">
                            <w:pPr>
                              <w:pStyle w:val="Bijschrift"/>
                              <w:spacing w:line="240" w:lineRule="auto"/>
                              <w:rPr>
                                <w:rFonts w:ascii="Times New Roman" w:hAnsi="Times New Roman"/>
                                <w:noProof/>
                                <w:sz w:val="24"/>
                                <w:lang w:val="en-US"/>
                              </w:rPr>
                            </w:pPr>
                            <w:r w:rsidRPr="004E77A1">
                              <w:rPr>
                                <w:rFonts w:ascii="Times New Roman" w:hAnsi="Times New Roman"/>
                                <w:sz w:val="24"/>
                                <w:lang w:val="en-GB"/>
                              </w:rPr>
                              <w:t>Supplementary</w:t>
                            </w:r>
                            <w:r w:rsidRPr="004E77A1">
                              <w:rPr>
                                <w:rFonts w:ascii="Times New Roman" w:hAnsi="Times New Roman"/>
                                <w:sz w:val="24"/>
                                <w:lang w:val="en-US"/>
                              </w:rPr>
                              <w:t xml:space="preserve"> </w:t>
                            </w:r>
                            <w:r w:rsidR="00F82E5A" w:rsidRPr="004E77A1">
                              <w:rPr>
                                <w:rFonts w:ascii="Times New Roman" w:hAnsi="Times New Roman"/>
                                <w:sz w:val="24"/>
                                <w:lang w:val="en-US"/>
                              </w:rPr>
                              <w:t xml:space="preserve">Figure </w:t>
                            </w:r>
                            <w:r w:rsidR="003C2433">
                              <w:rPr>
                                <w:rFonts w:ascii="Times New Roman" w:hAnsi="Times New Roman"/>
                                <w:sz w:val="24"/>
                              </w:rPr>
                              <w:t>8</w:t>
                            </w:r>
                            <w:r w:rsidR="00F82E5A" w:rsidRPr="004E77A1">
                              <w:rPr>
                                <w:rFonts w:ascii="Times New Roman" w:hAnsi="Times New Roman"/>
                                <w:sz w:val="24"/>
                                <w:lang w:val="en-US"/>
                              </w:rPr>
                              <w:t xml:space="preserve">. </w:t>
                            </w:r>
                            <w:r w:rsidR="00F82E5A" w:rsidRPr="004E77A1">
                              <w:rPr>
                                <w:rFonts w:ascii="Times New Roman" w:hAnsi="Times New Roman"/>
                                <w:sz w:val="24"/>
                                <w:lang w:val="en-GB"/>
                              </w:rPr>
                              <w:t>External calibration plot of predicted and observed probabilities for receiving second-line treatment in FOCUS patients.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vak 18" o:spid="_x0000_s1033" type="#_x0000_t202" style="position:absolute;margin-left:0;margin-top:1pt;width:258pt;height:64.8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YKRQIAAJAEAAAOAAAAZHJzL2Uyb0RvYy54bWysVFFv2jAQfp+0/2D5fQSYxtqIUDEqpkmo&#10;rQRTn41jEwvH59mGhP36nZ2Edt2epr2Yi++7O9/33TG/a2tNzsJ5Baagk9GYEmE4lMocCvp9t/5w&#10;Q4kPzJRMgxEFvQhP7xbv380bm4spVKBL4QgmMT5vbEGrEGyeZZ5XomZ+BFYYdEpwNQv46Q5Z6ViD&#10;2WudTcfjWdaAK60DLrzH2/vOSRcpv5SCh0cpvQhEFxTfFtLp0rmPZ7aYs/zgmK0U75/B/uEVNVMG&#10;i15T3bPAyMmpP1LVijvwIMOIQ52BlIqL1AN2Mxm/6WZbMStSL0iOt1ea/P9Lyx/OT46oErVDpQyr&#10;UaOdOPpwZkeCV8hPY32OsK1FYGi/QIvY1Ku3G+BHj5DsFaYL8IiOfLTS1fEXOyUYiBJcrrSLNhCO&#10;lx+nn2ezMbo4+m6m09tZ0iV7ibbOh68CahKNgjqUNb2AnTc+xPosHyCxmAetyrXSOn5Ex0o7cmY4&#10;Ak2lgohNYcRvKG0i1kCM6tzdjUgz1FeJXXaNRSu0+zYx92lgaQ/lBUly0I2Zt3ytsPqG+fDEHM4V&#10;9oi7Eh7xkBqagkJvUVKB+/m3+4hHudFLSYNzWlD/48ScoER/MzgIcagHww3GfjDMqV4B9j3BLbQ8&#10;mRjggh5M6aB+xhVaxiroYoZjrYKGwVyFbltwBblYLhMIR9eysDFby4dZiCzv2mfmbK9RQHUfYJhg&#10;lr+RqsN2nC9PAaRKOkZeOxb7ocKxT2L1Kxr36vV3Qr38kSx+AQAA//8DAFBLAwQUAAYACAAAACEA&#10;ir1N+tsAAAAGAQAADwAAAGRycy9kb3ducmV2LnhtbEyPwU7DMBBE70j8g7VI3KjjAgFCnAohoUpc&#10;qqb9ADde4oh4HcVOk/49ywlOu6sZzb4pN4vvxRnH2AXSoFYZCKQm2I5aDcfDx90ziJgMWdMHQg0X&#10;jLCprq9KU9gw0x7PdWoFh1AsjAaX0lBIGRuH3sRVGJBY+wqjN4nPsZV2NDOH+16usyyX3nTEH5wZ&#10;8N1h811PXkP3ROpzqh8WqeaX42HntrvLtNX69mZ5ewWRcEl/ZvjFZ3SomOkUJrJR9Bq4SNKw5sHi&#10;o8p5ObHrXuUgq1L+x69+AAAA//8DAFBLAQItABQABgAIAAAAIQC2gziS/gAAAOEBAAATAAAAAAAA&#10;AAAAAAAAAAAAAABbQ29udGVudF9UeXBlc10ueG1sUEsBAi0AFAAGAAgAAAAhADj9If/WAAAAlAEA&#10;AAsAAAAAAAAAAAAAAAAALwEAAF9yZWxzLy5yZWxzUEsBAi0AFAAGAAgAAAAhAKsiVgpFAgAAkAQA&#10;AA4AAAAAAAAAAAAAAAAALgIAAGRycy9lMm9Eb2MueG1sUEsBAi0AFAAGAAgAAAAhAIq9TfrbAAAA&#10;BgEAAA8AAAAAAAAAAAAAAAAAnwQAAGRycy9kb3ducmV2LnhtbFBLBQYAAAAABAAEAPMAAACnBQAA&#10;AAA=&#10;" stroked="f">
                <v:path arrowok="t"/>
                <v:textbox inset="0,0,0,0">
                  <w:txbxContent>
                    <w:p w:rsidR="00F82E5A" w:rsidRPr="004E77A1" w:rsidRDefault="00B72D64" w:rsidP="005A4AD4">
                      <w:pPr>
                        <w:pStyle w:val="Bijschrift"/>
                        <w:spacing w:line="240" w:lineRule="auto"/>
                        <w:rPr>
                          <w:rFonts w:ascii="Times New Roman" w:hAnsi="Times New Roman"/>
                          <w:noProof/>
                          <w:sz w:val="24"/>
                          <w:lang w:val="en-US"/>
                        </w:rPr>
                      </w:pPr>
                      <w:r w:rsidRPr="004E77A1">
                        <w:rPr>
                          <w:rFonts w:ascii="Times New Roman" w:hAnsi="Times New Roman"/>
                          <w:sz w:val="24"/>
                          <w:lang w:val="en-GB"/>
                        </w:rPr>
                        <w:t>Supplementary</w:t>
                      </w:r>
                      <w:r w:rsidRPr="004E77A1">
                        <w:rPr>
                          <w:rFonts w:ascii="Times New Roman" w:hAnsi="Times New Roman"/>
                          <w:sz w:val="24"/>
                          <w:lang w:val="en-US"/>
                        </w:rPr>
                        <w:t xml:space="preserve"> </w:t>
                      </w:r>
                      <w:r w:rsidR="00F82E5A" w:rsidRPr="004E77A1">
                        <w:rPr>
                          <w:rFonts w:ascii="Times New Roman" w:hAnsi="Times New Roman"/>
                          <w:sz w:val="24"/>
                          <w:lang w:val="en-US"/>
                        </w:rPr>
                        <w:t xml:space="preserve">Figure </w:t>
                      </w:r>
                      <w:r w:rsidR="003C2433">
                        <w:rPr>
                          <w:rFonts w:ascii="Times New Roman" w:hAnsi="Times New Roman"/>
                          <w:sz w:val="24"/>
                        </w:rPr>
                        <w:t>8</w:t>
                      </w:r>
                      <w:r w:rsidR="00F82E5A" w:rsidRPr="004E77A1">
                        <w:rPr>
                          <w:rFonts w:ascii="Times New Roman" w:hAnsi="Times New Roman"/>
                          <w:sz w:val="24"/>
                          <w:lang w:val="en-US"/>
                        </w:rPr>
                        <w:t xml:space="preserve">. </w:t>
                      </w:r>
                      <w:r w:rsidR="00F82E5A" w:rsidRPr="004E77A1">
                        <w:rPr>
                          <w:rFonts w:ascii="Times New Roman" w:hAnsi="Times New Roman"/>
                          <w:sz w:val="24"/>
                          <w:lang w:val="en-GB"/>
                        </w:rPr>
                        <w:t>External calibration plot of predicted and observed probabilities for receiving second-line treatment in FOCUS patients.</w:t>
                      </w:r>
                    </w:p>
                  </w:txbxContent>
                </v:textbox>
                <w10:wrap type="square" anchorx="margin"/>
              </v:shape>
            </w:pict>
          </mc:Fallback>
        </mc:AlternateContent>
      </w:r>
    </w:p>
    <w:p w:rsidR="00F82E5A" w:rsidRPr="00F82E5A" w:rsidRDefault="00190C05" w:rsidP="00F82E5A">
      <w:pPr>
        <w:rPr>
          <w:b/>
          <w:lang w:val="en-GB"/>
        </w:rPr>
      </w:pPr>
      <w:r>
        <w:rPr>
          <w:noProof/>
          <w:lang w:eastAsia="nl-NL"/>
        </w:rPr>
        <w:drawing>
          <wp:anchor distT="0" distB="0" distL="114300" distR="114300" simplePos="0" relativeHeight="251653120" behindDoc="0" locked="0" layoutInCell="1" allowOverlap="1">
            <wp:simplePos x="0" y="0"/>
            <wp:positionH relativeFrom="column">
              <wp:posOffset>1241425</wp:posOffset>
            </wp:positionH>
            <wp:positionV relativeFrom="paragraph">
              <wp:posOffset>168275</wp:posOffset>
            </wp:positionV>
            <wp:extent cx="3276600" cy="3725545"/>
            <wp:effectExtent l="0" t="0" r="0" b="0"/>
            <wp:wrapSquare wrapText="bothSides"/>
            <wp:docPr id="6" name="Afbeelding 7" descr="\\amc.intra\users\J\jjkwakman\home\Desktop\scripts RvK\RplotExt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amc.intra\users\J\jjkwakman\home\Desktop\scripts RvK\RplotExtValidatio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76600" cy="3725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b/>
          <w:lang w:val="en-GB"/>
        </w:rPr>
      </w:pPr>
    </w:p>
    <w:p w:rsidR="00F82E5A" w:rsidRPr="00F82E5A" w:rsidRDefault="00F82E5A" w:rsidP="00F82E5A">
      <w:pPr>
        <w:rPr>
          <w:rFonts w:ascii="Times New Roman" w:hAnsi="Times New Roman"/>
          <w:sz w:val="20"/>
          <w:lang w:val="en-US"/>
        </w:rPr>
      </w:pPr>
    </w:p>
    <w:p w:rsidR="00F82E5A" w:rsidRPr="00F82E5A" w:rsidRDefault="00F82E5A" w:rsidP="00F82E5A">
      <w:pPr>
        <w:rPr>
          <w:rFonts w:ascii="Times New Roman" w:hAnsi="Times New Roman"/>
          <w:sz w:val="20"/>
          <w:lang w:val="en-US"/>
        </w:rPr>
      </w:pPr>
    </w:p>
    <w:p w:rsidR="00F82E5A" w:rsidRPr="00F82E5A" w:rsidRDefault="00F82E5A" w:rsidP="00F82E5A">
      <w:pPr>
        <w:rPr>
          <w:rFonts w:ascii="Times New Roman" w:hAnsi="Times New Roman"/>
          <w:sz w:val="20"/>
          <w:lang w:val="en-US"/>
        </w:rPr>
      </w:pPr>
    </w:p>
    <w:p w:rsidR="00F82E5A" w:rsidRPr="00F82E5A" w:rsidRDefault="00F82E5A" w:rsidP="00F82E5A">
      <w:pPr>
        <w:rPr>
          <w:rFonts w:ascii="Times New Roman" w:hAnsi="Times New Roman"/>
          <w:sz w:val="20"/>
          <w:lang w:val="en-US"/>
        </w:rPr>
      </w:pPr>
    </w:p>
    <w:p w:rsidR="00F82E5A" w:rsidRPr="004E77A1" w:rsidRDefault="00F82E5A" w:rsidP="00F82E5A">
      <w:pPr>
        <w:jc w:val="center"/>
        <w:rPr>
          <w:rFonts w:ascii="Times New Roman" w:hAnsi="Times New Roman"/>
          <w:sz w:val="16"/>
          <w:lang w:val="en-US"/>
        </w:rPr>
      </w:pPr>
      <w:r w:rsidRPr="004E77A1">
        <w:rPr>
          <w:rFonts w:ascii="Times New Roman" w:hAnsi="Times New Roman"/>
          <w:sz w:val="16"/>
          <w:lang w:val="en-US"/>
        </w:rPr>
        <w:t>The tick marks at the bottom axis represent the distribution of the predicted probabilities.</w:t>
      </w:r>
    </w:p>
    <w:p w:rsidR="00F82E5A" w:rsidRPr="00F82E5A" w:rsidRDefault="00F82E5A" w:rsidP="00F82E5A">
      <w:pPr>
        <w:rPr>
          <w:b/>
          <w:lang w:val="en-US"/>
        </w:rPr>
      </w:pPr>
    </w:p>
    <w:p w:rsidR="00F82E5A" w:rsidRPr="00F82E5A" w:rsidRDefault="00F82E5A" w:rsidP="00F82E5A">
      <w:pPr>
        <w:spacing w:after="0" w:line="240" w:lineRule="auto"/>
        <w:rPr>
          <w:b/>
          <w:lang w:val="en-US"/>
        </w:rPr>
      </w:pPr>
      <w:r w:rsidRPr="00F82E5A">
        <w:rPr>
          <w:b/>
          <w:lang w:val="en-US"/>
        </w:rPr>
        <w:br w:type="page"/>
      </w:r>
    </w:p>
    <w:p w:rsidR="00F82E5A" w:rsidRPr="00F82E5A" w:rsidRDefault="0034714D" w:rsidP="00F82E5A">
      <w:pPr>
        <w:rPr>
          <w:b/>
          <w:lang w:val="en-US"/>
        </w:rPr>
      </w:pPr>
      <w:r>
        <w:rPr>
          <w:noProof/>
          <w:lang w:eastAsia="nl-NL"/>
        </w:rPr>
        <w:lastRenderedPageBreak/>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5080</wp:posOffset>
                </wp:positionV>
                <wp:extent cx="4797425" cy="647700"/>
                <wp:effectExtent l="0" t="0" r="3175" b="0"/>
                <wp:wrapNone/>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7425" cy="647700"/>
                        </a:xfrm>
                        <a:prstGeom prst="rect">
                          <a:avLst/>
                        </a:prstGeom>
                        <a:solidFill>
                          <a:prstClr val="white"/>
                        </a:solidFill>
                        <a:ln>
                          <a:noFill/>
                        </a:ln>
                        <a:effectLst/>
                      </wps:spPr>
                      <wps:txbx>
                        <w:txbxContent>
                          <w:p w:rsidR="00F82E5A" w:rsidRPr="004E77A1" w:rsidRDefault="00B72D64" w:rsidP="005A4AD4">
                            <w:pPr>
                              <w:pStyle w:val="Bijschrift"/>
                              <w:spacing w:line="240" w:lineRule="auto"/>
                              <w:rPr>
                                <w:rFonts w:ascii="Times New Roman" w:hAnsi="Times New Roman"/>
                                <w:noProof/>
                                <w:sz w:val="24"/>
                                <w:lang w:val="en-US"/>
                              </w:rPr>
                            </w:pPr>
                            <w:r w:rsidRPr="004E77A1">
                              <w:rPr>
                                <w:rFonts w:ascii="Times New Roman" w:hAnsi="Times New Roman"/>
                                <w:sz w:val="24"/>
                                <w:lang w:val="en-GB"/>
                              </w:rPr>
                              <w:t>Supplementary</w:t>
                            </w:r>
                            <w:r w:rsidRPr="004E77A1">
                              <w:rPr>
                                <w:rFonts w:ascii="Times New Roman" w:hAnsi="Times New Roman"/>
                                <w:sz w:val="24"/>
                                <w:lang w:val="en-US"/>
                              </w:rPr>
                              <w:t xml:space="preserve"> </w:t>
                            </w:r>
                            <w:r w:rsidR="00F82E5A" w:rsidRPr="004E77A1">
                              <w:rPr>
                                <w:rFonts w:ascii="Times New Roman" w:hAnsi="Times New Roman"/>
                                <w:sz w:val="24"/>
                                <w:lang w:val="en-US"/>
                              </w:rPr>
                              <w:t>Figure</w:t>
                            </w:r>
                            <w:r w:rsidR="003C2433">
                              <w:rPr>
                                <w:rFonts w:ascii="Times New Roman" w:hAnsi="Times New Roman"/>
                                <w:sz w:val="24"/>
                              </w:rPr>
                              <w:t xml:space="preserve"> 9</w:t>
                            </w:r>
                            <w:r w:rsidR="00F82E5A" w:rsidRPr="004E77A1">
                              <w:rPr>
                                <w:rFonts w:ascii="Times New Roman" w:hAnsi="Times New Roman"/>
                                <w:sz w:val="24"/>
                                <w:lang w:val="en-US"/>
                              </w:rPr>
                              <w:t>. Formula for the prediction of the probability of receiving second-line treatment of first-line monochemotherapy in metastatic colorectal cancer patients.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vak 20" o:spid="_x0000_s1034" type="#_x0000_t202" style="position:absolute;margin-left:0;margin-top:.4pt;width:377.75pt;height:5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FIRgIAAJAEAAAOAAAAZHJzL2Uyb0RvYy54bWysVMGO2jAQvVfqP1i+lwCi0EaEFWVFVQnt&#10;rgTVno3jEAvb49qGhH59xw5ht9ueql7MxPNmxvPmDfO7VityFs5LMAUdDYaUCMOhlOZQ0O+79YdP&#10;lPjATMkUGFHQi/D0bvH+3byxuRhDDaoUjmAS4/PGFrQOweZZ5nktNPMDsMKgswKnWcBPd8hKxxrM&#10;rlU2Hg6nWQOutA648B5v7zsnXaT8VSV4eKwqLwJRBcW3hXS6dO7jmS3mLD84ZmvJr89g//AKzaTB&#10;ordU9ywwcnLyj1RacgceqjDgoDOoKslF6gG7GQ3fdLOtmRWpFyTH2xtN/v+l5Q/nJ0dkWdAx0mOY&#10;xhntxNGHMzsSvEJ+GutzhG0tAkP7BVqcc+rV2w3wo0dI9grTBXhERz7ayun4i50SDMQalxvtog2E&#10;4+Vk9nk2GX+khKNvOpnNhqlu9hJtnQ9fBWgSjYI6HGt6ATtvfIj1Wd5DYjEPSpZrqVT8iI6VcuTM&#10;UAJNLYOITWHEbyhlItZAjOrc3Y1IGrpWiV12jUUrtPs2MTftWdpDeUGSHHQy85avJVbfMB+emENd&#10;Yfu4K+ERj0pBU1C4WpTU4H7+7T7icdzopaRBnRbU/zgxJyhR3wwKIYq6N1xv7HvDnPQKsO8RbqHl&#10;ycQAF1RvVg70M67QMlZBFzMcaxU09OYqdNuCK8jFcplAKF3LwsZsLe+1EFnetc/M2euMAk73AXoF&#10;s/zNqDpsx/nyFKCSaY6R147Fq6hQ9mlY1xWNe/X6O6Fe/kgWvwAAAP//AwBQSwMEFAAGAAgAAAAh&#10;AGT83D3aAAAABQEAAA8AAABkcnMvZG93bnJldi54bWxMj8FqwzAQRO+F/oPYQm+N7FA3qWs5hEAJ&#10;5BLq5AMUa2uZWitjybHz992c2uMww8ybYjO7TlxxCK0nBekiAYFUe9NSo+B8+nxZgwhRk9GdJ1Rw&#10;wwCb8vGh0LnxE33htYqN4BIKuVZgY+xzKUNt0emw8D0Se99+cDqyHBppBj1xuevkMknepNMt8YLV&#10;Pe4s1j/V6BS0K0oPY/U6y3R6P5+Odn+8jXulnp/m7QeIiHP8C8Mdn9GhZKaLH8kE0SngI1EB07O3&#10;yrIMxIVDyXINsizkf/ryFwAA//8DAFBLAQItABQABgAIAAAAIQC2gziS/gAAAOEBAAATAAAAAAAA&#10;AAAAAAAAAAAAAABbQ29udGVudF9UeXBlc10ueG1sUEsBAi0AFAAGAAgAAAAhADj9If/WAAAAlAEA&#10;AAsAAAAAAAAAAAAAAAAALwEAAF9yZWxzLy5yZWxzUEsBAi0AFAAGAAgAAAAhALNoQUhGAgAAkAQA&#10;AA4AAAAAAAAAAAAAAAAALgIAAGRycy9lMm9Eb2MueG1sUEsBAi0AFAAGAAgAAAAhAGT83D3aAAAA&#10;BQEAAA8AAAAAAAAAAAAAAAAAoAQAAGRycy9kb3ducmV2LnhtbFBLBQYAAAAABAAEAPMAAACnBQAA&#10;AAA=&#10;" stroked="f">
                <v:path arrowok="t"/>
                <v:textbox inset="0,0,0,0">
                  <w:txbxContent>
                    <w:p w:rsidR="00F82E5A" w:rsidRPr="004E77A1" w:rsidRDefault="00B72D64" w:rsidP="005A4AD4">
                      <w:pPr>
                        <w:pStyle w:val="Bijschrift"/>
                        <w:spacing w:line="240" w:lineRule="auto"/>
                        <w:rPr>
                          <w:rFonts w:ascii="Times New Roman" w:hAnsi="Times New Roman"/>
                          <w:noProof/>
                          <w:sz w:val="24"/>
                          <w:lang w:val="en-US"/>
                        </w:rPr>
                      </w:pPr>
                      <w:r w:rsidRPr="004E77A1">
                        <w:rPr>
                          <w:rFonts w:ascii="Times New Roman" w:hAnsi="Times New Roman"/>
                          <w:sz w:val="24"/>
                          <w:lang w:val="en-GB"/>
                        </w:rPr>
                        <w:t>Supplementary</w:t>
                      </w:r>
                      <w:r w:rsidRPr="004E77A1">
                        <w:rPr>
                          <w:rFonts w:ascii="Times New Roman" w:hAnsi="Times New Roman"/>
                          <w:sz w:val="24"/>
                          <w:lang w:val="en-US"/>
                        </w:rPr>
                        <w:t xml:space="preserve"> </w:t>
                      </w:r>
                      <w:r w:rsidR="00F82E5A" w:rsidRPr="004E77A1">
                        <w:rPr>
                          <w:rFonts w:ascii="Times New Roman" w:hAnsi="Times New Roman"/>
                          <w:sz w:val="24"/>
                          <w:lang w:val="en-US"/>
                        </w:rPr>
                        <w:t>Figure</w:t>
                      </w:r>
                      <w:r w:rsidR="003C2433">
                        <w:rPr>
                          <w:rFonts w:ascii="Times New Roman" w:hAnsi="Times New Roman"/>
                          <w:sz w:val="24"/>
                        </w:rPr>
                        <w:t xml:space="preserve"> 9</w:t>
                      </w:r>
                      <w:r w:rsidR="00F82E5A" w:rsidRPr="004E77A1">
                        <w:rPr>
                          <w:rFonts w:ascii="Times New Roman" w:hAnsi="Times New Roman"/>
                          <w:sz w:val="24"/>
                          <w:lang w:val="en-US"/>
                        </w:rPr>
                        <w:t>. Formula for the prediction of the probability of receiving second-line treatment of first-line monochemotherapy in metastatic colorectal cancer patients.</w:t>
                      </w:r>
                    </w:p>
                  </w:txbxContent>
                </v:textbox>
                <w10:wrap anchorx="margin"/>
              </v:shape>
            </w:pict>
          </mc:Fallback>
        </mc:AlternateContent>
      </w:r>
    </w:p>
    <w:p w:rsidR="00F82E5A" w:rsidRPr="00F82E5A" w:rsidRDefault="00F82E5A" w:rsidP="00F82E5A">
      <w:pPr>
        <w:rPr>
          <w:b/>
          <w:lang w:val="en-US"/>
        </w:rPr>
      </w:pPr>
    </w:p>
    <w:p w:rsidR="00F82E5A" w:rsidRPr="00F82E5A" w:rsidRDefault="0034714D" w:rsidP="00F82E5A">
      <w:pPr>
        <w:rPr>
          <w:b/>
          <w:lang w:val="en-US"/>
        </w:rPr>
      </w:pPr>
      <w:r>
        <w:rPr>
          <w:b/>
          <w:noProof/>
          <w:lang w:eastAsia="nl-NL"/>
        </w:rPr>
        <mc:AlternateContent>
          <mc:Choice Requires="wpg">
            <w:drawing>
              <wp:anchor distT="0" distB="0" distL="114300" distR="114300" simplePos="0" relativeHeight="251658240" behindDoc="0" locked="0" layoutInCell="1" allowOverlap="1">
                <wp:simplePos x="0" y="0"/>
                <wp:positionH relativeFrom="column">
                  <wp:posOffset>-103505</wp:posOffset>
                </wp:positionH>
                <wp:positionV relativeFrom="paragraph">
                  <wp:posOffset>161290</wp:posOffset>
                </wp:positionV>
                <wp:extent cx="5673725" cy="759460"/>
                <wp:effectExtent l="0" t="0" r="3175" b="2540"/>
                <wp:wrapNone/>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3725" cy="759460"/>
                          <a:chOff x="1254" y="2282"/>
                          <a:chExt cx="8935" cy="1196"/>
                        </a:xfrm>
                      </wpg:grpSpPr>
                      <wps:wsp>
                        <wps:cNvPr id="3" name="Rechthoek 13"/>
                        <wps:cNvSpPr>
                          <a:spLocks noChangeArrowheads="1"/>
                        </wps:cNvSpPr>
                        <wps:spPr bwMode="auto">
                          <a:xfrm>
                            <a:off x="1254" y="2282"/>
                            <a:ext cx="8845" cy="1183"/>
                          </a:xfrm>
                          <a:prstGeom prst="rect">
                            <a:avLst/>
                          </a:prstGeom>
                          <a:solidFill>
                            <a:srgbClr val="FFFFFF"/>
                          </a:solidFill>
                          <a:ln w="12700" algn="ctr">
                            <a:solidFill>
                              <a:srgbClr val="000000"/>
                            </a:solidFill>
                            <a:miter lim="800000"/>
                            <a:headEnd/>
                            <a:tailEnd/>
                          </a:ln>
                        </wps:spPr>
                        <wps:bodyPr rot="0" vert="horz" wrap="square" lIns="91440" tIns="45720" rIns="91440" bIns="45720" anchor="t" anchorCtr="0" upright="1">
                          <a:noAutofit/>
                        </wps:bodyPr>
                      </wps:wsp>
                      <wps:wsp>
                        <wps:cNvPr id="4" name="Rechthoek 14"/>
                        <wps:cNvSpPr>
                          <a:spLocks noChangeArrowheads="1"/>
                        </wps:cNvSpPr>
                        <wps:spPr bwMode="auto">
                          <a:xfrm>
                            <a:off x="1344" y="2288"/>
                            <a:ext cx="8845" cy="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E5A" w:rsidRPr="004E77A1" w:rsidRDefault="00F82E5A" w:rsidP="00F82E5A">
                              <w:pPr>
                                <w:pStyle w:val="Normaalweb"/>
                                <w:spacing w:after="101" w:line="216" w:lineRule="auto"/>
                                <w:rPr>
                                  <w:sz w:val="20"/>
                                  <w:lang w:val="en-US"/>
                                </w:rPr>
                              </w:pPr>
                              <w:r w:rsidRPr="004E77A1">
                                <w:rPr>
                                  <w:b/>
                                  <w:bCs/>
                                  <w:color w:val="000000"/>
                                  <w:kern w:val="24"/>
                                  <w:sz w:val="20"/>
                                  <w:lang w:val="en-US"/>
                                </w:rPr>
                                <w:t>Probability (%)</w:t>
                              </w:r>
                              <w:r w:rsidRPr="004E77A1">
                                <w:rPr>
                                  <w:color w:val="000000"/>
                                  <w:kern w:val="24"/>
                                  <w:sz w:val="20"/>
                                  <w:lang w:val="en-US"/>
                                </w:rPr>
                                <w:t xml:space="preserve"> = 1/(1+</w:t>
                              </w:r>
                              <m:oMath>
                                <m:sSup>
                                  <m:sSupPr>
                                    <m:ctrlPr>
                                      <w:rPr>
                                        <w:rFonts w:ascii="Cambria Math" w:hAnsi="Cambria Math"/>
                                        <w:i/>
                                        <w:iCs/>
                                        <w:color w:val="000000"/>
                                        <w:kern w:val="24"/>
                                        <w:sz w:val="20"/>
                                        <w:lang w:val="en-US"/>
                                      </w:rPr>
                                    </m:ctrlPr>
                                  </m:sSupPr>
                                  <m:e>
                                    <m:r>
                                      <w:rPr>
                                        <w:rFonts w:ascii="Cambria Math" w:hAnsi="Cambria Math"/>
                                        <w:color w:val="000000"/>
                                        <w:kern w:val="24"/>
                                        <w:sz w:val="20"/>
                                      </w:rPr>
                                      <m:t>e</m:t>
                                    </m:r>
                                  </m:e>
                                  <m:sup>
                                    <m:r>
                                      <w:rPr>
                                        <w:rFonts w:ascii="Cambria Math" w:hAnsi="Cambria Math"/>
                                        <w:color w:val="000000"/>
                                        <w:kern w:val="24"/>
                                        <w:sz w:val="20"/>
                                        <w:lang w:val="en-US"/>
                                      </w:rPr>
                                      <m:t>-</m:t>
                                    </m:r>
                                    <m:r>
                                      <w:rPr>
                                        <w:rFonts w:ascii="Cambria Math" w:hAnsi="Cambria Math"/>
                                        <w:color w:val="000000"/>
                                        <w:kern w:val="24"/>
                                        <w:sz w:val="20"/>
                                      </w:rPr>
                                      <m:t>LP</m:t>
                                    </m:r>
                                  </m:sup>
                                </m:sSup>
                              </m:oMath>
                              <w:r w:rsidRPr="004E77A1">
                                <w:rPr>
                                  <w:color w:val="000000"/>
                                  <w:kern w:val="24"/>
                                  <w:sz w:val="20"/>
                                  <w:lang w:val="en-US"/>
                                </w:rPr>
                                <w:t>), where LP = 0.44721 – 0.16342 * Age (per decade) – 0.09706 * white blood cell count (*10</w:t>
                              </w:r>
                              <w:r w:rsidRPr="004E77A1">
                                <w:rPr>
                                  <w:color w:val="000000"/>
                                  <w:kern w:val="24"/>
                                  <w:position w:val="7"/>
                                  <w:sz w:val="20"/>
                                  <w:vertAlign w:val="superscript"/>
                                  <w:lang w:val="en-US"/>
                                </w:rPr>
                                <w:t>9</w:t>
                              </w:r>
                              <w:r w:rsidRPr="004E77A1">
                                <w:rPr>
                                  <w:color w:val="000000"/>
                                  <w:kern w:val="24"/>
                                  <w:sz w:val="20"/>
                                  <w:lang w:val="en-US"/>
                                </w:rPr>
                                <w:t>/l) + 0.05148 * Body Mass Index (kg/m</w:t>
                              </w:r>
                              <w:r w:rsidRPr="004E77A1">
                                <w:rPr>
                                  <w:color w:val="000000"/>
                                  <w:kern w:val="24"/>
                                  <w:position w:val="7"/>
                                  <w:sz w:val="20"/>
                                  <w:vertAlign w:val="superscript"/>
                                  <w:lang w:val="en-US"/>
                                </w:rPr>
                                <w:t>2</w:t>
                              </w:r>
                              <w:r w:rsidRPr="004E77A1">
                                <w:rPr>
                                  <w:color w:val="000000"/>
                                  <w:kern w:val="24"/>
                                  <w:sz w:val="20"/>
                                  <w:lang w:val="en-US"/>
                                </w:rPr>
                                <w:t>) + 0.81330 [if primary tumo</w:t>
                              </w:r>
                              <w:r w:rsidR="00375C5F" w:rsidRPr="004E77A1">
                                <w:rPr>
                                  <w:color w:val="000000"/>
                                  <w:kern w:val="24"/>
                                  <w:sz w:val="20"/>
                                  <w:lang w:val="en-US"/>
                                </w:rPr>
                                <w:t>u</w:t>
                              </w:r>
                              <w:r w:rsidRPr="004E77A1">
                                <w:rPr>
                                  <w:color w:val="000000"/>
                                  <w:kern w:val="24"/>
                                  <w:sz w:val="20"/>
                                  <w:lang w:val="en-US"/>
                                </w:rPr>
                                <w:t>r is located in left side of colon or rectum] + 0.53192 [if primary tumo</w:t>
                              </w:r>
                              <w:r w:rsidR="00375C5F" w:rsidRPr="004E77A1">
                                <w:rPr>
                                  <w:color w:val="000000"/>
                                  <w:kern w:val="24"/>
                                  <w:sz w:val="20"/>
                                  <w:lang w:val="en-US"/>
                                </w:rPr>
                                <w:t>u</w:t>
                              </w:r>
                              <w:r w:rsidRPr="004E77A1">
                                <w:rPr>
                                  <w:color w:val="000000"/>
                                  <w:kern w:val="24"/>
                                  <w:sz w:val="20"/>
                                  <w:lang w:val="en-US"/>
                                </w:rPr>
                                <w:t>r resected] – 0.23328 [if WHO performance status 1] – 0.41800 [if WHO performance status 2].</w:t>
                              </w:r>
                            </w:p>
                          </w:txbxContent>
                        </wps:txbx>
                        <wps:bodyPr rot="0" vert="horz" wrap="square" lIns="45720" tIns="45720" rIns="4572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5" style="position:absolute;margin-left:-8.15pt;margin-top:12.7pt;width:446.75pt;height:59.8pt;z-index:251658240" coordorigin="1254,2282" coordsize="8935,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yPgQMAANIJAAAOAAAAZHJzL2Uyb0RvYy54bWy8Vttu3DYQfS/QfyD4Luuy3NUFlgNnL0YB&#10;tw2S9AO4EnVBJFIludY6Rf+9Q1KrrN012tpF9CCQGnI4c87Moa7fHfsOPTCpWsFzHF4FGDFeiLLl&#10;dY5/+7zzEoyUprykneAsx49M4Xc3P/5wPQ4Zi0QjupJJBE64ysYhx43WQ+b7qmhYT9WVGBgHYyVk&#10;TzVMZe2Xko7gve/8KAhW/ihkOUhRMKXg68YZ8Y31X1Ws0L9WlWIadTmG2LR9S/vem7d/c02zWtKh&#10;aYspDPqKKHracjh0drWhmqKDbP/mqm8LKZSo9FUhel9UVVswmwNkEwbPsrmT4jDYXOpsrIcZJoD2&#10;GU6vdlv88vBBorbMcYQRpz1QZE9FYWKwGYc6gyV3cvg0fJAuQRjei+KLArP/3G7mtVuM9uPPogR/&#10;9KCFxeZYyd64gKzR0VLwOFPAjhoV8HG5ihdxtMSoAFu8TMlq4qhogEizLYyWBCOwRlESOf6KZjtt&#10;T9LFtDcM05Wx+jRz59pYp9hMYlBv6huk6m2QfmrowCxTyuA1Qbo4QfqRFY1uBPuCwoWD1S47Yaoc&#10;oIiLdUN5zW6lFGPDaAlRhTYJEy74dRvMRAEd/4jwBahOOCcJmYFKbEwzUDQbpNJ3TPTIDHIsoYss&#10;gfThXmmH6WmJ4VOJri13bdfZiaz3606iBwodt7PPRMOTZR1Ho+EyDqAraVeDeBRa2lOerFPn7gL7&#10;XHLXtxpkpGv7HCfzIpoZDLe8hJBppmnbuTFk2nFbvA5HVw17UT4CplI4jQBNg0Ej5FeMRtCHHKvf&#10;D1QyjLqfOPCShoQYQbETsowjmMhzy/7cQnkBrnKsIVk7XGsnQodBtnUDJ4U2dy5uoVuq1qJseHZR&#10;TcFCwX6nyoUOc2JwVrnke1bugsxNboWIZpcqN7Xi8PrK5cKUrS0PUxE0mz9MNWKPhaI3NhOAlfQ/&#10;0iDdJtuEeCRabT0SbDbe7W5NvNUujJebxWa93oR/Gj5DkjVtWTJujjldLyH5d1ozXXTuYpgvmJe7&#10;46Vm85+GYSURcnmWUhiR4H2UertVEntkR5ZeGgeJF4Tp+3QVkJRsdk9Tum85e3tKRgXSJQi+Cefl&#10;3P63zp8ZMeF/gwLoBkgs0XBPnMuCPu6P9n6MT+X/H4Vi0oYLQjFZLgqFEcM3S4W98uDHweY5/eSY&#10;P5PzOYzPf8Vu/gIAAP//AwBQSwMEFAAGAAgAAAAhADWaQkfhAAAACgEAAA8AAABkcnMvZG93bnJl&#10;di54bWxMj0FrwkAQhe+F/odlhN50k2hUYjYi0vYkhWqh9DYmYxLM7obsmsR/3+mpHof38d436XbU&#10;jeipc7U1CsJZAIJMbovalAq+Tm/TNQjn0RTYWEMK7uRgmz0/pZgUdjCf1B99KbjEuAQVVN63iZQu&#10;r0ijm9mWDGcX22n0fHalLDocuFw3MgqCpdRYG16osKV9Rfn1eNMK3gccdvPwtT9cL/v7zyn++D6E&#10;pNTLZNxtQHga/T8Mf/qsDhk7ne3NFE40Cqbhcs6ogihegGBgvVpFIM5MLuIAZJbKxxeyXwAAAP//&#10;AwBQSwECLQAUAAYACAAAACEAtoM4kv4AAADhAQAAEwAAAAAAAAAAAAAAAAAAAAAAW0NvbnRlbnRf&#10;VHlwZXNdLnhtbFBLAQItABQABgAIAAAAIQA4/SH/1gAAAJQBAAALAAAAAAAAAAAAAAAAAC8BAABf&#10;cmVscy8ucmVsc1BLAQItABQABgAIAAAAIQCFdUyPgQMAANIJAAAOAAAAAAAAAAAAAAAAAC4CAABk&#10;cnMvZTJvRG9jLnhtbFBLAQItABQABgAIAAAAIQA1mkJH4QAAAAoBAAAPAAAAAAAAAAAAAAAAANsF&#10;AABkcnMvZG93bnJldi54bWxQSwUGAAAAAAQABADzAAAA6QYAAAAA&#10;">
                <v:rect id="Rechthoek 13" o:spid="_x0000_s1036" style="position:absolute;left:1254;top:2282;width:8845;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h4TxQAAANoAAAAPAAAAZHJzL2Rvd25yZXYueG1sRI9BawIx&#10;FITvhf6H8Aq9iGZVWHVrlCqUCi0FbVF6e2xes4ublyVJdf33piD0OMzMN8x82dlGnMiH2rGC4SAD&#10;QVw6XbNR8PX50p+CCBFZY+OYFFwowHJxfzfHQrszb+m0i0YkCIcCFVQxtoWUoazIYhi4ljh5P85b&#10;jEl6I7XHc4LbRo6yLJcWa04LFba0rqg87n6tgtVxv/2YmOmbb/PZ+2vv+5B35qDU40P3/AQiUhf/&#10;w7f2RisYw9+VdAPk4goAAP//AwBQSwECLQAUAAYACAAAACEA2+H2y+4AAACFAQAAEwAAAAAAAAAA&#10;AAAAAAAAAAAAW0NvbnRlbnRfVHlwZXNdLnhtbFBLAQItABQABgAIAAAAIQBa9CxbvwAAABUBAAAL&#10;AAAAAAAAAAAAAAAAAB8BAABfcmVscy8ucmVsc1BLAQItABQABgAIAAAAIQBy4h4TxQAAANoAAAAP&#10;AAAAAAAAAAAAAAAAAAcCAABkcnMvZG93bnJldi54bWxQSwUGAAAAAAMAAwC3AAAA+QIAAAAA&#10;" strokeweight="1pt"/>
                <v:rect id="Rechthoek 14" o:spid="_x0000_s1037" style="position:absolute;left:1344;top:2288;width:8845;height:1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y3jwAAAANoAAAAPAAAAZHJzL2Rvd25yZXYueG1sRI9BawIx&#10;FITvBf9DeEJvNVsRK6tRirTgqaBVz4/N6+7SzcuaPDX9940geBxm5htmsUquUxcKsfVs4HVUgCKu&#10;vG25NrD//nyZgYqCbLHzTAb+KMJqOXhaYGn9lbd02UmtMoRjiQYakb7UOlYNOYwj3xNn78cHh5Jl&#10;qLUNeM1w1+lxUUy1w5bzQoM9rRuqfndnZ6A9bt+Ev2ySQzUO6eOIh7M9GfM8TO9zUEJJHuF7e2MN&#10;TOB2Jd8AvfwHAAD//wMAUEsBAi0AFAAGAAgAAAAhANvh9svuAAAAhQEAABMAAAAAAAAAAAAAAAAA&#10;AAAAAFtDb250ZW50X1R5cGVzXS54bWxQSwECLQAUAAYACAAAACEAWvQsW78AAAAVAQAACwAAAAAA&#10;AAAAAAAAAAAfAQAAX3JlbHMvLnJlbHNQSwECLQAUAAYACAAAACEA9gst48AAAADaAAAADwAAAAAA&#10;AAAAAAAAAAAHAgAAZHJzL2Rvd25yZXYueG1sUEsFBgAAAAADAAMAtwAAAPQCAAAAAA==&#10;" filled="f" stroked="f">
                  <v:textbox inset="3.6pt,,3.6pt">
                    <w:txbxContent>
                      <w:p w:rsidR="00F82E5A" w:rsidRPr="004E77A1" w:rsidRDefault="00F82E5A" w:rsidP="00F82E5A">
                        <w:pPr>
                          <w:pStyle w:val="Normaalweb"/>
                          <w:spacing w:after="101" w:line="216" w:lineRule="auto"/>
                          <w:rPr>
                            <w:sz w:val="20"/>
                            <w:lang w:val="en-US"/>
                          </w:rPr>
                        </w:pPr>
                        <w:r w:rsidRPr="004E77A1">
                          <w:rPr>
                            <w:b/>
                            <w:bCs/>
                            <w:color w:val="000000"/>
                            <w:kern w:val="24"/>
                            <w:sz w:val="20"/>
                            <w:lang w:val="en-US"/>
                          </w:rPr>
                          <w:t>Probability (%)</w:t>
                        </w:r>
                        <w:r w:rsidRPr="004E77A1">
                          <w:rPr>
                            <w:color w:val="000000"/>
                            <w:kern w:val="24"/>
                            <w:sz w:val="20"/>
                            <w:lang w:val="en-US"/>
                          </w:rPr>
                          <w:t xml:space="preserve"> = 1/(1+</w:t>
                        </w:r>
                        <m:oMath>
                          <m:sSup>
                            <m:sSupPr>
                              <m:ctrlPr>
                                <w:rPr>
                                  <w:rFonts w:ascii="Cambria Math" w:hAnsi="Cambria Math"/>
                                  <w:i/>
                                  <w:iCs/>
                                  <w:color w:val="000000"/>
                                  <w:kern w:val="24"/>
                                  <w:sz w:val="20"/>
                                  <w:lang w:val="en-US"/>
                                </w:rPr>
                              </m:ctrlPr>
                            </m:sSupPr>
                            <m:e>
                              <m:r>
                                <w:rPr>
                                  <w:rFonts w:ascii="Cambria Math" w:hAnsi="Cambria Math"/>
                                  <w:color w:val="000000"/>
                                  <w:kern w:val="24"/>
                                  <w:sz w:val="20"/>
                                </w:rPr>
                                <m:t>e</m:t>
                              </m:r>
                            </m:e>
                            <m:sup>
                              <m:r>
                                <w:rPr>
                                  <w:rFonts w:ascii="Cambria Math" w:hAnsi="Cambria Math"/>
                                  <w:color w:val="000000"/>
                                  <w:kern w:val="24"/>
                                  <w:sz w:val="20"/>
                                  <w:lang w:val="en-US"/>
                                </w:rPr>
                                <m:t>-</m:t>
                              </m:r>
                              <m:r>
                                <w:rPr>
                                  <w:rFonts w:ascii="Cambria Math" w:hAnsi="Cambria Math"/>
                                  <w:color w:val="000000"/>
                                  <w:kern w:val="24"/>
                                  <w:sz w:val="20"/>
                                </w:rPr>
                                <m:t>LP</m:t>
                              </m:r>
                            </m:sup>
                          </m:sSup>
                        </m:oMath>
                        <w:r w:rsidRPr="004E77A1">
                          <w:rPr>
                            <w:color w:val="000000"/>
                            <w:kern w:val="24"/>
                            <w:sz w:val="20"/>
                            <w:lang w:val="en-US"/>
                          </w:rPr>
                          <w:t>), where LP = 0.44721 – 0.16342 * Age (per decade) – 0.09706 * white blood cell count (*10</w:t>
                        </w:r>
                        <w:r w:rsidRPr="004E77A1">
                          <w:rPr>
                            <w:color w:val="000000"/>
                            <w:kern w:val="24"/>
                            <w:position w:val="7"/>
                            <w:sz w:val="20"/>
                            <w:vertAlign w:val="superscript"/>
                            <w:lang w:val="en-US"/>
                          </w:rPr>
                          <w:t>9</w:t>
                        </w:r>
                        <w:r w:rsidRPr="004E77A1">
                          <w:rPr>
                            <w:color w:val="000000"/>
                            <w:kern w:val="24"/>
                            <w:sz w:val="20"/>
                            <w:lang w:val="en-US"/>
                          </w:rPr>
                          <w:t>/l) + 0.05148 * Body Mass Index (kg/m</w:t>
                        </w:r>
                        <w:r w:rsidRPr="004E77A1">
                          <w:rPr>
                            <w:color w:val="000000"/>
                            <w:kern w:val="24"/>
                            <w:position w:val="7"/>
                            <w:sz w:val="20"/>
                            <w:vertAlign w:val="superscript"/>
                            <w:lang w:val="en-US"/>
                          </w:rPr>
                          <w:t>2</w:t>
                        </w:r>
                        <w:r w:rsidRPr="004E77A1">
                          <w:rPr>
                            <w:color w:val="000000"/>
                            <w:kern w:val="24"/>
                            <w:sz w:val="20"/>
                            <w:lang w:val="en-US"/>
                          </w:rPr>
                          <w:t>) + 0.81330 [if primary tumo</w:t>
                        </w:r>
                        <w:r w:rsidR="00375C5F" w:rsidRPr="004E77A1">
                          <w:rPr>
                            <w:color w:val="000000"/>
                            <w:kern w:val="24"/>
                            <w:sz w:val="20"/>
                            <w:lang w:val="en-US"/>
                          </w:rPr>
                          <w:t>u</w:t>
                        </w:r>
                        <w:r w:rsidRPr="004E77A1">
                          <w:rPr>
                            <w:color w:val="000000"/>
                            <w:kern w:val="24"/>
                            <w:sz w:val="20"/>
                            <w:lang w:val="en-US"/>
                          </w:rPr>
                          <w:t>r is located in left side of colon or rectum] + 0.53192 [if primary tumo</w:t>
                        </w:r>
                        <w:r w:rsidR="00375C5F" w:rsidRPr="004E77A1">
                          <w:rPr>
                            <w:color w:val="000000"/>
                            <w:kern w:val="24"/>
                            <w:sz w:val="20"/>
                            <w:lang w:val="en-US"/>
                          </w:rPr>
                          <w:t>u</w:t>
                        </w:r>
                        <w:r w:rsidRPr="004E77A1">
                          <w:rPr>
                            <w:color w:val="000000"/>
                            <w:kern w:val="24"/>
                            <w:sz w:val="20"/>
                            <w:lang w:val="en-US"/>
                          </w:rPr>
                          <w:t>r resected] – 0.23328 [if WHO performance status 1] – 0.41800 [if WHO performance status 2].</w:t>
                        </w:r>
                      </w:p>
                    </w:txbxContent>
                  </v:textbox>
                </v:rect>
              </v:group>
            </w:pict>
          </mc:Fallback>
        </mc:AlternateContent>
      </w:r>
    </w:p>
    <w:p w:rsidR="00F82E5A" w:rsidRPr="00F82E5A" w:rsidRDefault="00F82E5A" w:rsidP="00F82E5A">
      <w:pPr>
        <w:rPr>
          <w:b/>
          <w:lang w:val="en-US"/>
        </w:rPr>
      </w:pPr>
    </w:p>
    <w:p w:rsidR="0034714D" w:rsidRDefault="0034714D" w:rsidP="00F82E5A">
      <w:pPr>
        <w:jc w:val="center"/>
        <w:rPr>
          <w:rFonts w:ascii="Times New Roman" w:hAnsi="Times New Roman"/>
          <w:sz w:val="16"/>
          <w:lang w:val="en-US"/>
        </w:rPr>
      </w:pPr>
    </w:p>
    <w:p w:rsidR="003D75FE" w:rsidRDefault="003D75FE" w:rsidP="003D75FE">
      <w:pPr>
        <w:jc w:val="center"/>
        <w:rPr>
          <w:rFonts w:ascii="Times New Roman" w:hAnsi="Times New Roman"/>
          <w:sz w:val="16"/>
          <w:lang w:val="en-US"/>
        </w:rPr>
      </w:pPr>
    </w:p>
    <w:p w:rsidR="00F82E5A" w:rsidRPr="003C2433" w:rsidRDefault="0034714D" w:rsidP="003D75FE">
      <w:pPr>
        <w:jc w:val="center"/>
        <w:rPr>
          <w:rFonts w:ascii="Times New Roman" w:hAnsi="Times New Roman"/>
          <w:b/>
          <w:sz w:val="18"/>
          <w:lang w:val="en-GB"/>
        </w:rPr>
      </w:pPr>
      <w:bookmarkStart w:id="11" w:name="_GoBack"/>
      <w:bookmarkEnd w:id="11"/>
      <w:r>
        <w:rPr>
          <w:rFonts w:ascii="Times New Roman" w:hAnsi="Times New Roman"/>
          <w:sz w:val="16"/>
          <w:lang w:val="en-US"/>
        </w:rPr>
        <w:t xml:space="preserve">LP </w:t>
      </w:r>
      <w:r w:rsidR="00F82E5A" w:rsidRPr="003C2433">
        <w:rPr>
          <w:rFonts w:ascii="Times New Roman" w:hAnsi="Times New Roman"/>
          <w:sz w:val="16"/>
          <w:lang w:val="en-US"/>
        </w:rPr>
        <w:t>linear predictor; WHO World Health Organization.</w:t>
      </w:r>
    </w:p>
    <w:p w:rsidR="00F82E5A" w:rsidRPr="00F82E5A" w:rsidRDefault="00F82E5A" w:rsidP="00F82E5A">
      <w:pPr>
        <w:rPr>
          <w:b/>
          <w:lang w:val="en-GB"/>
        </w:rPr>
      </w:pPr>
    </w:p>
    <w:p w:rsidR="004E589D" w:rsidRPr="00F82E5A" w:rsidRDefault="004E589D">
      <w:pPr>
        <w:rPr>
          <w:lang w:val="en-GB"/>
        </w:rPr>
      </w:pPr>
    </w:p>
    <w:sectPr w:rsidR="004E589D" w:rsidRPr="00F82E5A">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357" w:rsidRDefault="00B20357" w:rsidP="00E9794E">
      <w:pPr>
        <w:spacing w:after="0" w:line="240" w:lineRule="auto"/>
      </w:pPr>
      <w:r>
        <w:separator/>
      </w:r>
    </w:p>
  </w:endnote>
  <w:endnote w:type="continuationSeparator" w:id="0">
    <w:p w:rsidR="00B20357" w:rsidRDefault="00B20357" w:rsidP="00E9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94E" w:rsidRDefault="00E9794E">
    <w:pPr>
      <w:pStyle w:val="Voettekst"/>
    </w:pPr>
    <w:r>
      <w:fldChar w:fldCharType="begin"/>
    </w:r>
    <w:r>
      <w:instrText>PAGE   \* MERGEFORMAT</w:instrText>
    </w:r>
    <w:r>
      <w:fldChar w:fldCharType="separate"/>
    </w:r>
    <w:r w:rsidR="003D75FE">
      <w:rPr>
        <w:noProof/>
      </w:rPr>
      <w:t>1</w:t>
    </w:r>
    <w:r>
      <w:fldChar w:fldCharType="end"/>
    </w:r>
  </w:p>
  <w:p w:rsidR="00E9794E" w:rsidRDefault="00E979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357" w:rsidRDefault="00B20357" w:rsidP="00E9794E">
      <w:pPr>
        <w:spacing w:after="0" w:line="240" w:lineRule="auto"/>
      </w:pPr>
      <w:r>
        <w:separator/>
      </w:r>
    </w:p>
  </w:footnote>
  <w:footnote w:type="continuationSeparator" w:id="0">
    <w:p w:rsidR="00B20357" w:rsidRDefault="00B20357" w:rsidP="00E97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AD4"/>
    <w:multiLevelType w:val="hybridMultilevel"/>
    <w:tmpl w:val="1944C5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E22610"/>
    <w:multiLevelType w:val="hybridMultilevel"/>
    <w:tmpl w:val="A23696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E5A"/>
    <w:rsid w:val="00033191"/>
    <w:rsid w:val="000710FD"/>
    <w:rsid w:val="000E55DD"/>
    <w:rsid w:val="000F7967"/>
    <w:rsid w:val="00190C05"/>
    <w:rsid w:val="001C5ADD"/>
    <w:rsid w:val="001E264C"/>
    <w:rsid w:val="001E5D1B"/>
    <w:rsid w:val="0025769E"/>
    <w:rsid w:val="00325208"/>
    <w:rsid w:val="0034714D"/>
    <w:rsid w:val="00375C5F"/>
    <w:rsid w:val="003A63E4"/>
    <w:rsid w:val="003B7732"/>
    <w:rsid w:val="003C2433"/>
    <w:rsid w:val="003D75FE"/>
    <w:rsid w:val="004304F9"/>
    <w:rsid w:val="004577DB"/>
    <w:rsid w:val="00470F79"/>
    <w:rsid w:val="004738F0"/>
    <w:rsid w:val="004E589D"/>
    <w:rsid w:val="004E77A1"/>
    <w:rsid w:val="005A4AD4"/>
    <w:rsid w:val="005A6B29"/>
    <w:rsid w:val="005E7727"/>
    <w:rsid w:val="006123BE"/>
    <w:rsid w:val="00651AEA"/>
    <w:rsid w:val="0065535C"/>
    <w:rsid w:val="006D1C83"/>
    <w:rsid w:val="00783FF8"/>
    <w:rsid w:val="00821119"/>
    <w:rsid w:val="009138F0"/>
    <w:rsid w:val="0092594E"/>
    <w:rsid w:val="00A50BC0"/>
    <w:rsid w:val="00AC05BD"/>
    <w:rsid w:val="00AD5ACC"/>
    <w:rsid w:val="00AD7722"/>
    <w:rsid w:val="00B16D6A"/>
    <w:rsid w:val="00B20357"/>
    <w:rsid w:val="00B72D64"/>
    <w:rsid w:val="00CD2076"/>
    <w:rsid w:val="00CF53CE"/>
    <w:rsid w:val="00D814D1"/>
    <w:rsid w:val="00DD7D06"/>
    <w:rsid w:val="00DF58E9"/>
    <w:rsid w:val="00E40E6E"/>
    <w:rsid w:val="00E43069"/>
    <w:rsid w:val="00E453B7"/>
    <w:rsid w:val="00E9794E"/>
    <w:rsid w:val="00EA286D"/>
    <w:rsid w:val="00F20729"/>
    <w:rsid w:val="00F82E5A"/>
    <w:rsid w:val="00F857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A1771"/>
  <w15:chartTrackingRefBased/>
  <w15:docId w15:val="{1D252E4E-04AE-4368-8CC0-7DEFA94E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F82E5A"/>
    <w:rPr>
      <w:b/>
      <w:bCs/>
      <w:sz w:val="20"/>
      <w:szCs w:val="20"/>
    </w:rPr>
  </w:style>
  <w:style w:type="paragraph" w:styleId="Normaalweb">
    <w:name w:val="Normal (Web)"/>
    <w:basedOn w:val="Standaard"/>
    <w:uiPriority w:val="99"/>
    <w:semiHidden/>
    <w:unhideWhenUsed/>
    <w:rsid w:val="00F82E5A"/>
    <w:rPr>
      <w:rFonts w:ascii="Times New Roman" w:hAnsi="Times New Roman"/>
      <w:sz w:val="24"/>
      <w:szCs w:val="24"/>
    </w:rPr>
  </w:style>
  <w:style w:type="paragraph" w:styleId="Koptekst">
    <w:name w:val="header"/>
    <w:basedOn w:val="Standaard"/>
    <w:link w:val="KoptekstChar"/>
    <w:uiPriority w:val="99"/>
    <w:unhideWhenUsed/>
    <w:rsid w:val="00E9794E"/>
    <w:pPr>
      <w:tabs>
        <w:tab w:val="center" w:pos="4536"/>
        <w:tab w:val="right" w:pos="9072"/>
      </w:tabs>
    </w:pPr>
  </w:style>
  <w:style w:type="character" w:customStyle="1" w:styleId="KoptekstChar">
    <w:name w:val="Koptekst Char"/>
    <w:link w:val="Koptekst"/>
    <w:uiPriority w:val="99"/>
    <w:rsid w:val="00E9794E"/>
    <w:rPr>
      <w:sz w:val="22"/>
      <w:szCs w:val="22"/>
      <w:lang w:eastAsia="en-US"/>
    </w:rPr>
  </w:style>
  <w:style w:type="paragraph" w:styleId="Voettekst">
    <w:name w:val="footer"/>
    <w:basedOn w:val="Standaard"/>
    <w:link w:val="VoettekstChar"/>
    <w:uiPriority w:val="99"/>
    <w:unhideWhenUsed/>
    <w:rsid w:val="00E9794E"/>
    <w:pPr>
      <w:tabs>
        <w:tab w:val="center" w:pos="4536"/>
        <w:tab w:val="right" w:pos="9072"/>
      </w:tabs>
    </w:pPr>
  </w:style>
  <w:style w:type="character" w:customStyle="1" w:styleId="VoettekstChar">
    <w:name w:val="Voettekst Char"/>
    <w:link w:val="Voettekst"/>
    <w:uiPriority w:val="99"/>
    <w:rsid w:val="00E9794E"/>
    <w:rPr>
      <w:sz w:val="22"/>
      <w:szCs w:val="22"/>
      <w:lang w:eastAsia="en-US"/>
    </w:rPr>
  </w:style>
  <w:style w:type="paragraph" w:styleId="Ballontekst">
    <w:name w:val="Balloon Text"/>
    <w:basedOn w:val="Standaard"/>
    <w:link w:val="BallontekstChar"/>
    <w:uiPriority w:val="99"/>
    <w:semiHidden/>
    <w:unhideWhenUsed/>
    <w:rsid w:val="004577DB"/>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4577D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Data" Target="diagrams/data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D1CD97-AEAF-4D1D-8441-BB7B33A7E016}"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nl-NL"/>
        </a:p>
      </dgm:t>
    </dgm:pt>
    <dgm:pt modelId="{DFB5B76B-85BC-4154-A4D6-E7DF33ED985B}">
      <dgm:prSet phldrT="[Tekst]"/>
      <dgm:spPr>
        <a:xfrm>
          <a:off x="1351764" y="122"/>
          <a:ext cx="2584750" cy="1550850"/>
        </a:xfrm>
        <a:prstGeom prst="rect">
          <a:avLst/>
        </a:prstGeom>
        <a:solidFill>
          <a:sysClr val="window" lastClr="FFFFFF"/>
        </a:solidFill>
        <a:ln w="12700" cap="flat" cmpd="sng" algn="ctr">
          <a:solidFill>
            <a:sysClr val="windowText" lastClr="000000"/>
          </a:solidFill>
          <a:prstDash val="solid"/>
        </a:ln>
        <a:effectLst/>
      </dgm:spPr>
      <dgm:t>
        <a:bodyPr/>
        <a:lstStyle/>
        <a:p>
          <a:pPr algn="ctr"/>
          <a:r>
            <a:rPr lang="en-US" b="1" dirty="0" smtClean="0">
              <a:solidFill>
                <a:sysClr val="windowText" lastClr="000000"/>
              </a:solidFill>
              <a:latin typeface="Times New Roman" panose="02020603050405020304" pitchFamily="18" charset="0"/>
              <a:ea typeface="+mn-ea"/>
              <a:cs typeface="Times New Roman" panose="02020603050405020304" pitchFamily="18" charset="0"/>
            </a:rPr>
            <a:t>Predicted gain in median OS</a:t>
          </a:r>
          <a:endParaRPr lang="nl-NL" dirty="0" smtClean="0">
            <a:solidFill>
              <a:sysClr val="windowText" lastClr="000000"/>
            </a:solidFill>
            <a:latin typeface="Times New Roman" panose="02020603050405020304" pitchFamily="18" charset="0"/>
            <a:ea typeface="+mn-ea"/>
            <a:cs typeface="Times New Roman" panose="02020603050405020304" pitchFamily="18" charset="0"/>
          </a:endParaRPr>
        </a:p>
        <a:p>
          <a:pPr algn="ctr"/>
          <a:r>
            <a:rPr lang="en-US" b="1" dirty="0" smtClean="0">
              <a:solidFill>
                <a:sysClr val="windowText" lastClr="000000"/>
              </a:solidFill>
              <a:latin typeface="Times New Roman" panose="02020603050405020304" pitchFamily="18" charset="0"/>
              <a:ea typeface="+mn-ea"/>
              <a:cs typeface="Times New Roman" panose="02020603050405020304" pitchFamily="18" charset="0"/>
            </a:rPr>
            <a:t>=</a:t>
          </a:r>
          <a:endParaRPr lang="nl-NL" dirty="0" smtClean="0">
            <a:solidFill>
              <a:sysClr val="windowText" lastClr="000000"/>
            </a:solidFill>
            <a:latin typeface="Times New Roman" panose="02020603050405020304" pitchFamily="18" charset="0"/>
            <a:ea typeface="+mn-ea"/>
            <a:cs typeface="Times New Roman" panose="02020603050405020304" pitchFamily="18" charset="0"/>
          </a:endParaRPr>
        </a:p>
        <a:p>
          <a:pPr algn="ctr"/>
          <a:r>
            <a:rPr lang="en-US" b="1" dirty="0" smtClean="0">
              <a:solidFill>
                <a:sysClr val="windowText" lastClr="000000"/>
              </a:solidFill>
              <a:latin typeface="Times New Roman" panose="02020603050405020304" pitchFamily="18" charset="0"/>
              <a:ea typeface="+mn-ea"/>
              <a:cs typeface="Times New Roman" panose="02020603050405020304" pitchFamily="18" charset="0"/>
            </a:rPr>
            <a:t>Predicted median OS with combination chemotherapy</a:t>
          </a:r>
          <a:endParaRPr lang="nl-NL" dirty="0" smtClean="0">
            <a:solidFill>
              <a:sysClr val="windowText" lastClr="000000"/>
            </a:solidFill>
            <a:latin typeface="Times New Roman" panose="02020603050405020304" pitchFamily="18" charset="0"/>
            <a:ea typeface="+mn-ea"/>
            <a:cs typeface="Times New Roman" panose="02020603050405020304" pitchFamily="18" charset="0"/>
          </a:endParaRPr>
        </a:p>
        <a:p>
          <a:pPr algn="ctr"/>
          <a:r>
            <a:rPr lang="en-US" b="1" dirty="0" smtClean="0">
              <a:solidFill>
                <a:sysClr val="windowText" lastClr="000000"/>
              </a:solidFill>
              <a:latin typeface="Times New Roman" panose="02020603050405020304" pitchFamily="18" charset="0"/>
              <a:ea typeface="+mn-ea"/>
              <a:cs typeface="Times New Roman" panose="02020603050405020304" pitchFamily="18" charset="0"/>
            </a:rPr>
            <a:t>-</a:t>
          </a:r>
          <a:endParaRPr lang="nl-NL" dirty="0" smtClean="0">
            <a:solidFill>
              <a:sysClr val="windowText" lastClr="000000"/>
            </a:solidFill>
            <a:latin typeface="Times New Roman" panose="02020603050405020304" pitchFamily="18" charset="0"/>
            <a:ea typeface="+mn-ea"/>
            <a:cs typeface="Times New Roman" panose="02020603050405020304" pitchFamily="18" charset="0"/>
          </a:endParaRPr>
        </a:p>
        <a:p>
          <a:pPr algn="ctr"/>
          <a:r>
            <a:rPr lang="en-US" b="1" dirty="0" smtClean="0">
              <a:solidFill>
                <a:sysClr val="windowText" lastClr="000000"/>
              </a:solidFill>
              <a:latin typeface="Times New Roman" panose="02020603050405020304" pitchFamily="18" charset="0"/>
              <a:ea typeface="+mn-ea"/>
              <a:cs typeface="Times New Roman" panose="02020603050405020304" pitchFamily="18" charset="0"/>
            </a:rPr>
            <a:t>Predicted median OS with sequential chemotherapy</a:t>
          </a:r>
          <a:endParaRPr lang="nl-NL" dirty="0">
            <a:solidFill>
              <a:sysClr val="window" lastClr="FFFFFF"/>
            </a:solidFill>
            <a:latin typeface="Times New Roman" panose="02020603050405020304" pitchFamily="18" charset="0"/>
            <a:ea typeface="+mn-ea"/>
            <a:cs typeface="Times New Roman" panose="02020603050405020304" pitchFamily="18" charset="0"/>
          </a:endParaRPr>
        </a:p>
      </dgm:t>
    </dgm:pt>
    <dgm:pt modelId="{D0F7496E-BD53-41AE-A32A-90A0336B60A3}" type="parTrans" cxnId="{37982F8C-F9D8-4B90-827E-6B43CC942513}">
      <dgm:prSet/>
      <dgm:spPr/>
      <dgm:t>
        <a:bodyPr/>
        <a:lstStyle/>
        <a:p>
          <a:endParaRPr lang="nl-NL"/>
        </a:p>
      </dgm:t>
    </dgm:pt>
    <dgm:pt modelId="{86F7A37D-FD3C-4052-88BF-B4464C1E339D}" type="sibTrans" cxnId="{37982F8C-F9D8-4B90-827E-6B43CC942513}">
      <dgm:prSet/>
      <dgm:spPr/>
      <dgm:t>
        <a:bodyPr/>
        <a:lstStyle/>
        <a:p>
          <a:endParaRPr lang="nl-NL"/>
        </a:p>
      </dgm:t>
    </dgm:pt>
    <mc:AlternateContent xmlns:mc="http://schemas.openxmlformats.org/markup-compatibility/2006">
      <mc:Choice xmlns:a14="http://schemas.microsoft.com/office/drawing/2010/main" Requires="a14">
        <dgm:pt modelId="{36FBFFCA-9AFD-48E7-8E15-619EB7A3FEA5}">
          <dgm:prSet phldrT="[Tekst]"/>
          <dgm:spPr>
            <a:xfrm>
              <a:off x="619375" y="1620662"/>
              <a:ext cx="4049528" cy="1550850"/>
            </a:xfrm>
            <a:prstGeom prst="rect">
              <a:avLst/>
            </a:prstGeom>
            <a:solidFill>
              <a:sysClr val="window" lastClr="FFFFFF"/>
            </a:solidFill>
            <a:ln w="12700" cap="flat" cmpd="sng" algn="ctr">
              <a:solidFill>
                <a:sysClr val="windowText" lastClr="000000"/>
              </a:solidFill>
              <a:prstDash val="solid"/>
            </a:ln>
            <a:effectLst/>
          </dgm:spPr>
          <dgm:t>
            <a:bodyPr/>
            <a:lstStyle/>
            <a:p>
              <a:pPr algn="l"/>
              <a:r>
                <a:rPr lang="en-US" b="1" dirty="0" smtClean="0">
                  <a:solidFill>
                    <a:sysClr val="windowText" lastClr="000000"/>
                  </a:solidFill>
                  <a:latin typeface="Times New Roman" panose="02020603050405020304" pitchFamily="18" charset="0"/>
                  <a:ea typeface="+mn-ea"/>
                  <a:cs typeface="Times New Roman" panose="02020603050405020304" pitchFamily="18" charset="0"/>
                </a:rPr>
                <a:t>Median overall survival (in months)</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 = </a:t>
              </a:r>
              <a:r>
                <a:rPr lang="en-US" baseline="0" dirty="0" smtClean="0">
                  <a:solidFill>
                    <a:sysClr val="windowText" lastClr="000000"/>
                  </a:solidFill>
                  <a:latin typeface="Times New Roman" panose="02020603050405020304" pitchFamily="18" charset="0"/>
                  <a:ea typeface="+mn-ea"/>
                  <a:cs typeface="Times New Roman" panose="02020603050405020304" pitchFamily="18" charset="0"/>
                </a:rPr>
                <a:t>0.73591 * </a:t>
              </a:r>
              <a14:m>
                <m:oMath xmlns:m="http://schemas.openxmlformats.org/officeDocument/2006/math">
                  <m:sSup>
                    <m:sSupPr>
                      <m:ctrlPr>
                        <a:rPr lang="en-US" i="1" baseline="0" smtClean="0">
                          <a:solidFill>
                            <a:sysClr val="windowText" lastClr="000000"/>
                          </a:solidFill>
                          <a:latin typeface="Cambria Math" panose="02040503050406030204" pitchFamily="18" charset="0"/>
                          <a:ea typeface="+mn-ea"/>
                          <a:cs typeface="+mn-cs"/>
                        </a:rPr>
                      </m:ctrlPr>
                    </m:sSupPr>
                    <m:e>
                      <m:r>
                        <a:rPr lang="nl-NL" b="0" i="1" baseline="0" smtClean="0">
                          <a:solidFill>
                            <a:sysClr val="windowText" lastClr="000000"/>
                          </a:solidFill>
                          <a:latin typeface="Cambria Math"/>
                          <a:ea typeface="+mn-ea"/>
                          <a:cs typeface="+mn-cs"/>
                        </a:rPr>
                        <m:t>𝑒</m:t>
                      </m:r>
                    </m:e>
                    <m:sup>
                      <m:r>
                        <a:rPr lang="nl-NL" b="0" i="1" baseline="0" smtClean="0">
                          <a:solidFill>
                            <a:sysClr val="windowText" lastClr="000000"/>
                          </a:solidFill>
                          <a:latin typeface="Cambria Math"/>
                          <a:ea typeface="+mn-ea"/>
                          <a:cs typeface="+mn-cs"/>
                        </a:rPr>
                        <m:t>𝐿𝑃</m:t>
                      </m:r>
                    </m:sup>
                  </m:sSup>
                </m:oMath>
              </a14:m>
              <a:r>
                <a:rPr lang="en-US" dirty="0" smtClean="0">
                  <a:solidFill>
                    <a:sysClr val="windowText" lastClr="000000"/>
                  </a:solidFill>
                  <a:latin typeface="Times New Roman" panose="02020603050405020304" pitchFamily="18" charset="0"/>
                  <a:ea typeface="+mn-ea"/>
                  <a:cs typeface="Times New Roman" panose="02020603050405020304" pitchFamily="18" charset="0"/>
                </a:rPr>
                <a:t>, where LP = 4.33224 + 0.07191 [if female] – 0.09973 * WHO performance status + 0.00979 * Body Mass Index (kg/m</a:t>
              </a:r>
              <a:r>
                <a:rPr lang="en-US" baseline="30000" dirty="0" smtClean="0">
                  <a:solidFill>
                    <a:sysClr val="windowText" lastClr="000000"/>
                  </a:solidFill>
                  <a:latin typeface="Times New Roman" panose="02020603050405020304" pitchFamily="18" charset="0"/>
                  <a:ea typeface="+mn-ea"/>
                  <a:cs typeface="Times New Roman" panose="02020603050405020304" pitchFamily="18" charset="0"/>
                </a:rPr>
                <a:t>2</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 - 0.21893 * Number of metastatic sites (0, 1, 2, or ≥3) – 0.14103 [if synchronous disease] + 0.27861 [if primary </a:t>
              </a:r>
              <a:r>
                <a:rPr lang="en-US" dirty="0" err="1" smtClean="0">
                  <a:solidFill>
                    <a:sysClr val="windowText" lastClr="000000"/>
                  </a:solidFill>
                  <a:latin typeface="Times New Roman" panose="02020603050405020304" pitchFamily="18" charset="0"/>
                  <a:ea typeface="+mn-ea"/>
                  <a:cs typeface="Times New Roman" panose="02020603050405020304" pitchFamily="18" charset="0"/>
                </a:rPr>
                <a:t>tumour</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 resected] + 0.37297 [if primary </a:t>
              </a:r>
              <a:r>
                <a:rPr lang="en-US" dirty="0" err="1" smtClean="0">
                  <a:solidFill>
                    <a:sysClr val="windowText" lastClr="000000"/>
                  </a:solidFill>
                  <a:latin typeface="Times New Roman" panose="02020603050405020304" pitchFamily="18" charset="0"/>
                  <a:ea typeface="+mn-ea"/>
                  <a:cs typeface="Times New Roman" panose="02020603050405020304" pitchFamily="18" charset="0"/>
                </a:rPr>
                <a:t>tumour</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 is located in left side of colon or rectum] </a:t>
              </a:r>
              <a:r>
                <a:rPr lang="en-US" smtClean="0">
                  <a:solidFill>
                    <a:sysClr val="windowText" lastClr="000000"/>
                  </a:solidFill>
                  <a:latin typeface="Times New Roman" panose="02020603050405020304" pitchFamily="18" charset="0"/>
                  <a:ea typeface="+mn-ea"/>
                  <a:cs typeface="Times New Roman" panose="02020603050405020304" pitchFamily="18" charset="0"/>
                </a:rPr>
                <a:t>– 0.02174 </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 white blood cell count (*10</a:t>
              </a:r>
              <a:r>
                <a:rPr lang="en-US" baseline="30000" dirty="0" smtClean="0">
                  <a:solidFill>
                    <a:sysClr val="windowText" lastClr="000000"/>
                  </a:solidFill>
                  <a:latin typeface="Times New Roman" panose="02020603050405020304" pitchFamily="18" charset="0"/>
                  <a:ea typeface="+mn-ea"/>
                  <a:cs typeface="Times New Roman" panose="02020603050405020304" pitchFamily="18" charset="0"/>
                </a:rPr>
                <a:t>9</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/l) </a:t>
              </a:r>
              <a:r>
                <a:rPr lang="en-US" smtClean="0">
                  <a:solidFill>
                    <a:sysClr val="windowText" lastClr="000000"/>
                  </a:solidFill>
                  <a:latin typeface="Times New Roman" panose="02020603050405020304" pitchFamily="18" charset="0"/>
                  <a:ea typeface="+mn-ea"/>
                  <a:cs typeface="Times New Roman" panose="02020603050405020304" pitchFamily="18" charset="0"/>
                </a:rPr>
                <a:t>– 0.28208 </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 logarithm of alkaline phosphatase (U/l</a:t>
              </a:r>
              <a:r>
                <a:rPr lang="en-US" smtClean="0">
                  <a:solidFill>
                    <a:sysClr val="windowText" lastClr="000000"/>
                  </a:solidFill>
                  <a:latin typeface="Times New Roman" panose="02020603050405020304" pitchFamily="18" charset="0"/>
                  <a:ea typeface="+mn-ea"/>
                  <a:cs typeface="Times New Roman" panose="02020603050405020304" pitchFamily="18" charset="0"/>
                </a:rPr>
                <a:t>) + 0.06882 </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[if combination chemotherapy] </a:t>
              </a:r>
              <a:r>
                <a:rPr lang="en-US" smtClean="0">
                  <a:solidFill>
                    <a:sysClr val="windowText" lastClr="000000"/>
                  </a:solidFill>
                  <a:latin typeface="Times New Roman" panose="02020603050405020304" pitchFamily="18" charset="0"/>
                  <a:ea typeface="+mn-ea"/>
                  <a:cs typeface="Times New Roman" panose="02020603050405020304" pitchFamily="18" charset="0"/>
                </a:rPr>
                <a:t>+ 0.05633 </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 WHO performance status [if combination chemotherapy] </a:t>
              </a:r>
              <a:r>
                <a:rPr lang="en-US" smtClean="0">
                  <a:solidFill>
                    <a:sysClr val="windowText" lastClr="000000"/>
                  </a:solidFill>
                  <a:latin typeface="Times New Roman" panose="02020603050405020304" pitchFamily="18" charset="0"/>
                  <a:ea typeface="+mn-ea"/>
                  <a:cs typeface="Times New Roman" panose="02020603050405020304" pitchFamily="18" charset="0"/>
                </a:rPr>
                <a:t>+ 0.24296 </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[if synchronous disease and combination chemotherapy] </a:t>
              </a:r>
              <a:r>
                <a:rPr lang="en-US" smtClean="0">
                  <a:solidFill>
                    <a:sysClr val="windowText" lastClr="000000"/>
                  </a:solidFill>
                  <a:latin typeface="Times New Roman" panose="02020603050405020304" pitchFamily="18" charset="0"/>
                  <a:ea typeface="+mn-ea"/>
                  <a:cs typeface="Times New Roman" panose="02020603050405020304" pitchFamily="18" charset="0"/>
                </a:rPr>
                <a:t>– 0.18536 </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[if primary </a:t>
              </a:r>
              <a:r>
                <a:rPr lang="en-US" dirty="0" err="1" smtClean="0">
                  <a:solidFill>
                    <a:sysClr val="windowText" lastClr="000000"/>
                  </a:solidFill>
                  <a:latin typeface="Times New Roman" panose="02020603050405020304" pitchFamily="18" charset="0"/>
                  <a:ea typeface="+mn-ea"/>
                  <a:cs typeface="Times New Roman" panose="02020603050405020304" pitchFamily="18" charset="0"/>
                </a:rPr>
                <a:t>tumour</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 is located in left side of colon or rectum and combination treatment]</a:t>
              </a:r>
              <a:endParaRPr lang="nl-NL" dirty="0">
                <a:solidFill>
                  <a:sysClr val="windowText" lastClr="000000"/>
                </a:solidFill>
                <a:latin typeface="Times New Roman" panose="02020603050405020304" pitchFamily="18" charset="0"/>
                <a:ea typeface="+mn-ea"/>
                <a:cs typeface="Times New Roman" panose="02020603050405020304" pitchFamily="18" charset="0"/>
              </a:endParaRPr>
            </a:p>
          </dgm:t>
        </dgm:pt>
      </mc:Choice>
      <mc:Fallback>
        <dgm:pt modelId="{36FBFFCA-9AFD-48E7-8E15-619EB7A3FEA5}">
          <dgm:prSet phldrT="[Tekst]"/>
          <dgm:spPr>
            <a:xfrm>
              <a:off x="619375" y="1620662"/>
              <a:ext cx="4049528" cy="1550850"/>
            </a:xfrm>
            <a:prstGeom prst="rect">
              <a:avLst/>
            </a:prstGeom>
            <a:solidFill>
              <a:sysClr val="window" lastClr="FFFFFF"/>
            </a:solidFill>
            <a:ln w="12700" cap="flat" cmpd="sng" algn="ctr">
              <a:solidFill>
                <a:sysClr val="windowText" lastClr="000000"/>
              </a:solidFill>
              <a:prstDash val="solid"/>
            </a:ln>
            <a:effectLst/>
          </dgm:spPr>
          <dgm:t>
            <a:bodyPr/>
            <a:lstStyle/>
            <a:p>
              <a:pPr algn="l"/>
              <a:r>
                <a:rPr lang="en-US" b="1" dirty="0" smtClean="0">
                  <a:solidFill>
                    <a:sysClr val="windowText" lastClr="000000"/>
                  </a:solidFill>
                  <a:latin typeface="Times New Roman" panose="02020603050405020304" pitchFamily="18" charset="0"/>
                  <a:ea typeface="+mn-ea"/>
                  <a:cs typeface="Times New Roman" panose="02020603050405020304" pitchFamily="18" charset="0"/>
                </a:rPr>
                <a:t>Median overall survival (in months)</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 = </a:t>
              </a:r>
              <a:r>
                <a:rPr lang="en-US" baseline="0" dirty="0" smtClean="0">
                  <a:solidFill>
                    <a:sysClr val="windowText" lastClr="000000"/>
                  </a:solidFill>
                  <a:latin typeface="Times New Roman" panose="02020603050405020304" pitchFamily="18" charset="0"/>
                  <a:ea typeface="+mn-ea"/>
                  <a:cs typeface="Times New Roman" panose="02020603050405020304" pitchFamily="18" charset="0"/>
                </a:rPr>
                <a:t>0.73591 * </a:t>
              </a:r>
              <a:r>
                <a:rPr lang="nl-NL" b="0" i="0" baseline="0" smtClean="0">
                  <a:solidFill>
                    <a:sysClr val="windowText" lastClr="000000"/>
                  </a:solidFill>
                  <a:latin typeface="Cambria Math"/>
                  <a:ea typeface="+mn-ea"/>
                  <a:cs typeface="+mn-cs"/>
                </a:rPr>
                <a:t>𝑒</a:t>
              </a:r>
              <a:r>
                <a:rPr lang="en-US" b="0" i="0" baseline="0" smtClean="0">
                  <a:solidFill>
                    <a:sysClr val="windowText" lastClr="000000"/>
                  </a:solidFill>
                  <a:latin typeface="Cambria Math" panose="02040503050406030204" pitchFamily="18" charset="0"/>
                  <a:ea typeface="+mn-ea"/>
                  <a:cs typeface="+mn-cs"/>
                </a:rPr>
                <a:t>^</a:t>
              </a:r>
              <a:r>
                <a:rPr lang="nl-NL" b="0" i="0" baseline="0" smtClean="0">
                  <a:solidFill>
                    <a:sysClr val="windowText" lastClr="000000"/>
                  </a:solidFill>
                  <a:latin typeface="Cambria Math"/>
                  <a:ea typeface="+mn-ea"/>
                  <a:cs typeface="+mn-cs"/>
                </a:rPr>
                <a:t>𝐿𝑃</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 where LP = 4.33224 + 0.07191 [if female] – 0.09973 * WHO performance status + 0.00979 * Body Mass Index (kg/m</a:t>
              </a:r>
              <a:r>
                <a:rPr lang="en-US" baseline="30000" dirty="0" smtClean="0">
                  <a:solidFill>
                    <a:sysClr val="windowText" lastClr="000000"/>
                  </a:solidFill>
                  <a:latin typeface="Times New Roman" panose="02020603050405020304" pitchFamily="18" charset="0"/>
                  <a:ea typeface="+mn-ea"/>
                  <a:cs typeface="Times New Roman" panose="02020603050405020304" pitchFamily="18" charset="0"/>
                </a:rPr>
                <a:t>2</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 - 0.21893 * Number of metastatic sites (0, 1, 2, or ≥3) – 0.14103 [if synchronous disease] + 0.27861 [if primary </a:t>
              </a:r>
              <a:r>
                <a:rPr lang="en-US" dirty="0" err="1" smtClean="0">
                  <a:solidFill>
                    <a:sysClr val="windowText" lastClr="000000"/>
                  </a:solidFill>
                  <a:latin typeface="Times New Roman" panose="02020603050405020304" pitchFamily="18" charset="0"/>
                  <a:ea typeface="+mn-ea"/>
                  <a:cs typeface="Times New Roman" panose="02020603050405020304" pitchFamily="18" charset="0"/>
                </a:rPr>
                <a:t>tumour</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 resected] + 0.37297 [if primary </a:t>
              </a:r>
              <a:r>
                <a:rPr lang="en-US" dirty="0" err="1" smtClean="0">
                  <a:solidFill>
                    <a:sysClr val="windowText" lastClr="000000"/>
                  </a:solidFill>
                  <a:latin typeface="Times New Roman" panose="02020603050405020304" pitchFamily="18" charset="0"/>
                  <a:ea typeface="+mn-ea"/>
                  <a:cs typeface="Times New Roman" panose="02020603050405020304" pitchFamily="18" charset="0"/>
                </a:rPr>
                <a:t>tumour</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 is located in left side of colon or rectum] </a:t>
              </a:r>
              <a:r>
                <a:rPr lang="en-US" smtClean="0">
                  <a:solidFill>
                    <a:sysClr val="windowText" lastClr="000000"/>
                  </a:solidFill>
                  <a:latin typeface="Times New Roman" panose="02020603050405020304" pitchFamily="18" charset="0"/>
                  <a:ea typeface="+mn-ea"/>
                  <a:cs typeface="Times New Roman" panose="02020603050405020304" pitchFamily="18" charset="0"/>
                </a:rPr>
                <a:t>– 0.02174 </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 white blood cell count (*10</a:t>
              </a:r>
              <a:r>
                <a:rPr lang="en-US" baseline="30000" dirty="0" smtClean="0">
                  <a:solidFill>
                    <a:sysClr val="windowText" lastClr="000000"/>
                  </a:solidFill>
                  <a:latin typeface="Times New Roman" panose="02020603050405020304" pitchFamily="18" charset="0"/>
                  <a:ea typeface="+mn-ea"/>
                  <a:cs typeface="Times New Roman" panose="02020603050405020304" pitchFamily="18" charset="0"/>
                </a:rPr>
                <a:t>9</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/l) </a:t>
              </a:r>
              <a:r>
                <a:rPr lang="en-US" smtClean="0">
                  <a:solidFill>
                    <a:sysClr val="windowText" lastClr="000000"/>
                  </a:solidFill>
                  <a:latin typeface="Times New Roman" panose="02020603050405020304" pitchFamily="18" charset="0"/>
                  <a:ea typeface="+mn-ea"/>
                  <a:cs typeface="Times New Roman" panose="02020603050405020304" pitchFamily="18" charset="0"/>
                </a:rPr>
                <a:t>– 0.28208 </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 logarithm of alkaline phosphatase (U/l</a:t>
              </a:r>
              <a:r>
                <a:rPr lang="en-US" smtClean="0">
                  <a:solidFill>
                    <a:sysClr val="windowText" lastClr="000000"/>
                  </a:solidFill>
                  <a:latin typeface="Times New Roman" panose="02020603050405020304" pitchFamily="18" charset="0"/>
                  <a:ea typeface="+mn-ea"/>
                  <a:cs typeface="Times New Roman" panose="02020603050405020304" pitchFamily="18" charset="0"/>
                </a:rPr>
                <a:t>) + 0.06882 </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[if combination chemotherapy] </a:t>
              </a:r>
              <a:r>
                <a:rPr lang="en-US" smtClean="0">
                  <a:solidFill>
                    <a:sysClr val="windowText" lastClr="000000"/>
                  </a:solidFill>
                  <a:latin typeface="Times New Roman" panose="02020603050405020304" pitchFamily="18" charset="0"/>
                  <a:ea typeface="+mn-ea"/>
                  <a:cs typeface="Times New Roman" panose="02020603050405020304" pitchFamily="18" charset="0"/>
                </a:rPr>
                <a:t>+ 0.05633 </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 WHO performance status [if combination chemotherapy] </a:t>
              </a:r>
              <a:r>
                <a:rPr lang="en-US" smtClean="0">
                  <a:solidFill>
                    <a:sysClr val="windowText" lastClr="000000"/>
                  </a:solidFill>
                  <a:latin typeface="Times New Roman" panose="02020603050405020304" pitchFamily="18" charset="0"/>
                  <a:ea typeface="+mn-ea"/>
                  <a:cs typeface="Times New Roman" panose="02020603050405020304" pitchFamily="18" charset="0"/>
                </a:rPr>
                <a:t>+ 0.24296 </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[if synchronous disease and combination chemotherapy] </a:t>
              </a:r>
              <a:r>
                <a:rPr lang="en-US" smtClean="0">
                  <a:solidFill>
                    <a:sysClr val="windowText" lastClr="000000"/>
                  </a:solidFill>
                  <a:latin typeface="Times New Roman" panose="02020603050405020304" pitchFamily="18" charset="0"/>
                  <a:ea typeface="+mn-ea"/>
                  <a:cs typeface="Times New Roman" panose="02020603050405020304" pitchFamily="18" charset="0"/>
                </a:rPr>
                <a:t>– 0.18536 </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[if primary </a:t>
              </a:r>
              <a:r>
                <a:rPr lang="en-US" dirty="0" err="1" smtClean="0">
                  <a:solidFill>
                    <a:sysClr val="windowText" lastClr="000000"/>
                  </a:solidFill>
                  <a:latin typeface="Times New Roman" panose="02020603050405020304" pitchFamily="18" charset="0"/>
                  <a:ea typeface="+mn-ea"/>
                  <a:cs typeface="Times New Roman" panose="02020603050405020304" pitchFamily="18" charset="0"/>
                </a:rPr>
                <a:t>tumour</a:t>
              </a:r>
              <a:r>
                <a:rPr lang="en-US" dirty="0" smtClean="0">
                  <a:solidFill>
                    <a:sysClr val="windowText" lastClr="000000"/>
                  </a:solidFill>
                  <a:latin typeface="Times New Roman" panose="02020603050405020304" pitchFamily="18" charset="0"/>
                  <a:ea typeface="+mn-ea"/>
                  <a:cs typeface="Times New Roman" panose="02020603050405020304" pitchFamily="18" charset="0"/>
                </a:rPr>
                <a:t> is located in left side of colon or rectum and combination treatment]</a:t>
              </a:r>
              <a:endParaRPr lang="nl-NL" dirty="0">
                <a:solidFill>
                  <a:sysClr val="windowText" lastClr="000000"/>
                </a:solidFill>
                <a:latin typeface="Times New Roman" panose="02020603050405020304" pitchFamily="18" charset="0"/>
                <a:ea typeface="+mn-ea"/>
                <a:cs typeface="Times New Roman" panose="02020603050405020304" pitchFamily="18" charset="0"/>
              </a:endParaRPr>
            </a:p>
          </dgm:t>
        </dgm:pt>
      </mc:Fallback>
    </mc:AlternateContent>
    <dgm:pt modelId="{8B2D7E9A-5F0B-42DD-9046-A3CB85ED4F14}" type="parTrans" cxnId="{28D9FB3B-2486-4348-9B7A-8121EACC5A28}">
      <dgm:prSet/>
      <dgm:spPr/>
      <dgm:t>
        <a:bodyPr/>
        <a:lstStyle/>
        <a:p>
          <a:endParaRPr lang="nl-NL"/>
        </a:p>
      </dgm:t>
    </dgm:pt>
    <dgm:pt modelId="{38A6DB26-F174-41C5-8C39-E930D113333E}" type="sibTrans" cxnId="{28D9FB3B-2486-4348-9B7A-8121EACC5A28}">
      <dgm:prSet/>
      <dgm:spPr/>
      <dgm:t>
        <a:bodyPr/>
        <a:lstStyle/>
        <a:p>
          <a:endParaRPr lang="nl-NL"/>
        </a:p>
      </dgm:t>
    </dgm:pt>
    <dgm:pt modelId="{AAC9F090-9AAF-4D7A-BFCE-C2CF90C2430F}" type="pres">
      <dgm:prSet presAssocID="{51D1CD97-AEAF-4D1D-8441-BB7B33A7E016}" presName="diagram" presStyleCnt="0">
        <dgm:presLayoutVars>
          <dgm:dir/>
          <dgm:resizeHandles val="exact"/>
        </dgm:presLayoutVars>
      </dgm:prSet>
      <dgm:spPr/>
      <dgm:t>
        <a:bodyPr/>
        <a:lstStyle/>
        <a:p>
          <a:endParaRPr lang="nl-NL"/>
        </a:p>
      </dgm:t>
    </dgm:pt>
    <dgm:pt modelId="{B529237C-D396-488A-82BE-5FFE242EF7FE}" type="pres">
      <dgm:prSet presAssocID="{DFB5B76B-85BC-4154-A4D6-E7DF33ED985B}" presName="node" presStyleLbl="node1" presStyleIdx="0" presStyleCnt="2">
        <dgm:presLayoutVars>
          <dgm:bulletEnabled val="1"/>
        </dgm:presLayoutVars>
      </dgm:prSet>
      <dgm:spPr/>
      <dgm:t>
        <a:bodyPr/>
        <a:lstStyle/>
        <a:p>
          <a:endParaRPr lang="nl-NL"/>
        </a:p>
      </dgm:t>
    </dgm:pt>
    <dgm:pt modelId="{F7A61A4F-CE43-4088-B914-2FEB1423A90C}" type="pres">
      <dgm:prSet presAssocID="{86F7A37D-FD3C-4052-88BF-B4464C1E339D}" presName="sibTrans" presStyleCnt="0"/>
      <dgm:spPr/>
    </dgm:pt>
    <dgm:pt modelId="{BDBFC431-8FFF-4EEE-84CE-339B9B7808E3}" type="pres">
      <dgm:prSet presAssocID="{36FBFFCA-9AFD-48E7-8E15-619EB7A3FEA5}" presName="node" presStyleLbl="node1" presStyleIdx="1" presStyleCnt="2" custScaleX="156670" custLinFactNeighborY="-12173">
        <dgm:presLayoutVars>
          <dgm:bulletEnabled val="1"/>
        </dgm:presLayoutVars>
      </dgm:prSet>
      <dgm:spPr/>
      <dgm:t>
        <a:bodyPr/>
        <a:lstStyle/>
        <a:p>
          <a:endParaRPr lang="nl-NL"/>
        </a:p>
      </dgm:t>
    </dgm:pt>
  </dgm:ptLst>
  <dgm:cxnLst>
    <dgm:cxn modelId="{A405A16A-CF1C-41EC-B010-D1F62FC46BAD}" type="presOf" srcId="{36FBFFCA-9AFD-48E7-8E15-619EB7A3FEA5}" destId="{BDBFC431-8FFF-4EEE-84CE-339B9B7808E3}" srcOrd="0" destOrd="0" presId="urn:microsoft.com/office/officeart/2005/8/layout/default"/>
    <dgm:cxn modelId="{37982F8C-F9D8-4B90-827E-6B43CC942513}" srcId="{51D1CD97-AEAF-4D1D-8441-BB7B33A7E016}" destId="{DFB5B76B-85BC-4154-A4D6-E7DF33ED985B}" srcOrd="0" destOrd="0" parTransId="{D0F7496E-BD53-41AE-A32A-90A0336B60A3}" sibTransId="{86F7A37D-FD3C-4052-88BF-B4464C1E339D}"/>
    <dgm:cxn modelId="{28D9FB3B-2486-4348-9B7A-8121EACC5A28}" srcId="{51D1CD97-AEAF-4D1D-8441-BB7B33A7E016}" destId="{36FBFFCA-9AFD-48E7-8E15-619EB7A3FEA5}" srcOrd="1" destOrd="0" parTransId="{8B2D7E9A-5F0B-42DD-9046-A3CB85ED4F14}" sibTransId="{38A6DB26-F174-41C5-8C39-E930D113333E}"/>
    <dgm:cxn modelId="{823B6E02-0534-4A91-9B1A-BCEBFE3474B4}" type="presOf" srcId="{51D1CD97-AEAF-4D1D-8441-BB7B33A7E016}" destId="{AAC9F090-9AAF-4D7A-BFCE-C2CF90C2430F}" srcOrd="0" destOrd="0" presId="urn:microsoft.com/office/officeart/2005/8/layout/default"/>
    <dgm:cxn modelId="{B1D98105-F309-4D35-9656-A4AE09F3DA5B}" type="presOf" srcId="{DFB5B76B-85BC-4154-A4D6-E7DF33ED985B}" destId="{B529237C-D396-488A-82BE-5FFE242EF7FE}" srcOrd="0" destOrd="0" presId="urn:microsoft.com/office/officeart/2005/8/layout/default"/>
    <dgm:cxn modelId="{030F368D-770F-4C44-9A21-0EDFBC7744B6}" type="presParOf" srcId="{AAC9F090-9AAF-4D7A-BFCE-C2CF90C2430F}" destId="{B529237C-D396-488A-82BE-5FFE242EF7FE}" srcOrd="0" destOrd="0" presId="urn:microsoft.com/office/officeart/2005/8/layout/default"/>
    <dgm:cxn modelId="{EC8896F5-3122-4BC9-9768-81A37C2219C9}" type="presParOf" srcId="{AAC9F090-9AAF-4D7A-BFCE-C2CF90C2430F}" destId="{F7A61A4F-CE43-4088-B914-2FEB1423A90C}" srcOrd="1" destOrd="0" presId="urn:microsoft.com/office/officeart/2005/8/layout/default"/>
    <dgm:cxn modelId="{B4928DA7-1058-4BF4-B7F1-941920EED075}" type="presParOf" srcId="{AAC9F090-9AAF-4D7A-BFCE-C2CF90C2430F}" destId="{BDBFC431-8FFF-4EEE-84CE-339B9B7808E3}" srcOrd="2" destOrd="0" presId="urn:microsoft.com/office/officeart/2005/8/layout/default"/>
  </dgm:cxnLst>
  <dgm:bg/>
  <dgm:whole>
    <a:ln>
      <a:prstDash val="sysDash"/>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29237C-D396-488A-82BE-5FFE242EF7FE}">
      <dsp:nvSpPr>
        <dsp:cNvPr id="0" name=""/>
        <dsp:cNvSpPr/>
      </dsp:nvSpPr>
      <dsp:spPr>
        <a:xfrm>
          <a:off x="1349987" y="1589"/>
          <a:ext cx="2586400" cy="155184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dirty="0" smtClean="0">
              <a:solidFill>
                <a:sysClr val="windowText" lastClr="000000"/>
              </a:solidFill>
              <a:latin typeface="Times New Roman" panose="02020603050405020304" pitchFamily="18" charset="0"/>
              <a:ea typeface="+mn-ea"/>
              <a:cs typeface="Times New Roman" panose="02020603050405020304" pitchFamily="18" charset="0"/>
            </a:rPr>
            <a:t>Predicted gain in median OS</a:t>
          </a:r>
          <a:endParaRPr lang="nl-NL" sz="1000" kern="1200" dirty="0" smtClean="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444500">
            <a:lnSpc>
              <a:spcPct val="90000"/>
            </a:lnSpc>
            <a:spcBef>
              <a:spcPct val="0"/>
            </a:spcBef>
            <a:spcAft>
              <a:spcPct val="35000"/>
            </a:spcAft>
          </a:pPr>
          <a:r>
            <a:rPr lang="en-US" sz="1000" b="1" kern="1200" dirty="0" smtClean="0">
              <a:solidFill>
                <a:sysClr val="windowText" lastClr="000000"/>
              </a:solidFill>
              <a:latin typeface="Times New Roman" panose="02020603050405020304" pitchFamily="18" charset="0"/>
              <a:ea typeface="+mn-ea"/>
              <a:cs typeface="Times New Roman" panose="02020603050405020304" pitchFamily="18" charset="0"/>
            </a:rPr>
            <a:t>=</a:t>
          </a:r>
          <a:endParaRPr lang="nl-NL" sz="1000" kern="1200" dirty="0" smtClean="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444500">
            <a:lnSpc>
              <a:spcPct val="90000"/>
            </a:lnSpc>
            <a:spcBef>
              <a:spcPct val="0"/>
            </a:spcBef>
            <a:spcAft>
              <a:spcPct val="35000"/>
            </a:spcAft>
          </a:pPr>
          <a:r>
            <a:rPr lang="en-US" sz="1000" b="1" kern="1200" dirty="0" smtClean="0">
              <a:solidFill>
                <a:sysClr val="windowText" lastClr="000000"/>
              </a:solidFill>
              <a:latin typeface="Times New Roman" panose="02020603050405020304" pitchFamily="18" charset="0"/>
              <a:ea typeface="+mn-ea"/>
              <a:cs typeface="Times New Roman" panose="02020603050405020304" pitchFamily="18" charset="0"/>
            </a:rPr>
            <a:t>Predicted median OS with combination chemotherapy</a:t>
          </a:r>
          <a:endParaRPr lang="nl-NL" sz="1000" kern="1200" dirty="0" smtClean="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444500">
            <a:lnSpc>
              <a:spcPct val="90000"/>
            </a:lnSpc>
            <a:spcBef>
              <a:spcPct val="0"/>
            </a:spcBef>
            <a:spcAft>
              <a:spcPct val="35000"/>
            </a:spcAft>
          </a:pPr>
          <a:r>
            <a:rPr lang="en-US" sz="1000" b="1" kern="1200" dirty="0" smtClean="0">
              <a:solidFill>
                <a:sysClr val="windowText" lastClr="000000"/>
              </a:solidFill>
              <a:latin typeface="Times New Roman" panose="02020603050405020304" pitchFamily="18" charset="0"/>
              <a:ea typeface="+mn-ea"/>
              <a:cs typeface="Times New Roman" panose="02020603050405020304" pitchFamily="18" charset="0"/>
            </a:rPr>
            <a:t>-</a:t>
          </a:r>
          <a:endParaRPr lang="nl-NL" sz="1000" kern="1200" dirty="0" smtClean="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444500">
            <a:lnSpc>
              <a:spcPct val="90000"/>
            </a:lnSpc>
            <a:spcBef>
              <a:spcPct val="0"/>
            </a:spcBef>
            <a:spcAft>
              <a:spcPct val="35000"/>
            </a:spcAft>
          </a:pPr>
          <a:r>
            <a:rPr lang="en-US" sz="1000" b="1" kern="1200" dirty="0" smtClean="0">
              <a:solidFill>
                <a:sysClr val="windowText" lastClr="000000"/>
              </a:solidFill>
              <a:latin typeface="Times New Roman" panose="02020603050405020304" pitchFamily="18" charset="0"/>
              <a:ea typeface="+mn-ea"/>
              <a:cs typeface="Times New Roman" panose="02020603050405020304" pitchFamily="18" charset="0"/>
            </a:rPr>
            <a:t>Predicted median OS with sequential chemotherapy</a:t>
          </a:r>
          <a:endParaRPr lang="nl-NL" sz="1000" kern="1200" dirty="0">
            <a:solidFill>
              <a:sysClr val="window" lastClr="FFFFFF"/>
            </a:solidFill>
            <a:latin typeface="Times New Roman" panose="02020603050405020304" pitchFamily="18" charset="0"/>
            <a:ea typeface="+mn-ea"/>
            <a:cs typeface="Times New Roman" panose="02020603050405020304" pitchFamily="18" charset="0"/>
          </a:endParaRPr>
        </a:p>
      </dsp:txBody>
      <dsp:txXfrm>
        <a:off x="1349987" y="1589"/>
        <a:ext cx="2586400" cy="1551840"/>
      </dsp:txXfrm>
    </dsp:sp>
    <dsp:sp modelId="{BDBFC431-8FFF-4EEE-84CE-339B9B7808E3}">
      <dsp:nvSpPr>
        <dsp:cNvPr id="0" name=""/>
        <dsp:cNvSpPr/>
      </dsp:nvSpPr>
      <dsp:spPr>
        <a:xfrm>
          <a:off x="617130" y="1623164"/>
          <a:ext cx="4052113" cy="155184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b="1" kern="1200" dirty="0" smtClean="0">
              <a:solidFill>
                <a:sysClr val="windowText" lastClr="000000"/>
              </a:solidFill>
              <a:latin typeface="Times New Roman" panose="02020603050405020304" pitchFamily="18" charset="0"/>
              <a:ea typeface="+mn-ea"/>
              <a:cs typeface="Times New Roman" panose="02020603050405020304" pitchFamily="18" charset="0"/>
            </a:rPr>
            <a:t>Median overall survival (in months)</a:t>
          </a:r>
          <a:r>
            <a:rPr lang="en-US" sz="1000" kern="1200" dirty="0" smtClean="0">
              <a:solidFill>
                <a:sysClr val="windowText" lastClr="000000"/>
              </a:solidFill>
              <a:latin typeface="Times New Roman" panose="02020603050405020304" pitchFamily="18" charset="0"/>
              <a:ea typeface="+mn-ea"/>
              <a:cs typeface="Times New Roman" panose="02020603050405020304" pitchFamily="18" charset="0"/>
            </a:rPr>
            <a:t> = </a:t>
          </a:r>
          <a:r>
            <a:rPr lang="en-US" sz="1000" kern="1200" baseline="0" dirty="0" smtClean="0">
              <a:solidFill>
                <a:sysClr val="windowText" lastClr="000000"/>
              </a:solidFill>
              <a:latin typeface="Times New Roman" panose="02020603050405020304" pitchFamily="18" charset="0"/>
              <a:ea typeface="+mn-ea"/>
              <a:cs typeface="Times New Roman" panose="02020603050405020304" pitchFamily="18" charset="0"/>
            </a:rPr>
            <a:t>0.73591 * </a:t>
          </a:r>
          <a14:m xmlns:a14="http://schemas.microsoft.com/office/drawing/2010/main">
            <m:oMath xmlns:m="http://schemas.openxmlformats.org/officeDocument/2006/math">
              <m:sSup>
                <m:sSupPr>
                  <m:ctrlPr>
                    <a:rPr lang="en-US" sz="1000" i="1" kern="1200" baseline="0" smtClean="0">
                      <a:solidFill>
                        <a:sysClr val="windowText" lastClr="000000"/>
                      </a:solidFill>
                      <a:latin typeface="Cambria Math" panose="02040503050406030204" pitchFamily="18" charset="0"/>
                      <a:ea typeface="+mn-ea"/>
                      <a:cs typeface="+mn-cs"/>
                    </a:rPr>
                  </m:ctrlPr>
                </m:sSupPr>
                <m:e>
                  <m:r>
                    <a:rPr lang="nl-NL" sz="1000" b="0" i="1" kern="1200" baseline="0" smtClean="0">
                      <a:solidFill>
                        <a:sysClr val="windowText" lastClr="000000"/>
                      </a:solidFill>
                      <a:latin typeface="Cambria Math"/>
                      <a:ea typeface="+mn-ea"/>
                      <a:cs typeface="+mn-cs"/>
                    </a:rPr>
                    <m:t>𝑒</m:t>
                  </m:r>
                </m:e>
                <m:sup>
                  <m:r>
                    <a:rPr lang="nl-NL" sz="1000" b="0" i="1" kern="1200" baseline="0" smtClean="0">
                      <a:solidFill>
                        <a:sysClr val="windowText" lastClr="000000"/>
                      </a:solidFill>
                      <a:latin typeface="Cambria Math"/>
                      <a:ea typeface="+mn-ea"/>
                      <a:cs typeface="+mn-cs"/>
                    </a:rPr>
                    <m:t>𝐿𝑃</m:t>
                  </m:r>
                </m:sup>
              </m:sSup>
            </m:oMath>
          </a14:m>
          <a:r>
            <a:rPr lang="en-US" sz="1000" kern="1200" dirty="0" smtClean="0">
              <a:solidFill>
                <a:sysClr val="windowText" lastClr="000000"/>
              </a:solidFill>
              <a:latin typeface="Times New Roman" panose="02020603050405020304" pitchFamily="18" charset="0"/>
              <a:ea typeface="+mn-ea"/>
              <a:cs typeface="Times New Roman" panose="02020603050405020304" pitchFamily="18" charset="0"/>
            </a:rPr>
            <a:t>, where LP = 4.33224 + 0.07191 [if female] – 0.09973 * WHO performance status + 0.00979 * Body Mass Index (kg/m</a:t>
          </a:r>
          <a:r>
            <a:rPr lang="en-US" sz="1000" kern="1200" baseline="30000" dirty="0" smtClean="0">
              <a:solidFill>
                <a:sysClr val="windowText" lastClr="000000"/>
              </a:solidFill>
              <a:latin typeface="Times New Roman" panose="02020603050405020304" pitchFamily="18" charset="0"/>
              <a:ea typeface="+mn-ea"/>
              <a:cs typeface="Times New Roman" panose="02020603050405020304" pitchFamily="18" charset="0"/>
            </a:rPr>
            <a:t>2</a:t>
          </a:r>
          <a:r>
            <a:rPr lang="en-US" sz="1000" kern="1200" dirty="0" smtClean="0">
              <a:solidFill>
                <a:sysClr val="windowText" lastClr="000000"/>
              </a:solidFill>
              <a:latin typeface="Times New Roman" panose="02020603050405020304" pitchFamily="18" charset="0"/>
              <a:ea typeface="+mn-ea"/>
              <a:cs typeface="Times New Roman" panose="02020603050405020304" pitchFamily="18" charset="0"/>
            </a:rPr>
            <a:t>) - 0.21893 * Number of metastatic sites (0, 1, 2, or ≥3) – 0.14103 [if synchronous disease] + 0.27861 [if primary </a:t>
          </a:r>
          <a:r>
            <a:rPr lang="en-US" sz="1000" kern="1200" dirty="0" err="1" smtClean="0">
              <a:solidFill>
                <a:sysClr val="windowText" lastClr="000000"/>
              </a:solidFill>
              <a:latin typeface="Times New Roman" panose="02020603050405020304" pitchFamily="18" charset="0"/>
              <a:ea typeface="+mn-ea"/>
              <a:cs typeface="Times New Roman" panose="02020603050405020304" pitchFamily="18" charset="0"/>
            </a:rPr>
            <a:t>tumour</a:t>
          </a:r>
          <a:r>
            <a:rPr lang="en-US" sz="1000" kern="1200" dirty="0" smtClean="0">
              <a:solidFill>
                <a:sysClr val="windowText" lastClr="000000"/>
              </a:solidFill>
              <a:latin typeface="Times New Roman" panose="02020603050405020304" pitchFamily="18" charset="0"/>
              <a:ea typeface="+mn-ea"/>
              <a:cs typeface="Times New Roman" panose="02020603050405020304" pitchFamily="18" charset="0"/>
            </a:rPr>
            <a:t> resected] + 0.37297 [if primary </a:t>
          </a:r>
          <a:r>
            <a:rPr lang="en-US" sz="1000" kern="1200" dirty="0" err="1" smtClean="0">
              <a:solidFill>
                <a:sysClr val="windowText" lastClr="000000"/>
              </a:solidFill>
              <a:latin typeface="Times New Roman" panose="02020603050405020304" pitchFamily="18" charset="0"/>
              <a:ea typeface="+mn-ea"/>
              <a:cs typeface="Times New Roman" panose="02020603050405020304" pitchFamily="18" charset="0"/>
            </a:rPr>
            <a:t>tumour</a:t>
          </a:r>
          <a:r>
            <a:rPr lang="en-US" sz="1000" kern="1200" dirty="0" smtClean="0">
              <a:solidFill>
                <a:sysClr val="windowText" lastClr="000000"/>
              </a:solidFill>
              <a:latin typeface="Times New Roman" panose="02020603050405020304" pitchFamily="18" charset="0"/>
              <a:ea typeface="+mn-ea"/>
              <a:cs typeface="Times New Roman" panose="02020603050405020304" pitchFamily="18" charset="0"/>
            </a:rPr>
            <a:t> is located in left side of colon or rectum] </a:t>
          </a:r>
          <a:r>
            <a:rPr lang="en-US" sz="1000" kern="1200" smtClean="0">
              <a:solidFill>
                <a:sysClr val="windowText" lastClr="000000"/>
              </a:solidFill>
              <a:latin typeface="Times New Roman" panose="02020603050405020304" pitchFamily="18" charset="0"/>
              <a:ea typeface="+mn-ea"/>
              <a:cs typeface="Times New Roman" panose="02020603050405020304" pitchFamily="18" charset="0"/>
            </a:rPr>
            <a:t>– 0.02174 </a:t>
          </a:r>
          <a:r>
            <a:rPr lang="en-US" sz="1000" kern="1200" dirty="0" smtClean="0">
              <a:solidFill>
                <a:sysClr val="windowText" lastClr="000000"/>
              </a:solidFill>
              <a:latin typeface="Times New Roman" panose="02020603050405020304" pitchFamily="18" charset="0"/>
              <a:ea typeface="+mn-ea"/>
              <a:cs typeface="Times New Roman" panose="02020603050405020304" pitchFamily="18" charset="0"/>
            </a:rPr>
            <a:t>* white blood cell count (*10</a:t>
          </a:r>
          <a:r>
            <a:rPr lang="en-US" sz="1000" kern="1200" baseline="30000" dirty="0" smtClean="0">
              <a:solidFill>
                <a:sysClr val="windowText" lastClr="000000"/>
              </a:solidFill>
              <a:latin typeface="Times New Roman" panose="02020603050405020304" pitchFamily="18" charset="0"/>
              <a:ea typeface="+mn-ea"/>
              <a:cs typeface="Times New Roman" panose="02020603050405020304" pitchFamily="18" charset="0"/>
            </a:rPr>
            <a:t>9</a:t>
          </a:r>
          <a:r>
            <a:rPr lang="en-US" sz="1000" kern="1200" dirty="0" smtClean="0">
              <a:solidFill>
                <a:sysClr val="windowText" lastClr="000000"/>
              </a:solidFill>
              <a:latin typeface="Times New Roman" panose="02020603050405020304" pitchFamily="18" charset="0"/>
              <a:ea typeface="+mn-ea"/>
              <a:cs typeface="Times New Roman" panose="02020603050405020304" pitchFamily="18" charset="0"/>
            </a:rPr>
            <a:t>/l) </a:t>
          </a:r>
          <a:r>
            <a:rPr lang="en-US" sz="1000" kern="1200" smtClean="0">
              <a:solidFill>
                <a:sysClr val="windowText" lastClr="000000"/>
              </a:solidFill>
              <a:latin typeface="Times New Roman" panose="02020603050405020304" pitchFamily="18" charset="0"/>
              <a:ea typeface="+mn-ea"/>
              <a:cs typeface="Times New Roman" panose="02020603050405020304" pitchFamily="18" charset="0"/>
            </a:rPr>
            <a:t>– 0.28208 </a:t>
          </a:r>
          <a:r>
            <a:rPr lang="en-US" sz="1000" kern="1200" dirty="0" smtClean="0">
              <a:solidFill>
                <a:sysClr val="windowText" lastClr="000000"/>
              </a:solidFill>
              <a:latin typeface="Times New Roman" panose="02020603050405020304" pitchFamily="18" charset="0"/>
              <a:ea typeface="+mn-ea"/>
              <a:cs typeface="Times New Roman" panose="02020603050405020304" pitchFamily="18" charset="0"/>
            </a:rPr>
            <a:t>* logarithm of alkaline phosphatase (U/l</a:t>
          </a:r>
          <a:r>
            <a:rPr lang="en-US" sz="1000" kern="1200" smtClean="0">
              <a:solidFill>
                <a:sysClr val="windowText" lastClr="000000"/>
              </a:solidFill>
              <a:latin typeface="Times New Roman" panose="02020603050405020304" pitchFamily="18" charset="0"/>
              <a:ea typeface="+mn-ea"/>
              <a:cs typeface="Times New Roman" panose="02020603050405020304" pitchFamily="18" charset="0"/>
            </a:rPr>
            <a:t>) + 0.06882 </a:t>
          </a:r>
          <a:r>
            <a:rPr lang="en-US" sz="1000" kern="1200" dirty="0" smtClean="0">
              <a:solidFill>
                <a:sysClr val="windowText" lastClr="000000"/>
              </a:solidFill>
              <a:latin typeface="Times New Roman" panose="02020603050405020304" pitchFamily="18" charset="0"/>
              <a:ea typeface="+mn-ea"/>
              <a:cs typeface="Times New Roman" panose="02020603050405020304" pitchFamily="18" charset="0"/>
            </a:rPr>
            <a:t>[if combination chemotherapy] </a:t>
          </a:r>
          <a:r>
            <a:rPr lang="en-US" sz="1000" kern="1200" smtClean="0">
              <a:solidFill>
                <a:sysClr val="windowText" lastClr="000000"/>
              </a:solidFill>
              <a:latin typeface="Times New Roman" panose="02020603050405020304" pitchFamily="18" charset="0"/>
              <a:ea typeface="+mn-ea"/>
              <a:cs typeface="Times New Roman" panose="02020603050405020304" pitchFamily="18" charset="0"/>
            </a:rPr>
            <a:t>+ 0.05633 </a:t>
          </a:r>
          <a:r>
            <a:rPr lang="en-US" sz="1000" kern="1200" dirty="0" smtClean="0">
              <a:solidFill>
                <a:sysClr val="windowText" lastClr="000000"/>
              </a:solidFill>
              <a:latin typeface="Times New Roman" panose="02020603050405020304" pitchFamily="18" charset="0"/>
              <a:ea typeface="+mn-ea"/>
              <a:cs typeface="Times New Roman" panose="02020603050405020304" pitchFamily="18" charset="0"/>
            </a:rPr>
            <a:t>* WHO performance status [if combination chemotherapy] </a:t>
          </a:r>
          <a:r>
            <a:rPr lang="en-US" sz="1000" kern="1200" smtClean="0">
              <a:solidFill>
                <a:sysClr val="windowText" lastClr="000000"/>
              </a:solidFill>
              <a:latin typeface="Times New Roman" panose="02020603050405020304" pitchFamily="18" charset="0"/>
              <a:ea typeface="+mn-ea"/>
              <a:cs typeface="Times New Roman" panose="02020603050405020304" pitchFamily="18" charset="0"/>
            </a:rPr>
            <a:t>+ 0.24296 </a:t>
          </a:r>
          <a:r>
            <a:rPr lang="en-US" sz="1000" kern="1200" dirty="0" smtClean="0">
              <a:solidFill>
                <a:sysClr val="windowText" lastClr="000000"/>
              </a:solidFill>
              <a:latin typeface="Times New Roman" panose="02020603050405020304" pitchFamily="18" charset="0"/>
              <a:ea typeface="+mn-ea"/>
              <a:cs typeface="Times New Roman" panose="02020603050405020304" pitchFamily="18" charset="0"/>
            </a:rPr>
            <a:t>[if synchronous disease and combination chemotherapy] </a:t>
          </a:r>
          <a:r>
            <a:rPr lang="en-US" sz="1000" kern="1200" smtClean="0">
              <a:solidFill>
                <a:sysClr val="windowText" lastClr="000000"/>
              </a:solidFill>
              <a:latin typeface="Times New Roman" panose="02020603050405020304" pitchFamily="18" charset="0"/>
              <a:ea typeface="+mn-ea"/>
              <a:cs typeface="Times New Roman" panose="02020603050405020304" pitchFamily="18" charset="0"/>
            </a:rPr>
            <a:t>– 0.18536 </a:t>
          </a:r>
          <a:r>
            <a:rPr lang="en-US" sz="1000" kern="1200" dirty="0" smtClean="0">
              <a:solidFill>
                <a:sysClr val="windowText" lastClr="000000"/>
              </a:solidFill>
              <a:latin typeface="Times New Roman" panose="02020603050405020304" pitchFamily="18" charset="0"/>
              <a:ea typeface="+mn-ea"/>
              <a:cs typeface="Times New Roman" panose="02020603050405020304" pitchFamily="18" charset="0"/>
            </a:rPr>
            <a:t>[if primary </a:t>
          </a:r>
          <a:r>
            <a:rPr lang="en-US" sz="1000" kern="1200" dirty="0" err="1" smtClean="0">
              <a:solidFill>
                <a:sysClr val="windowText" lastClr="000000"/>
              </a:solidFill>
              <a:latin typeface="Times New Roman" panose="02020603050405020304" pitchFamily="18" charset="0"/>
              <a:ea typeface="+mn-ea"/>
              <a:cs typeface="Times New Roman" panose="02020603050405020304" pitchFamily="18" charset="0"/>
            </a:rPr>
            <a:t>tumour</a:t>
          </a:r>
          <a:r>
            <a:rPr lang="en-US" sz="1000" kern="1200" dirty="0" smtClean="0">
              <a:solidFill>
                <a:sysClr val="windowText" lastClr="000000"/>
              </a:solidFill>
              <a:latin typeface="Times New Roman" panose="02020603050405020304" pitchFamily="18" charset="0"/>
              <a:ea typeface="+mn-ea"/>
              <a:cs typeface="Times New Roman" panose="02020603050405020304" pitchFamily="18" charset="0"/>
            </a:rPr>
            <a:t> is located in left side of colon or rectum and combination treatment]</a:t>
          </a:r>
          <a:endParaRPr lang="nl-NL" sz="1000" kern="1200" dirty="0">
            <a:solidFill>
              <a:sysClr val="windowText" lastClr="000000"/>
            </a:solidFill>
            <a:latin typeface="Times New Roman" panose="02020603050405020304" pitchFamily="18" charset="0"/>
            <a:ea typeface="+mn-ea"/>
            <a:cs typeface="Times New Roman" panose="02020603050405020304" pitchFamily="18" charset="0"/>
          </a:endParaRPr>
        </a:p>
      </dsp:txBody>
      <dsp:txXfrm>
        <a:off x="617130" y="1623164"/>
        <a:ext cx="4052113" cy="155184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6AA48-D7BD-4DB9-B9F1-2A84095BD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2429</Words>
  <Characters>13360</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J.J.M. Kwakman</dc:creator>
  <cp:keywords/>
  <cp:lastModifiedBy>J.J.M. Kwakman</cp:lastModifiedBy>
  <cp:revision>2</cp:revision>
  <dcterms:created xsi:type="dcterms:W3CDTF">2018-12-23T08:05:00Z</dcterms:created>
  <dcterms:modified xsi:type="dcterms:W3CDTF">2018-12-23T08:05:00Z</dcterms:modified>
</cp:coreProperties>
</file>