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utntstabell6frgstarkdekorfrg41"/>
        <w:tblpPr w:leftFromText="141" w:rightFromText="141" w:vertAnchor="page" w:horzAnchor="page" w:tblpX="1526" w:tblpY="4478"/>
        <w:tblW w:w="8330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851"/>
        <w:gridCol w:w="2551"/>
      </w:tblGrid>
      <w:tr w:rsidR="009A36C5" w:rsidRPr="00853117" w14:paraId="4AB088BC" w14:textId="77777777" w:rsidTr="00243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bottom w:val="single" w:sz="2" w:space="0" w:color="D9D9D9" w:themeColor="background1" w:themeShade="D9"/>
            </w:tcBorders>
          </w:tcPr>
          <w:p w14:paraId="4F18B687" w14:textId="3A4A9B06" w:rsidR="002464CF" w:rsidRPr="00853117" w:rsidRDefault="002464CF" w:rsidP="00B058F6">
            <w:pPr>
              <w:spacing w:line="48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/>
                <w:color w:val="auto"/>
                <w:sz w:val="20"/>
                <w:szCs w:val="20"/>
              </w:rPr>
              <w:t>Primary non-surgical treatment</w:t>
            </w:r>
          </w:p>
        </w:tc>
        <w:tc>
          <w:tcPr>
            <w:tcW w:w="567" w:type="dxa"/>
            <w:tcBorders>
              <w:bottom w:val="single" w:sz="2" w:space="0" w:color="D9D9D9" w:themeColor="background1" w:themeShade="D9"/>
            </w:tcBorders>
          </w:tcPr>
          <w:p w14:paraId="021F3BA7" w14:textId="0D7389BA" w:rsidR="002464CF" w:rsidRPr="00853117" w:rsidRDefault="002464CF" w:rsidP="00B058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</w:t>
            </w:r>
            <w:proofErr w:type="gramEnd"/>
          </w:p>
        </w:tc>
        <w:tc>
          <w:tcPr>
            <w:tcW w:w="851" w:type="dxa"/>
            <w:tcBorders>
              <w:bottom w:val="single" w:sz="2" w:space="0" w:color="D9D9D9" w:themeColor="background1" w:themeShade="D9"/>
            </w:tcBorders>
          </w:tcPr>
          <w:p w14:paraId="03402AA5" w14:textId="01CF6C1F" w:rsidR="002464CF" w:rsidRPr="00853117" w:rsidRDefault="002464CF" w:rsidP="00B058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2551" w:type="dxa"/>
            <w:tcBorders>
              <w:bottom w:val="single" w:sz="2" w:space="0" w:color="D9D9D9" w:themeColor="background1" w:themeShade="D9"/>
            </w:tcBorders>
          </w:tcPr>
          <w:p w14:paraId="4FB0BF87" w14:textId="173C4E27" w:rsidR="002464CF" w:rsidRPr="00853117" w:rsidRDefault="002464CF" w:rsidP="00B058F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Median </w:t>
            </w:r>
            <w:r w:rsidR="001F5B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overall </w:t>
            </w: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survival in months (95% CI)</w:t>
            </w:r>
          </w:p>
        </w:tc>
      </w:tr>
      <w:tr w:rsidR="00B058F6" w:rsidRPr="00853117" w14:paraId="0D1217F0" w14:textId="77777777" w:rsidTr="00243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55C9ED14" w14:textId="3B49E158" w:rsidR="00747A6B" w:rsidRPr="00B058F6" w:rsidRDefault="00747A6B" w:rsidP="00B058F6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B058F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Radiochemotherapy</w:t>
            </w:r>
            <w:proofErr w:type="spellEnd"/>
            <w:r w:rsidRPr="00B058F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ITT</w:t>
            </w:r>
          </w:p>
        </w:tc>
        <w:tc>
          <w:tcPr>
            <w:tcW w:w="567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3E990D61" w14:textId="3A622377" w:rsidR="00747A6B" w:rsidRPr="006061ED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61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10A31869" w14:textId="60523FAE" w:rsidR="00747A6B" w:rsidRPr="006061ED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61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9327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F2F2F2" w:themeFill="background1" w:themeFillShade="F2"/>
          </w:tcPr>
          <w:p w14:paraId="5BEC2346" w14:textId="64A2BA2B" w:rsidR="00747A6B" w:rsidRPr="006061ED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6061ED">
              <w:rPr>
                <w:rFonts w:ascii="Times New Roman" w:hAnsi="Times New Roman" w:cs="Times New Roman"/>
                <w:color w:val="auto"/>
                <w:sz w:val="20"/>
              </w:rPr>
              <w:t>15.0 (13.0-17.2)</w:t>
            </w:r>
          </w:p>
        </w:tc>
      </w:tr>
      <w:tr w:rsidR="00747A6B" w:rsidRPr="00853117" w14:paraId="4BA96E3B" w14:textId="77777777" w:rsidTr="00243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2" w:space="0" w:color="D9D9D9" w:themeColor="background1" w:themeShade="D9"/>
            </w:tcBorders>
          </w:tcPr>
          <w:p w14:paraId="2500CF43" w14:textId="03393A76" w:rsidR="00747A6B" w:rsidRPr="00747A6B" w:rsidRDefault="00747A6B" w:rsidP="00B058F6">
            <w:pPr>
              <w:spacing w:line="480" w:lineRule="auto"/>
              <w:ind w:firstLine="14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Completed </w:t>
            </w:r>
            <w:proofErr w:type="spellStart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radiochemotherapy</w:t>
            </w:r>
            <w:proofErr w:type="spellEnd"/>
          </w:p>
        </w:tc>
        <w:tc>
          <w:tcPr>
            <w:tcW w:w="567" w:type="dxa"/>
            <w:tcBorders>
              <w:top w:val="single" w:sz="2" w:space="0" w:color="D9D9D9" w:themeColor="background1" w:themeShade="D9"/>
            </w:tcBorders>
          </w:tcPr>
          <w:p w14:paraId="2B1C16A8" w14:textId="7AE99DD5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42 </w:t>
            </w:r>
          </w:p>
        </w:tc>
        <w:tc>
          <w:tcPr>
            <w:tcW w:w="851" w:type="dxa"/>
            <w:tcBorders>
              <w:top w:val="single" w:sz="2" w:space="0" w:color="D9D9D9" w:themeColor="background1" w:themeShade="D9"/>
            </w:tcBorders>
          </w:tcPr>
          <w:p w14:paraId="6F9DF249" w14:textId="4E61DF43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2551" w:type="dxa"/>
            <w:tcBorders>
              <w:top w:val="single" w:sz="2" w:space="0" w:color="D9D9D9" w:themeColor="background1" w:themeShade="D9"/>
            </w:tcBorders>
          </w:tcPr>
          <w:p w14:paraId="1964D0C2" w14:textId="74AC364E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</w:rPr>
              <w:t>29.6 (24.3-35.0)</w:t>
            </w:r>
          </w:p>
        </w:tc>
      </w:tr>
      <w:tr w:rsidR="00747A6B" w:rsidRPr="00853117" w14:paraId="59F61473" w14:textId="77777777" w:rsidTr="00B05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F2F2F2" w:themeFill="background1" w:themeFillShade="F2"/>
          </w:tcPr>
          <w:p w14:paraId="70E28710" w14:textId="507B55CB" w:rsidR="00747A6B" w:rsidRPr="00747A6B" w:rsidRDefault="00747A6B" w:rsidP="00B058F6">
            <w:pPr>
              <w:spacing w:line="480" w:lineRule="auto"/>
              <w:ind w:firstLine="14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Interrupted </w:t>
            </w:r>
            <w:proofErr w:type="spellStart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radiochemotherapy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14:paraId="3D6462EE" w14:textId="7CEE12FD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F341083" w14:textId="1BBEDA25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9327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1B6A5971" w14:textId="138F0287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10.6 (8.9-12.3)</w:t>
            </w:r>
          </w:p>
        </w:tc>
      </w:tr>
      <w:tr w:rsidR="00747A6B" w:rsidRPr="00853117" w14:paraId="4AFB28B8" w14:textId="77777777" w:rsidTr="00B058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3ED5FC29" w14:textId="56D01D18" w:rsidR="00747A6B" w:rsidRPr="00747A6B" w:rsidRDefault="00747A6B" w:rsidP="00B058F6">
            <w:pPr>
              <w:spacing w:line="480" w:lineRule="auto"/>
              <w:ind w:right="-383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Inclusion in study with experimental drug</w:t>
            </w: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2377BC0" w14:textId="08F8F378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14:paraId="159339D6" w14:textId="03C377E4" w:rsidR="00747A6B" w:rsidRPr="00853117" w:rsidRDefault="00932776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14:paraId="4C1E8C5A" w14:textId="2806F6F6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15.8 (14.3-17.3)</w:t>
            </w:r>
          </w:p>
        </w:tc>
      </w:tr>
      <w:tr w:rsidR="00747A6B" w:rsidRPr="00853117" w14:paraId="5479153D" w14:textId="77777777" w:rsidTr="00B05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F2F2F2" w:themeFill="background1" w:themeFillShade="F2"/>
          </w:tcPr>
          <w:p w14:paraId="4064B3B0" w14:textId="74C43512" w:rsidR="00747A6B" w:rsidRPr="00747A6B" w:rsidRDefault="00747A6B" w:rsidP="00B058F6">
            <w:pPr>
              <w:spacing w:line="480" w:lineRule="auto"/>
              <w:ind w:left="142" w:hanging="14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Radiotherapy as </w:t>
            </w:r>
            <w:proofErr w:type="spellStart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monotherapy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14:paraId="724E4BDD" w14:textId="6C4F8361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0C150D3" w14:textId="7CDB0D03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327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3468C16" w14:textId="2A8818B4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7.2 (3.7-10.7)</w:t>
            </w:r>
          </w:p>
        </w:tc>
      </w:tr>
      <w:tr w:rsidR="00747A6B" w:rsidRPr="00853117" w14:paraId="72C8AE0C" w14:textId="77777777" w:rsidTr="00B058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17595FCC" w14:textId="6C2BCE04" w:rsidR="00747A6B" w:rsidRPr="00747A6B" w:rsidRDefault="00747A6B" w:rsidP="00B058F6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Temozolomide</w:t>
            </w:r>
            <w:proofErr w:type="spellEnd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monotherapy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ABCD147" w14:textId="0E774C24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18B5652A" w14:textId="7A8F2C37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14:paraId="01F6C3F8" w14:textId="08A8D4D8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7.6 (4.4-10.8)</w:t>
            </w:r>
          </w:p>
        </w:tc>
      </w:tr>
      <w:tr w:rsidR="00747A6B" w:rsidRPr="00853117" w14:paraId="473D0FCF" w14:textId="77777777" w:rsidTr="00B058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F2F2F2" w:themeFill="background1" w:themeFillShade="F2"/>
          </w:tcPr>
          <w:p w14:paraId="6BDA99AA" w14:textId="6E6929FA" w:rsidR="00747A6B" w:rsidRPr="00747A6B" w:rsidRDefault="00747A6B" w:rsidP="00B058F6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Other postoperative treatment</w:t>
            </w:r>
            <w:r w:rsidRPr="00747A6B">
              <w:rPr>
                <w:b w:val="0"/>
                <w:color w:val="auto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3C45FF4D" w14:textId="0B95F7E8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64600037" w14:textId="61A02B32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F5369D" w14:textId="180940B8" w:rsidR="00747A6B" w:rsidRPr="00853117" w:rsidRDefault="00747A6B" w:rsidP="00B058F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10.3 (6.4-14.1)</w:t>
            </w:r>
          </w:p>
        </w:tc>
      </w:tr>
      <w:tr w:rsidR="00747A6B" w:rsidRPr="00853117" w14:paraId="2FD2BC59" w14:textId="77777777" w:rsidTr="00B058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8C85456" w14:textId="18DAA0A2" w:rsidR="00747A6B" w:rsidRPr="00747A6B" w:rsidRDefault="00747A6B" w:rsidP="00B058F6">
            <w:pPr>
              <w:spacing w:line="480" w:lineRule="auto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747A6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Best supportive care</w:t>
            </w:r>
          </w:p>
        </w:tc>
        <w:tc>
          <w:tcPr>
            <w:tcW w:w="567" w:type="dxa"/>
          </w:tcPr>
          <w:p w14:paraId="08581ED8" w14:textId="7B2DAEAF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14:paraId="37A3EF67" w14:textId="58A608AF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14:paraId="27241F55" w14:textId="742D5AB6" w:rsidR="00747A6B" w:rsidRPr="00853117" w:rsidRDefault="00747A6B" w:rsidP="00B058F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8531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1.6 (0.6-2.7) </w:t>
            </w:r>
          </w:p>
        </w:tc>
      </w:tr>
    </w:tbl>
    <w:p w14:paraId="19635D86" w14:textId="243BDAD9" w:rsidR="00D13021" w:rsidRPr="001424D7" w:rsidRDefault="007A73D4">
      <w:pPr>
        <w:rPr>
          <w:b/>
        </w:rPr>
      </w:pPr>
      <w:r>
        <w:rPr>
          <w:b/>
        </w:rPr>
        <w:t xml:space="preserve">Table </w:t>
      </w:r>
      <w:r w:rsidR="00CC7FB3">
        <w:rPr>
          <w:b/>
        </w:rPr>
        <w:t>S</w:t>
      </w:r>
      <w:r w:rsidR="00792176">
        <w:rPr>
          <w:b/>
        </w:rPr>
        <w:t>3</w:t>
      </w:r>
      <w:bookmarkStart w:id="0" w:name="_GoBack"/>
      <w:bookmarkEnd w:id="0"/>
    </w:p>
    <w:p w14:paraId="4E552104" w14:textId="77777777" w:rsidR="00E11A73" w:rsidRDefault="00E11A73"/>
    <w:p w14:paraId="1B0E0507" w14:textId="6715DC07" w:rsidR="00E11A73" w:rsidRDefault="00E11A73" w:rsidP="00B058F6">
      <w:pPr>
        <w:spacing w:line="480" w:lineRule="auto"/>
      </w:pPr>
      <w:r>
        <w:t xml:space="preserve">Primary non-surgical treatment </w:t>
      </w:r>
      <w:r w:rsidR="00B64C39">
        <w:t xml:space="preserve">for </w:t>
      </w:r>
      <w:r w:rsidR="00B64C39" w:rsidRPr="00C01F78">
        <w:t>244</w:t>
      </w:r>
      <w:r w:rsidRPr="00C01F78">
        <w:t xml:space="preserve"> patients</w:t>
      </w:r>
      <w:r>
        <w:t xml:space="preserve"> </w:t>
      </w:r>
      <w:r w:rsidR="00C1184A">
        <w:t>diagnosed with</w:t>
      </w:r>
      <w:r w:rsidR="007D2282">
        <w:t xml:space="preserve"> </w:t>
      </w:r>
      <w:proofErr w:type="spellStart"/>
      <w:r w:rsidR="00897241">
        <w:t>GBM</w:t>
      </w:r>
      <w:proofErr w:type="spellEnd"/>
      <w:r w:rsidR="00897241">
        <w:t xml:space="preserve"> </w:t>
      </w:r>
      <w:r w:rsidR="00C1184A">
        <w:t xml:space="preserve">during the years </w:t>
      </w:r>
      <w:r w:rsidR="007D2282">
        <w:t>2005-2015</w:t>
      </w:r>
      <w:r w:rsidR="008618C5">
        <w:t xml:space="preserve"> </w:t>
      </w:r>
      <w:r w:rsidR="00207892">
        <w:t>(</w:t>
      </w:r>
      <w:r w:rsidR="00C1184A">
        <w:t xml:space="preserve">the </w:t>
      </w:r>
      <w:proofErr w:type="spellStart"/>
      <w:r w:rsidR="006E74A8">
        <w:t>biobank</w:t>
      </w:r>
      <w:proofErr w:type="spellEnd"/>
      <w:r w:rsidR="00207892">
        <w:t xml:space="preserve"> cohort)</w:t>
      </w:r>
      <w:r w:rsidR="007D2282">
        <w:t>.</w:t>
      </w:r>
      <w:r w:rsidR="00807932">
        <w:t xml:space="preserve"> </w:t>
      </w:r>
      <w:proofErr w:type="spellStart"/>
      <w:r w:rsidR="00807932">
        <w:t>Radiochemotherapy</w:t>
      </w:r>
      <w:proofErr w:type="spellEnd"/>
      <w:r w:rsidR="00807932">
        <w:t xml:space="preserve"> ITT (intention to treat) includes all patients initiating </w:t>
      </w:r>
      <w:proofErr w:type="spellStart"/>
      <w:r w:rsidR="00807932">
        <w:t>radiochemotherapy</w:t>
      </w:r>
      <w:proofErr w:type="spellEnd"/>
      <w:r w:rsidR="00807932">
        <w:t xml:space="preserve"> (radiotherapy to 60 </w:t>
      </w:r>
      <w:proofErr w:type="spellStart"/>
      <w:r w:rsidR="00807932">
        <w:t>Gy</w:t>
      </w:r>
      <w:proofErr w:type="spellEnd"/>
      <w:r w:rsidR="00807932">
        <w:t xml:space="preserve"> in 30 fractions with concomitant </w:t>
      </w:r>
      <w:proofErr w:type="spellStart"/>
      <w:r w:rsidR="00807932">
        <w:t>temozolomide</w:t>
      </w:r>
      <w:proofErr w:type="spellEnd"/>
      <w:r w:rsidR="00807932">
        <w:t xml:space="preserve"> and six adjuvant cycles of </w:t>
      </w:r>
      <w:proofErr w:type="spellStart"/>
      <w:r w:rsidR="00807932">
        <w:t>temozolomide</w:t>
      </w:r>
      <w:proofErr w:type="spellEnd"/>
      <w:r w:rsidR="00807932">
        <w:t>).</w:t>
      </w:r>
    </w:p>
    <w:p w14:paraId="37A9CB6D" w14:textId="77777777" w:rsidR="00E11A73" w:rsidRDefault="00E11A73"/>
    <w:p w14:paraId="07EDF555" w14:textId="77777777" w:rsidR="00E11A73" w:rsidRDefault="00E11A73"/>
    <w:p w14:paraId="74E1ECC1" w14:textId="77777777" w:rsidR="00B752A9" w:rsidRDefault="00B752A9"/>
    <w:p w14:paraId="7D131B42" w14:textId="77777777" w:rsidR="000F481C" w:rsidRDefault="000F481C"/>
    <w:p w14:paraId="43C3B089" w14:textId="77777777" w:rsidR="00853117" w:rsidRDefault="00853117" w:rsidP="00FC2871">
      <w:pPr>
        <w:rPr>
          <w:vertAlign w:val="superscript"/>
        </w:rPr>
      </w:pPr>
    </w:p>
    <w:p w14:paraId="4558471E" w14:textId="77777777" w:rsidR="00853117" w:rsidRDefault="00853117" w:rsidP="00FC2871">
      <w:pPr>
        <w:rPr>
          <w:vertAlign w:val="superscript"/>
        </w:rPr>
      </w:pPr>
    </w:p>
    <w:p w14:paraId="66AD3173" w14:textId="77777777" w:rsidR="00853117" w:rsidRDefault="00853117" w:rsidP="00FC2871">
      <w:pPr>
        <w:rPr>
          <w:vertAlign w:val="superscript"/>
        </w:rPr>
      </w:pPr>
    </w:p>
    <w:p w14:paraId="1D4EE3AB" w14:textId="77777777" w:rsidR="00853117" w:rsidRDefault="00853117" w:rsidP="00FC2871">
      <w:pPr>
        <w:rPr>
          <w:vertAlign w:val="superscript"/>
        </w:rPr>
      </w:pPr>
    </w:p>
    <w:p w14:paraId="7680D742" w14:textId="77777777" w:rsidR="00853117" w:rsidRDefault="00853117" w:rsidP="00FC2871">
      <w:pPr>
        <w:rPr>
          <w:vertAlign w:val="superscript"/>
        </w:rPr>
      </w:pPr>
    </w:p>
    <w:p w14:paraId="47CEEB66" w14:textId="77777777" w:rsidR="00853117" w:rsidRDefault="00853117" w:rsidP="00FC2871">
      <w:pPr>
        <w:rPr>
          <w:vertAlign w:val="superscript"/>
        </w:rPr>
      </w:pPr>
    </w:p>
    <w:p w14:paraId="68297B99" w14:textId="77777777" w:rsidR="00853117" w:rsidRDefault="00853117" w:rsidP="00FC2871">
      <w:pPr>
        <w:rPr>
          <w:vertAlign w:val="superscript"/>
        </w:rPr>
      </w:pPr>
    </w:p>
    <w:p w14:paraId="1A778ABB" w14:textId="77777777" w:rsidR="00853117" w:rsidRDefault="00853117" w:rsidP="00FC2871">
      <w:pPr>
        <w:rPr>
          <w:vertAlign w:val="superscript"/>
        </w:rPr>
      </w:pPr>
    </w:p>
    <w:p w14:paraId="00A9795D" w14:textId="77777777" w:rsidR="00853117" w:rsidRDefault="00853117" w:rsidP="00FC2871">
      <w:pPr>
        <w:rPr>
          <w:vertAlign w:val="superscript"/>
        </w:rPr>
      </w:pPr>
    </w:p>
    <w:p w14:paraId="00A18BFA" w14:textId="77777777" w:rsidR="00853117" w:rsidRDefault="00853117" w:rsidP="00FC2871">
      <w:pPr>
        <w:rPr>
          <w:vertAlign w:val="superscript"/>
        </w:rPr>
      </w:pPr>
    </w:p>
    <w:p w14:paraId="0F20CB34" w14:textId="77777777" w:rsidR="00B058F6" w:rsidRDefault="00B058F6" w:rsidP="00FC2871">
      <w:pPr>
        <w:rPr>
          <w:vertAlign w:val="superscript"/>
        </w:rPr>
      </w:pPr>
    </w:p>
    <w:p w14:paraId="78203592" w14:textId="77777777" w:rsidR="00B058F6" w:rsidRDefault="00B058F6" w:rsidP="00FC2871">
      <w:pPr>
        <w:rPr>
          <w:vertAlign w:val="superscript"/>
        </w:rPr>
      </w:pPr>
    </w:p>
    <w:p w14:paraId="06B41E46" w14:textId="77777777" w:rsidR="00B058F6" w:rsidRDefault="00B058F6" w:rsidP="00FC2871">
      <w:pPr>
        <w:rPr>
          <w:vertAlign w:val="superscript"/>
        </w:rPr>
      </w:pPr>
    </w:p>
    <w:p w14:paraId="46FA1D33" w14:textId="77777777" w:rsidR="00B058F6" w:rsidRDefault="00B058F6" w:rsidP="00FC2871">
      <w:pPr>
        <w:rPr>
          <w:vertAlign w:val="superscript"/>
        </w:rPr>
      </w:pPr>
    </w:p>
    <w:p w14:paraId="043F0918" w14:textId="77777777" w:rsidR="00B058F6" w:rsidRDefault="00B058F6" w:rsidP="00FC2871">
      <w:pPr>
        <w:rPr>
          <w:vertAlign w:val="superscript"/>
        </w:rPr>
      </w:pPr>
    </w:p>
    <w:p w14:paraId="6F5A755A" w14:textId="78F79059" w:rsidR="00FC2871" w:rsidRDefault="00B74DBD" w:rsidP="00B058F6">
      <w:pPr>
        <w:spacing w:line="480" w:lineRule="auto"/>
      </w:pPr>
      <w:r>
        <w:rPr>
          <w:vertAlign w:val="superscript"/>
        </w:rPr>
        <w:t xml:space="preserve">1 </w:t>
      </w:r>
      <w:r w:rsidR="00FC2871">
        <w:t xml:space="preserve">Studies with experimental drug </w:t>
      </w:r>
      <w:r w:rsidR="00E3429A">
        <w:t>includes</w:t>
      </w:r>
      <w:r w:rsidR="000F481C">
        <w:t xml:space="preserve"> 16 patients in tw</w:t>
      </w:r>
      <w:r w:rsidR="00855DED">
        <w:t xml:space="preserve">o studies with addition of </w:t>
      </w:r>
      <w:proofErr w:type="spellStart"/>
      <w:r w:rsidR="00855DED">
        <w:t>bevaciz</w:t>
      </w:r>
      <w:r w:rsidR="000F481C">
        <w:t>umab</w:t>
      </w:r>
      <w:proofErr w:type="spellEnd"/>
      <w:r w:rsidR="000F481C">
        <w:t xml:space="preserve"> to </w:t>
      </w:r>
      <w:proofErr w:type="spellStart"/>
      <w:r w:rsidR="00C1184A">
        <w:t>radiochemotherapy</w:t>
      </w:r>
      <w:proofErr w:type="spellEnd"/>
      <w:r w:rsidR="000F481C">
        <w:t xml:space="preserve"> and three patients in a s</w:t>
      </w:r>
      <w:r w:rsidR="00855DED">
        <w:t xml:space="preserve">tudy evaluating addition of </w:t>
      </w:r>
      <w:proofErr w:type="spellStart"/>
      <w:r w:rsidR="00855DED">
        <w:t>valg</w:t>
      </w:r>
      <w:r w:rsidR="000F481C">
        <w:t>anciclovir</w:t>
      </w:r>
      <w:proofErr w:type="spellEnd"/>
      <w:r w:rsidR="000F481C">
        <w:t xml:space="preserve"> to </w:t>
      </w:r>
      <w:proofErr w:type="spellStart"/>
      <w:r w:rsidR="000F481C">
        <w:t>radiochemotherapy</w:t>
      </w:r>
      <w:proofErr w:type="spellEnd"/>
      <w:r w:rsidR="000F481C">
        <w:t>.</w:t>
      </w:r>
    </w:p>
    <w:p w14:paraId="225670BF" w14:textId="77777777" w:rsidR="004F3F74" w:rsidRDefault="004F3F74" w:rsidP="00B058F6">
      <w:pPr>
        <w:spacing w:line="480" w:lineRule="auto"/>
      </w:pPr>
    </w:p>
    <w:p w14:paraId="49F589EC" w14:textId="4CA6D89A" w:rsidR="00C80050" w:rsidRPr="00C80050" w:rsidRDefault="004F3F74" w:rsidP="00B058F6">
      <w:pPr>
        <w:spacing w:line="480" w:lineRule="auto"/>
      </w:pPr>
      <w:r>
        <w:rPr>
          <w:vertAlign w:val="superscript"/>
        </w:rPr>
        <w:t>2</w:t>
      </w:r>
      <w:r>
        <w:t>Other postoperative treatment includes</w:t>
      </w:r>
      <w:r w:rsidRPr="000F481C">
        <w:t xml:space="preserve"> 11 patients treated in a study evaluating </w:t>
      </w:r>
      <w:proofErr w:type="spellStart"/>
      <w:r w:rsidRPr="000F481C">
        <w:t>neoadjuvant</w:t>
      </w:r>
      <w:proofErr w:type="spellEnd"/>
      <w:r w:rsidRPr="000F481C">
        <w:t xml:space="preserve"> </w:t>
      </w:r>
      <w:proofErr w:type="spellStart"/>
      <w:r w:rsidRPr="000F481C">
        <w:t>temozolomi</w:t>
      </w:r>
      <w:r>
        <w:t>de</w:t>
      </w:r>
      <w:proofErr w:type="spellEnd"/>
      <w:r>
        <w:t xml:space="preserve"> before radiotherapy, two patients not included in the trial had </w:t>
      </w:r>
      <w:proofErr w:type="spellStart"/>
      <w:r>
        <w:t>temozolomide</w:t>
      </w:r>
      <w:proofErr w:type="spellEnd"/>
      <w:r>
        <w:t xml:space="preserve"> before initiation of radiotherapy, five patients had </w:t>
      </w:r>
      <w:proofErr w:type="spellStart"/>
      <w:r>
        <w:t>hypofractionated</w:t>
      </w:r>
      <w:proofErr w:type="spellEnd"/>
      <w:r>
        <w:t xml:space="preserve"> radiotherapy followed by adjuvant </w:t>
      </w:r>
      <w:proofErr w:type="spellStart"/>
      <w:r>
        <w:t>temozolomide</w:t>
      </w:r>
      <w:proofErr w:type="spellEnd"/>
      <w:r>
        <w:t xml:space="preserve">, three patients had </w:t>
      </w:r>
      <w:proofErr w:type="spellStart"/>
      <w:r>
        <w:t>bevacizumab</w:t>
      </w:r>
      <w:proofErr w:type="spellEnd"/>
      <w:r>
        <w:t xml:space="preserve"> included in the primary postoperative treatment and one patient with secondary </w:t>
      </w:r>
      <w:proofErr w:type="spellStart"/>
      <w:r>
        <w:t>GBM</w:t>
      </w:r>
      <w:proofErr w:type="spellEnd"/>
      <w:r>
        <w:t xml:space="preserve"> and earlier radiotherapy had postoperative </w:t>
      </w:r>
      <w:proofErr w:type="spellStart"/>
      <w:r>
        <w:t>temozolomide</w:t>
      </w:r>
      <w:proofErr w:type="spellEnd"/>
      <w:r>
        <w:t xml:space="preserve"> at </w:t>
      </w:r>
      <w:proofErr w:type="spellStart"/>
      <w:r>
        <w:t>GBM</w:t>
      </w:r>
      <w:proofErr w:type="spellEnd"/>
      <w:r>
        <w:t xml:space="preserve"> diagnosis.</w:t>
      </w:r>
    </w:p>
    <w:sectPr w:rsidR="00C80050" w:rsidRPr="00C80050" w:rsidSect="00E75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25686"/>
    <w:multiLevelType w:val="hybridMultilevel"/>
    <w:tmpl w:val="A58A1F66"/>
    <w:lvl w:ilvl="0" w:tplc="C7BCF402">
      <w:start w:val="56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trackRevisions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A7"/>
    <w:rsid w:val="00005A38"/>
    <w:rsid w:val="00034E31"/>
    <w:rsid w:val="000436A7"/>
    <w:rsid w:val="000E437A"/>
    <w:rsid w:val="000F481C"/>
    <w:rsid w:val="000F5778"/>
    <w:rsid w:val="0011044D"/>
    <w:rsid w:val="001124DB"/>
    <w:rsid w:val="00115428"/>
    <w:rsid w:val="001337FA"/>
    <w:rsid w:val="001424D7"/>
    <w:rsid w:val="0015537C"/>
    <w:rsid w:val="00160DB1"/>
    <w:rsid w:val="00165DB3"/>
    <w:rsid w:val="00194026"/>
    <w:rsid w:val="001A4CC5"/>
    <w:rsid w:val="001B4B68"/>
    <w:rsid w:val="001C137E"/>
    <w:rsid w:val="001F5BAC"/>
    <w:rsid w:val="00207892"/>
    <w:rsid w:val="00243265"/>
    <w:rsid w:val="00244EB2"/>
    <w:rsid w:val="002464CF"/>
    <w:rsid w:val="002514D5"/>
    <w:rsid w:val="002714DE"/>
    <w:rsid w:val="00274581"/>
    <w:rsid w:val="00293131"/>
    <w:rsid w:val="00301DDE"/>
    <w:rsid w:val="003051AC"/>
    <w:rsid w:val="003514A7"/>
    <w:rsid w:val="00355852"/>
    <w:rsid w:val="003A3F80"/>
    <w:rsid w:val="003A418F"/>
    <w:rsid w:val="003F3E8E"/>
    <w:rsid w:val="0040110B"/>
    <w:rsid w:val="00487E03"/>
    <w:rsid w:val="004A00BE"/>
    <w:rsid w:val="004F3F74"/>
    <w:rsid w:val="00501B99"/>
    <w:rsid w:val="00523D50"/>
    <w:rsid w:val="00541F3A"/>
    <w:rsid w:val="005651E5"/>
    <w:rsid w:val="0056790E"/>
    <w:rsid w:val="00596EBE"/>
    <w:rsid w:val="005B011D"/>
    <w:rsid w:val="005F3006"/>
    <w:rsid w:val="006061ED"/>
    <w:rsid w:val="00612A98"/>
    <w:rsid w:val="006139DB"/>
    <w:rsid w:val="00614EE3"/>
    <w:rsid w:val="0062328F"/>
    <w:rsid w:val="00674956"/>
    <w:rsid w:val="006B5DFE"/>
    <w:rsid w:val="006E74A8"/>
    <w:rsid w:val="00734D2E"/>
    <w:rsid w:val="00747A6B"/>
    <w:rsid w:val="007554A7"/>
    <w:rsid w:val="00765047"/>
    <w:rsid w:val="0077651C"/>
    <w:rsid w:val="00792176"/>
    <w:rsid w:val="007A73D4"/>
    <w:rsid w:val="007B5066"/>
    <w:rsid w:val="007D2282"/>
    <w:rsid w:val="00807932"/>
    <w:rsid w:val="00840981"/>
    <w:rsid w:val="00853117"/>
    <w:rsid w:val="00855DED"/>
    <w:rsid w:val="008618C5"/>
    <w:rsid w:val="00883E79"/>
    <w:rsid w:val="00897241"/>
    <w:rsid w:val="008B28DF"/>
    <w:rsid w:val="008B35E7"/>
    <w:rsid w:val="008B5A42"/>
    <w:rsid w:val="008C05D4"/>
    <w:rsid w:val="008C6C26"/>
    <w:rsid w:val="008F0AE4"/>
    <w:rsid w:val="008F6F43"/>
    <w:rsid w:val="00922358"/>
    <w:rsid w:val="00932776"/>
    <w:rsid w:val="009665F4"/>
    <w:rsid w:val="0098575A"/>
    <w:rsid w:val="009A36C5"/>
    <w:rsid w:val="009B72FB"/>
    <w:rsid w:val="009D1C84"/>
    <w:rsid w:val="009F6CB6"/>
    <w:rsid w:val="00A0132F"/>
    <w:rsid w:val="00A30068"/>
    <w:rsid w:val="00A31953"/>
    <w:rsid w:val="00AB3D67"/>
    <w:rsid w:val="00AC0E16"/>
    <w:rsid w:val="00AC2698"/>
    <w:rsid w:val="00AC7F4F"/>
    <w:rsid w:val="00AD3A07"/>
    <w:rsid w:val="00AD5CFD"/>
    <w:rsid w:val="00AF5405"/>
    <w:rsid w:val="00AF6295"/>
    <w:rsid w:val="00B058F6"/>
    <w:rsid w:val="00B07290"/>
    <w:rsid w:val="00B21F83"/>
    <w:rsid w:val="00B279C0"/>
    <w:rsid w:val="00B32FB7"/>
    <w:rsid w:val="00B355C4"/>
    <w:rsid w:val="00B40D8D"/>
    <w:rsid w:val="00B61CE4"/>
    <w:rsid w:val="00B6370F"/>
    <w:rsid w:val="00B64C39"/>
    <w:rsid w:val="00B74DBD"/>
    <w:rsid w:val="00B752A9"/>
    <w:rsid w:val="00B75E82"/>
    <w:rsid w:val="00B921C6"/>
    <w:rsid w:val="00B94BF6"/>
    <w:rsid w:val="00BE33DE"/>
    <w:rsid w:val="00BF23FD"/>
    <w:rsid w:val="00C01F78"/>
    <w:rsid w:val="00C052CF"/>
    <w:rsid w:val="00C1184A"/>
    <w:rsid w:val="00C3133E"/>
    <w:rsid w:val="00C4734F"/>
    <w:rsid w:val="00C80050"/>
    <w:rsid w:val="00CC7FB3"/>
    <w:rsid w:val="00CE65E9"/>
    <w:rsid w:val="00D115C1"/>
    <w:rsid w:val="00D13021"/>
    <w:rsid w:val="00DD697A"/>
    <w:rsid w:val="00E10E0F"/>
    <w:rsid w:val="00E11A73"/>
    <w:rsid w:val="00E3429A"/>
    <w:rsid w:val="00E46B37"/>
    <w:rsid w:val="00E75D94"/>
    <w:rsid w:val="00E8559B"/>
    <w:rsid w:val="00E86099"/>
    <w:rsid w:val="00E9687D"/>
    <w:rsid w:val="00EB6B5B"/>
    <w:rsid w:val="00F150B4"/>
    <w:rsid w:val="00F20364"/>
    <w:rsid w:val="00F34A11"/>
    <w:rsid w:val="00F425AE"/>
    <w:rsid w:val="00F86884"/>
    <w:rsid w:val="00F90172"/>
    <w:rsid w:val="00FC2871"/>
    <w:rsid w:val="00FF226C"/>
    <w:rsid w:val="00FF6AB6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753B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A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4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C3133E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C3133E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C3133E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3133E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3133E"/>
    <w:rPr>
      <w:b/>
      <w:bCs/>
      <w:sz w:val="20"/>
      <w:szCs w:val="20"/>
      <w:lang w:val="en-GB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C3133E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C3133E"/>
    <w:rPr>
      <w:rFonts w:ascii="Lucida Grande" w:hAnsi="Lucida Grande" w:cs="Lucida Grande"/>
      <w:sz w:val="18"/>
      <w:szCs w:val="18"/>
      <w:lang w:val="en-GB"/>
    </w:rPr>
  </w:style>
  <w:style w:type="paragraph" w:styleId="Liststycke">
    <w:name w:val="List Paragraph"/>
    <w:basedOn w:val="Normal"/>
    <w:uiPriority w:val="34"/>
    <w:qFormat/>
    <w:rsid w:val="00B921C6"/>
    <w:pPr>
      <w:ind w:left="720"/>
      <w:contextualSpacing/>
    </w:pPr>
  </w:style>
  <w:style w:type="paragraph" w:styleId="Revision">
    <w:name w:val="Revision"/>
    <w:hidden/>
    <w:uiPriority w:val="99"/>
    <w:semiHidden/>
    <w:rsid w:val="00165DB3"/>
    <w:rPr>
      <w:lang w:val="en-GB"/>
    </w:rPr>
  </w:style>
  <w:style w:type="table" w:customStyle="1" w:styleId="Rutntstabell2dekorfrg41">
    <w:name w:val="Rutnätstabell 2 – dekorfärg 41"/>
    <w:basedOn w:val="Normaltabell"/>
    <w:uiPriority w:val="47"/>
    <w:rsid w:val="00487E03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6frgstarkdekorfrg41">
    <w:name w:val="Rutnätstabell 6 färgstark – dekorfärg 41"/>
    <w:basedOn w:val="Normaltabell"/>
    <w:uiPriority w:val="51"/>
    <w:rsid w:val="00487E0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A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04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C3133E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C3133E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C3133E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C3133E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C3133E"/>
    <w:rPr>
      <w:b/>
      <w:bCs/>
      <w:sz w:val="20"/>
      <w:szCs w:val="20"/>
      <w:lang w:val="en-GB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C3133E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C3133E"/>
    <w:rPr>
      <w:rFonts w:ascii="Lucida Grande" w:hAnsi="Lucida Grande" w:cs="Lucida Grande"/>
      <w:sz w:val="18"/>
      <w:szCs w:val="18"/>
      <w:lang w:val="en-GB"/>
    </w:rPr>
  </w:style>
  <w:style w:type="paragraph" w:styleId="Liststycke">
    <w:name w:val="List Paragraph"/>
    <w:basedOn w:val="Normal"/>
    <w:uiPriority w:val="34"/>
    <w:qFormat/>
    <w:rsid w:val="00B921C6"/>
    <w:pPr>
      <w:ind w:left="720"/>
      <w:contextualSpacing/>
    </w:pPr>
  </w:style>
  <w:style w:type="paragraph" w:styleId="Revision">
    <w:name w:val="Revision"/>
    <w:hidden/>
    <w:uiPriority w:val="99"/>
    <w:semiHidden/>
    <w:rsid w:val="00165DB3"/>
    <w:rPr>
      <w:lang w:val="en-GB"/>
    </w:rPr>
  </w:style>
  <w:style w:type="table" w:customStyle="1" w:styleId="Rutntstabell2dekorfrg41">
    <w:name w:val="Rutnätstabell 2 – dekorfärg 41"/>
    <w:basedOn w:val="Normaltabell"/>
    <w:uiPriority w:val="47"/>
    <w:rsid w:val="00487E03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6frgstarkdekorfrg41">
    <w:name w:val="Rutnätstabell 6 färgstark – dekorfärg 41"/>
    <w:basedOn w:val="Normaltabell"/>
    <w:uiPriority w:val="51"/>
    <w:rsid w:val="00487E0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C36D9C-D6DF-BE44-B9DC-4A28EB96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244</Words>
  <Characters>1299</Characters>
  <Application>Microsoft Macintosh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Eriksson</dc:creator>
  <cp:keywords/>
  <dc:description/>
  <cp:lastModifiedBy>Maria Eriksson</cp:lastModifiedBy>
  <cp:revision>17</cp:revision>
  <dcterms:created xsi:type="dcterms:W3CDTF">2018-08-28T09:24:00Z</dcterms:created>
  <dcterms:modified xsi:type="dcterms:W3CDTF">2019-01-09T09:27:00Z</dcterms:modified>
</cp:coreProperties>
</file>