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1EF57" w14:textId="77777777" w:rsidR="00F72E17" w:rsidRPr="00591562" w:rsidRDefault="00F72E17" w:rsidP="00F72E17">
      <w:pPr>
        <w:spacing w:after="0" w:line="480" w:lineRule="auto"/>
        <w:rPr>
          <w:rFonts w:ascii="Times New Roman" w:eastAsia="Times" w:hAnsi="Times New Roman"/>
          <w:b/>
          <w:bCs/>
          <w:sz w:val="24"/>
          <w:szCs w:val="24"/>
          <w:lang w:val="en-US"/>
        </w:rPr>
      </w:pPr>
      <w:r w:rsidRPr="00591562">
        <w:rPr>
          <w:rFonts w:ascii="Times New Roman" w:eastAsia="Times" w:hAnsi="Times New Roman"/>
          <w:b/>
          <w:bCs/>
          <w:sz w:val="32"/>
          <w:szCs w:val="32"/>
          <w:lang w:val="en-US"/>
        </w:rPr>
        <w:t>Supplementary data</w:t>
      </w:r>
      <w:r w:rsidR="00591562" w:rsidRPr="00591562">
        <w:rPr>
          <w:rFonts w:ascii="Times New Roman" w:eastAsia="Times" w:hAnsi="Times New Roman"/>
          <w:b/>
          <w:bCs/>
          <w:sz w:val="32"/>
          <w:szCs w:val="32"/>
          <w:lang w:val="en-US"/>
        </w:rPr>
        <w:br/>
      </w:r>
      <w:r w:rsidR="00591562">
        <w:rPr>
          <w:rFonts w:ascii="Times New Roman" w:eastAsia="Times" w:hAnsi="Times New Roman"/>
          <w:b/>
          <w:bCs/>
          <w:sz w:val="24"/>
          <w:szCs w:val="24"/>
          <w:lang w:val="en-US"/>
        </w:rPr>
        <w:br/>
      </w:r>
      <w:r w:rsidR="00591562" w:rsidRPr="00B12DBC">
        <w:rPr>
          <w:rFonts w:ascii="Times New Roman" w:eastAsia="Times" w:hAnsi="Times New Roman"/>
          <w:b/>
          <w:bCs/>
          <w:sz w:val="24"/>
          <w:szCs w:val="24"/>
          <w:lang w:val="en-US"/>
        </w:rPr>
        <w:t xml:space="preserve">Supplementary table 1. </w:t>
      </w:r>
      <w:r w:rsidR="00591562" w:rsidRPr="0093714D">
        <w:rPr>
          <w:rFonts w:ascii="Times New Roman" w:eastAsia="Times" w:hAnsi="Times New Roman"/>
          <w:bCs/>
          <w:sz w:val="24"/>
          <w:szCs w:val="24"/>
          <w:lang w:val="en-US"/>
        </w:rPr>
        <w:t>Full search strategy</w:t>
      </w:r>
      <w:r w:rsidR="00591562" w:rsidRPr="00B12DBC">
        <w:rPr>
          <w:rFonts w:ascii="Times New Roman" w:eastAsia="Times" w:hAnsi="Times New Roman"/>
          <w:b/>
          <w:bCs/>
          <w:sz w:val="24"/>
          <w:szCs w:val="24"/>
          <w:lang w:val="en-US"/>
        </w:rPr>
        <w:t xml:space="preserve"> </w:t>
      </w:r>
    </w:p>
    <w:tbl>
      <w:tblPr>
        <w:tblW w:w="9436" w:type="dxa"/>
        <w:tblInd w:w="55" w:type="dxa"/>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480"/>
        <w:gridCol w:w="8956"/>
      </w:tblGrid>
      <w:tr w:rsidR="00F72E17" w:rsidRPr="0093714D" w14:paraId="0C3C72F4" w14:textId="77777777" w:rsidTr="004530F1">
        <w:trPr>
          <w:trHeight w:val="255"/>
        </w:trPr>
        <w:tc>
          <w:tcPr>
            <w:tcW w:w="480" w:type="dxa"/>
            <w:tcBorders>
              <w:bottom w:val="single" w:sz="4" w:space="0" w:color="auto"/>
            </w:tcBorders>
            <w:shd w:val="clear" w:color="auto" w:fill="auto"/>
            <w:noWrap/>
            <w:vAlign w:val="bottom"/>
          </w:tcPr>
          <w:p w14:paraId="36F7A43D" w14:textId="77777777" w:rsidR="00F72E17" w:rsidRPr="0093714D" w:rsidRDefault="00F72E17" w:rsidP="004530F1">
            <w:pPr>
              <w:spacing w:before="240" w:line="480" w:lineRule="auto"/>
              <w:rPr>
                <w:rFonts w:ascii="Times New Roman" w:hAnsi="Times New Roman"/>
                <w:lang w:val="en-US"/>
              </w:rPr>
            </w:pPr>
            <w:r w:rsidRPr="0093714D">
              <w:rPr>
                <w:rFonts w:ascii="Times New Roman" w:hAnsi="Times New Roman"/>
                <w:lang w:val="en-US"/>
              </w:rPr>
              <w:t>ID</w:t>
            </w:r>
          </w:p>
        </w:tc>
        <w:tc>
          <w:tcPr>
            <w:tcW w:w="8956" w:type="dxa"/>
            <w:tcBorders>
              <w:bottom w:val="single" w:sz="4" w:space="0" w:color="auto"/>
            </w:tcBorders>
            <w:shd w:val="clear" w:color="auto" w:fill="auto"/>
            <w:noWrap/>
            <w:vAlign w:val="bottom"/>
          </w:tcPr>
          <w:p w14:paraId="55648483" w14:textId="77777777" w:rsidR="00F72E17" w:rsidRPr="0093714D" w:rsidRDefault="00F72E17" w:rsidP="004530F1">
            <w:pPr>
              <w:spacing w:before="240" w:line="480" w:lineRule="auto"/>
              <w:rPr>
                <w:rFonts w:ascii="Times New Roman" w:hAnsi="Times New Roman"/>
                <w:lang w:val="en-US"/>
              </w:rPr>
            </w:pPr>
            <w:r w:rsidRPr="0093714D">
              <w:rPr>
                <w:rFonts w:ascii="Times New Roman" w:hAnsi="Times New Roman"/>
                <w:lang w:val="en-US"/>
              </w:rPr>
              <w:t>Search</w:t>
            </w:r>
          </w:p>
        </w:tc>
      </w:tr>
      <w:tr w:rsidR="00F72E17" w:rsidRPr="001A6F97" w14:paraId="65161247" w14:textId="77777777" w:rsidTr="004530F1">
        <w:trPr>
          <w:trHeight w:val="255"/>
        </w:trPr>
        <w:tc>
          <w:tcPr>
            <w:tcW w:w="480" w:type="dxa"/>
            <w:tcBorders>
              <w:top w:val="single" w:sz="4" w:space="0" w:color="auto"/>
              <w:bottom w:val="nil"/>
            </w:tcBorders>
            <w:shd w:val="clear" w:color="auto" w:fill="auto"/>
            <w:noWrap/>
            <w:vAlign w:val="bottom"/>
          </w:tcPr>
          <w:p w14:paraId="0612BA8F" w14:textId="77777777" w:rsidR="00F72E17" w:rsidRPr="0093714D" w:rsidRDefault="00F72E17" w:rsidP="004530F1">
            <w:pPr>
              <w:spacing w:before="240" w:line="480" w:lineRule="auto"/>
              <w:rPr>
                <w:rFonts w:ascii="Times New Roman" w:hAnsi="Times New Roman"/>
                <w:lang w:val="en-US"/>
              </w:rPr>
            </w:pPr>
            <w:r w:rsidRPr="0093714D">
              <w:rPr>
                <w:rFonts w:ascii="Times New Roman" w:hAnsi="Times New Roman"/>
                <w:lang w:val="en-US"/>
              </w:rPr>
              <w:t>#1</w:t>
            </w:r>
          </w:p>
        </w:tc>
        <w:tc>
          <w:tcPr>
            <w:tcW w:w="8956" w:type="dxa"/>
            <w:tcBorders>
              <w:top w:val="single" w:sz="4" w:space="0" w:color="auto"/>
              <w:bottom w:val="nil"/>
            </w:tcBorders>
            <w:shd w:val="clear" w:color="auto" w:fill="auto"/>
            <w:noWrap/>
            <w:vAlign w:val="bottom"/>
          </w:tcPr>
          <w:p w14:paraId="178BB11B"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w:t>
            </w:r>
            <w:proofErr w:type="spellStart"/>
            <w:r w:rsidRPr="00B12DBC">
              <w:rPr>
                <w:rFonts w:ascii="Times New Roman" w:hAnsi="Times New Roman"/>
                <w:lang w:val="en-GB"/>
              </w:rPr>
              <w:t>Esophageal</w:t>
            </w:r>
            <w:proofErr w:type="spellEnd"/>
            <w:r w:rsidRPr="00B12DBC">
              <w:rPr>
                <w:rFonts w:ascii="Times New Roman" w:hAnsi="Times New Roman"/>
                <w:lang w:val="en-GB"/>
              </w:rPr>
              <w:t xml:space="preserve"> Neoplasms] explode all trees</w:t>
            </w:r>
          </w:p>
        </w:tc>
      </w:tr>
      <w:tr w:rsidR="00F72E17" w:rsidRPr="001A6F97" w14:paraId="1D389140" w14:textId="77777777" w:rsidTr="004530F1">
        <w:trPr>
          <w:trHeight w:val="255"/>
        </w:trPr>
        <w:tc>
          <w:tcPr>
            <w:tcW w:w="480" w:type="dxa"/>
            <w:tcBorders>
              <w:top w:val="nil"/>
            </w:tcBorders>
            <w:shd w:val="clear" w:color="auto" w:fill="auto"/>
            <w:noWrap/>
            <w:vAlign w:val="bottom"/>
          </w:tcPr>
          <w:p w14:paraId="1AC813D9" w14:textId="77777777" w:rsidR="00F72E17" w:rsidRPr="0093714D" w:rsidRDefault="00F72E17" w:rsidP="004530F1">
            <w:pPr>
              <w:spacing w:before="240" w:line="480" w:lineRule="auto"/>
              <w:rPr>
                <w:rFonts w:ascii="Times New Roman" w:hAnsi="Times New Roman"/>
                <w:lang w:val="en-US"/>
              </w:rPr>
            </w:pPr>
            <w:r w:rsidRPr="0093714D">
              <w:rPr>
                <w:rFonts w:ascii="Times New Roman" w:hAnsi="Times New Roman"/>
                <w:lang w:val="en-US"/>
              </w:rPr>
              <w:t>#2</w:t>
            </w:r>
          </w:p>
        </w:tc>
        <w:tc>
          <w:tcPr>
            <w:tcW w:w="8956" w:type="dxa"/>
            <w:tcBorders>
              <w:top w:val="nil"/>
            </w:tcBorders>
            <w:shd w:val="clear" w:color="auto" w:fill="auto"/>
            <w:noWrap/>
            <w:vAlign w:val="bottom"/>
          </w:tcPr>
          <w:p w14:paraId="08AE2E72"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[Stomach Neoplasms] explode all trees</w:t>
            </w:r>
          </w:p>
        </w:tc>
      </w:tr>
      <w:tr w:rsidR="00F72E17" w:rsidRPr="001A6F97" w14:paraId="795E97BA" w14:textId="77777777" w:rsidTr="004530F1">
        <w:trPr>
          <w:trHeight w:val="255"/>
        </w:trPr>
        <w:tc>
          <w:tcPr>
            <w:tcW w:w="480" w:type="dxa"/>
            <w:shd w:val="clear" w:color="auto" w:fill="auto"/>
            <w:noWrap/>
            <w:vAlign w:val="bottom"/>
          </w:tcPr>
          <w:p w14:paraId="1E2902D1"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#3</w:t>
            </w:r>
          </w:p>
        </w:tc>
        <w:tc>
          <w:tcPr>
            <w:tcW w:w="8956" w:type="dxa"/>
            <w:shd w:val="clear" w:color="auto" w:fill="auto"/>
            <w:noWrap/>
            <w:vAlign w:val="bottom"/>
          </w:tcPr>
          <w:p w14:paraId="265DD91B" w14:textId="77777777" w:rsidR="00F72E17" w:rsidRPr="00B12DBC" w:rsidRDefault="00F72E17" w:rsidP="004530F1">
            <w:pPr>
              <w:spacing w:before="240" w:line="480" w:lineRule="auto"/>
              <w:rPr>
                <w:rFonts w:ascii="Times New Roman" w:hAnsi="Times New Roman"/>
                <w:lang w:val="en-GB"/>
              </w:rPr>
            </w:pPr>
            <w:r w:rsidRPr="00B12DBC">
              <w:rPr>
                <w:rFonts w:ascii="Times New Roman" w:hAnsi="Times New Roman"/>
                <w:lang w:val="en-GB"/>
              </w:rPr>
              <w:t>((</w:t>
            </w:r>
            <w:proofErr w:type="spellStart"/>
            <w:r w:rsidRPr="00B12DBC">
              <w:rPr>
                <w:rFonts w:ascii="Times New Roman" w:hAnsi="Times New Roman"/>
                <w:lang w:val="en-GB"/>
              </w:rPr>
              <w:t>esophag</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oesophag</w:t>
            </w:r>
            <w:proofErr w:type="spellEnd"/>
            <w:r w:rsidRPr="00B12DBC">
              <w:rPr>
                <w:rFonts w:ascii="Times New Roman" w:hAnsi="Times New Roman"/>
                <w:lang w:val="en-GB"/>
              </w:rPr>
              <w:t xml:space="preserve">* or stomach or gastric or </w:t>
            </w:r>
            <w:proofErr w:type="spellStart"/>
            <w:r w:rsidRPr="00B12DBC">
              <w:rPr>
                <w:rFonts w:ascii="Times New Roman" w:hAnsi="Times New Roman"/>
                <w:lang w:val="en-GB"/>
              </w:rPr>
              <w:t>gastroesophag</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gastrooesophag</w:t>
            </w:r>
            <w:proofErr w:type="spellEnd"/>
            <w:r w:rsidRPr="00B12DBC">
              <w:rPr>
                <w:rFonts w:ascii="Times New Roman" w:hAnsi="Times New Roman"/>
                <w:lang w:val="en-GB"/>
              </w:rPr>
              <w:t>*) and (</w:t>
            </w:r>
            <w:proofErr w:type="spellStart"/>
            <w:r w:rsidRPr="00B12DBC">
              <w:rPr>
                <w:rFonts w:ascii="Times New Roman" w:hAnsi="Times New Roman"/>
                <w:lang w:val="en-GB"/>
              </w:rPr>
              <w:t>neoplas</w:t>
            </w:r>
            <w:proofErr w:type="spellEnd"/>
            <w:r w:rsidRPr="00B12DBC">
              <w:rPr>
                <w:rFonts w:ascii="Times New Roman" w:hAnsi="Times New Roman"/>
                <w:lang w:val="en-GB"/>
              </w:rPr>
              <w:t xml:space="preserve">* or cancer* or </w:t>
            </w:r>
            <w:proofErr w:type="spellStart"/>
            <w:r w:rsidRPr="00B12DBC">
              <w:rPr>
                <w:rFonts w:ascii="Times New Roman" w:hAnsi="Times New Roman"/>
                <w:lang w:val="en-GB"/>
              </w:rPr>
              <w:t>carcino</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adenocarcino</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tumor</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tumors</w:t>
            </w:r>
            <w:proofErr w:type="spellEnd"/>
            <w:r w:rsidRPr="00B12DBC">
              <w:rPr>
                <w:rFonts w:ascii="Times New Roman" w:hAnsi="Times New Roman"/>
                <w:lang w:val="en-GB"/>
              </w:rPr>
              <w:t xml:space="preserve"> or tumour or tumours or </w:t>
            </w:r>
            <w:proofErr w:type="spellStart"/>
            <w:r w:rsidRPr="00B12DBC">
              <w:rPr>
                <w:rFonts w:ascii="Times New Roman" w:hAnsi="Times New Roman"/>
                <w:lang w:val="en-GB"/>
              </w:rPr>
              <w:t>malig</w:t>
            </w:r>
            <w:proofErr w:type="spellEnd"/>
            <w:r w:rsidRPr="00B12DBC">
              <w:rPr>
                <w:rFonts w:ascii="Times New Roman" w:hAnsi="Times New Roman"/>
                <w:lang w:val="en-GB"/>
              </w:rPr>
              <w:t>*)</w:t>
            </w:r>
            <w:proofErr w:type="gramStart"/>
            <w:r w:rsidRPr="00B12DBC">
              <w:rPr>
                <w:rFonts w:ascii="Times New Roman" w:hAnsi="Times New Roman"/>
                <w:lang w:val="en-GB"/>
              </w:rPr>
              <w:t>):</w:t>
            </w:r>
            <w:proofErr w:type="spellStart"/>
            <w:r w:rsidRPr="00B12DBC">
              <w:rPr>
                <w:rFonts w:ascii="Times New Roman" w:hAnsi="Times New Roman"/>
                <w:lang w:val="en-GB"/>
              </w:rPr>
              <w:t>ti</w:t>
            </w:r>
            <w:proofErr w:type="gramEnd"/>
            <w:r w:rsidRPr="00B12DBC">
              <w:rPr>
                <w:rFonts w:ascii="Times New Roman" w:hAnsi="Times New Roman"/>
                <w:lang w:val="en-GB"/>
              </w:rPr>
              <w:t>,ab,kw</w:t>
            </w:r>
            <w:proofErr w:type="spellEnd"/>
            <w:r w:rsidRPr="00B12DBC">
              <w:rPr>
                <w:rFonts w:ascii="Times New Roman" w:hAnsi="Times New Roman"/>
                <w:lang w:val="en-GB"/>
              </w:rPr>
              <w:t xml:space="preserve"> </w:t>
            </w:r>
          </w:p>
        </w:tc>
      </w:tr>
      <w:tr w:rsidR="00F72E17" w:rsidRPr="00B12DBC" w14:paraId="54C0925A" w14:textId="77777777" w:rsidTr="004530F1">
        <w:trPr>
          <w:trHeight w:val="255"/>
        </w:trPr>
        <w:tc>
          <w:tcPr>
            <w:tcW w:w="480" w:type="dxa"/>
            <w:shd w:val="clear" w:color="auto" w:fill="auto"/>
            <w:noWrap/>
            <w:vAlign w:val="bottom"/>
          </w:tcPr>
          <w:p w14:paraId="3CEFC03E"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#4</w:t>
            </w:r>
          </w:p>
        </w:tc>
        <w:tc>
          <w:tcPr>
            <w:tcW w:w="8956" w:type="dxa"/>
            <w:shd w:val="clear" w:color="auto" w:fill="auto"/>
            <w:noWrap/>
            <w:vAlign w:val="bottom"/>
          </w:tcPr>
          <w:p w14:paraId="54AEE629"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 xml:space="preserve">#1 or #2 or #3 </w:t>
            </w:r>
          </w:p>
        </w:tc>
      </w:tr>
      <w:tr w:rsidR="00F72E17" w:rsidRPr="001A6F97" w14:paraId="32325A7B" w14:textId="77777777" w:rsidTr="004530F1">
        <w:trPr>
          <w:trHeight w:val="255"/>
        </w:trPr>
        <w:tc>
          <w:tcPr>
            <w:tcW w:w="480" w:type="dxa"/>
            <w:shd w:val="clear" w:color="auto" w:fill="auto"/>
            <w:noWrap/>
            <w:vAlign w:val="bottom"/>
          </w:tcPr>
          <w:p w14:paraId="7ABB7044"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#5</w:t>
            </w:r>
          </w:p>
        </w:tc>
        <w:tc>
          <w:tcPr>
            <w:tcW w:w="8956" w:type="dxa"/>
            <w:shd w:val="clear" w:color="auto" w:fill="auto"/>
            <w:noWrap/>
            <w:vAlign w:val="bottom"/>
          </w:tcPr>
          <w:p w14:paraId="03CEDE49"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[Palliative Care] explode all trees</w:t>
            </w:r>
          </w:p>
        </w:tc>
      </w:tr>
      <w:tr w:rsidR="00F72E17" w:rsidRPr="001A6F97" w14:paraId="61B9D230" w14:textId="77777777" w:rsidTr="004530F1">
        <w:trPr>
          <w:trHeight w:val="255"/>
        </w:trPr>
        <w:tc>
          <w:tcPr>
            <w:tcW w:w="480" w:type="dxa"/>
            <w:shd w:val="clear" w:color="auto" w:fill="auto"/>
            <w:noWrap/>
            <w:vAlign w:val="bottom"/>
          </w:tcPr>
          <w:p w14:paraId="50C5F0DB"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#6</w:t>
            </w:r>
          </w:p>
        </w:tc>
        <w:tc>
          <w:tcPr>
            <w:tcW w:w="8956" w:type="dxa"/>
            <w:shd w:val="clear" w:color="auto" w:fill="auto"/>
            <w:noWrap/>
            <w:vAlign w:val="bottom"/>
          </w:tcPr>
          <w:p w14:paraId="54B5E909"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[Neoplasm Metastasis] explode all trees</w:t>
            </w:r>
          </w:p>
        </w:tc>
      </w:tr>
      <w:tr w:rsidR="00F72E17" w:rsidRPr="001A6F97" w14:paraId="5A2B9421" w14:textId="77777777" w:rsidTr="004530F1">
        <w:trPr>
          <w:trHeight w:val="255"/>
        </w:trPr>
        <w:tc>
          <w:tcPr>
            <w:tcW w:w="480" w:type="dxa"/>
            <w:shd w:val="clear" w:color="auto" w:fill="auto"/>
            <w:noWrap/>
            <w:vAlign w:val="bottom"/>
          </w:tcPr>
          <w:p w14:paraId="30C16610"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#7</w:t>
            </w:r>
          </w:p>
        </w:tc>
        <w:tc>
          <w:tcPr>
            <w:tcW w:w="8956" w:type="dxa"/>
            <w:shd w:val="clear" w:color="auto" w:fill="auto"/>
            <w:noWrap/>
            <w:vAlign w:val="bottom"/>
          </w:tcPr>
          <w:p w14:paraId="06753980" w14:textId="77777777" w:rsidR="00F72E17" w:rsidRPr="00B12DBC" w:rsidRDefault="00F72E17" w:rsidP="004530F1">
            <w:pPr>
              <w:spacing w:before="240" w:line="480" w:lineRule="auto"/>
              <w:rPr>
                <w:rFonts w:ascii="Times New Roman" w:hAnsi="Times New Roman"/>
                <w:lang w:val="en-GB"/>
              </w:rPr>
            </w:pPr>
            <w:r w:rsidRPr="00B12DBC">
              <w:rPr>
                <w:rFonts w:ascii="Times New Roman" w:hAnsi="Times New Roman"/>
                <w:lang w:val="en-GB"/>
              </w:rPr>
              <w:t>(</w:t>
            </w:r>
            <w:proofErr w:type="spellStart"/>
            <w:r w:rsidRPr="00B12DBC">
              <w:rPr>
                <w:rFonts w:ascii="Times New Roman" w:hAnsi="Times New Roman"/>
                <w:lang w:val="en-GB"/>
              </w:rPr>
              <w:t>palliat</w:t>
            </w:r>
            <w:proofErr w:type="spellEnd"/>
            <w:r w:rsidRPr="00B12DBC">
              <w:rPr>
                <w:rFonts w:ascii="Times New Roman" w:hAnsi="Times New Roman"/>
                <w:lang w:val="en-GB"/>
              </w:rPr>
              <w:t xml:space="preserve">* or advanced or </w:t>
            </w:r>
            <w:proofErr w:type="spellStart"/>
            <w:r w:rsidRPr="00B12DBC">
              <w:rPr>
                <w:rFonts w:ascii="Times New Roman" w:hAnsi="Times New Roman"/>
                <w:lang w:val="en-GB"/>
              </w:rPr>
              <w:t>metasta</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irresect</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unresect</w:t>
            </w:r>
            <w:proofErr w:type="spellEnd"/>
            <w:r w:rsidRPr="00B12DBC">
              <w:rPr>
                <w:rFonts w:ascii="Times New Roman" w:hAnsi="Times New Roman"/>
                <w:lang w:val="en-GB"/>
              </w:rPr>
              <w:t xml:space="preserve">* or un-resect* or non-resect* or </w:t>
            </w:r>
            <w:proofErr w:type="spellStart"/>
            <w:r w:rsidRPr="00B12DBC">
              <w:rPr>
                <w:rFonts w:ascii="Times New Roman" w:hAnsi="Times New Roman"/>
                <w:lang w:val="en-GB"/>
              </w:rPr>
              <w:t>nonresect</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inopera</w:t>
            </w:r>
            <w:proofErr w:type="spellEnd"/>
            <w:r w:rsidRPr="00B12DBC">
              <w:rPr>
                <w:rFonts w:ascii="Times New Roman" w:hAnsi="Times New Roman"/>
                <w:lang w:val="en-GB"/>
              </w:rPr>
              <w:t xml:space="preserve">* or non-opera* or nonopera* or </w:t>
            </w:r>
            <w:proofErr w:type="spellStart"/>
            <w:r w:rsidRPr="00B12DBC">
              <w:rPr>
                <w:rFonts w:ascii="Times New Roman" w:hAnsi="Times New Roman"/>
                <w:lang w:val="en-GB"/>
              </w:rPr>
              <w:t>unopera</w:t>
            </w:r>
            <w:proofErr w:type="spellEnd"/>
            <w:r w:rsidRPr="00B12DBC">
              <w:rPr>
                <w:rFonts w:ascii="Times New Roman" w:hAnsi="Times New Roman"/>
                <w:lang w:val="en-GB"/>
              </w:rPr>
              <w:t>*</w:t>
            </w:r>
            <w:proofErr w:type="gramStart"/>
            <w:r w:rsidRPr="00B12DBC">
              <w:rPr>
                <w:rFonts w:ascii="Times New Roman" w:hAnsi="Times New Roman"/>
                <w:lang w:val="en-GB"/>
              </w:rPr>
              <w:t>):</w:t>
            </w:r>
            <w:proofErr w:type="spellStart"/>
            <w:r w:rsidRPr="00B12DBC">
              <w:rPr>
                <w:rFonts w:ascii="Times New Roman" w:hAnsi="Times New Roman"/>
                <w:lang w:val="en-GB"/>
              </w:rPr>
              <w:t>ti</w:t>
            </w:r>
            <w:proofErr w:type="gramEnd"/>
            <w:r w:rsidRPr="00B12DBC">
              <w:rPr>
                <w:rFonts w:ascii="Times New Roman" w:hAnsi="Times New Roman"/>
                <w:lang w:val="en-GB"/>
              </w:rPr>
              <w:t>,ab,kw</w:t>
            </w:r>
            <w:proofErr w:type="spellEnd"/>
            <w:r w:rsidRPr="00B12DBC">
              <w:rPr>
                <w:rFonts w:ascii="Times New Roman" w:hAnsi="Times New Roman"/>
                <w:lang w:val="en-GB"/>
              </w:rPr>
              <w:t xml:space="preserve"> </w:t>
            </w:r>
          </w:p>
        </w:tc>
      </w:tr>
      <w:tr w:rsidR="00F72E17" w:rsidRPr="00B12DBC" w14:paraId="51B496C7" w14:textId="77777777" w:rsidTr="004530F1">
        <w:trPr>
          <w:trHeight w:val="255"/>
        </w:trPr>
        <w:tc>
          <w:tcPr>
            <w:tcW w:w="480" w:type="dxa"/>
            <w:shd w:val="clear" w:color="auto" w:fill="auto"/>
            <w:noWrap/>
            <w:vAlign w:val="bottom"/>
          </w:tcPr>
          <w:p w14:paraId="54DE8B68"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#8</w:t>
            </w:r>
          </w:p>
        </w:tc>
        <w:tc>
          <w:tcPr>
            <w:tcW w:w="8956" w:type="dxa"/>
            <w:shd w:val="clear" w:color="auto" w:fill="auto"/>
            <w:noWrap/>
            <w:vAlign w:val="bottom"/>
          </w:tcPr>
          <w:p w14:paraId="7896F151"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 xml:space="preserve">#5 or #6 or #7 </w:t>
            </w:r>
          </w:p>
        </w:tc>
      </w:tr>
      <w:tr w:rsidR="00F72E17" w:rsidRPr="001A6F97" w14:paraId="241A3493" w14:textId="77777777" w:rsidTr="004530F1">
        <w:trPr>
          <w:trHeight w:val="255"/>
        </w:trPr>
        <w:tc>
          <w:tcPr>
            <w:tcW w:w="480" w:type="dxa"/>
            <w:shd w:val="clear" w:color="auto" w:fill="auto"/>
            <w:noWrap/>
            <w:vAlign w:val="bottom"/>
          </w:tcPr>
          <w:p w14:paraId="18092EEE"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#9</w:t>
            </w:r>
          </w:p>
        </w:tc>
        <w:tc>
          <w:tcPr>
            <w:tcW w:w="8956" w:type="dxa"/>
            <w:shd w:val="clear" w:color="auto" w:fill="auto"/>
            <w:noWrap/>
            <w:vAlign w:val="bottom"/>
          </w:tcPr>
          <w:p w14:paraId="335A23BF"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[Drug Therapy, Combination] explode all trees</w:t>
            </w:r>
          </w:p>
        </w:tc>
      </w:tr>
      <w:tr w:rsidR="00F72E17" w:rsidRPr="001A6F97" w14:paraId="3775A87F" w14:textId="77777777" w:rsidTr="00C9460E">
        <w:trPr>
          <w:trHeight w:val="255"/>
        </w:trPr>
        <w:tc>
          <w:tcPr>
            <w:tcW w:w="480" w:type="dxa"/>
            <w:tcBorders>
              <w:bottom w:val="single" w:sz="4" w:space="0" w:color="auto"/>
            </w:tcBorders>
            <w:shd w:val="clear" w:color="auto" w:fill="auto"/>
            <w:noWrap/>
            <w:vAlign w:val="bottom"/>
          </w:tcPr>
          <w:p w14:paraId="1C5FAB3E"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#10</w:t>
            </w:r>
          </w:p>
        </w:tc>
        <w:tc>
          <w:tcPr>
            <w:tcW w:w="8956" w:type="dxa"/>
            <w:tcBorders>
              <w:bottom w:val="single" w:sz="4" w:space="0" w:color="auto"/>
            </w:tcBorders>
            <w:shd w:val="clear" w:color="auto" w:fill="auto"/>
            <w:noWrap/>
            <w:vAlign w:val="bottom"/>
          </w:tcPr>
          <w:p w14:paraId="1D393A13"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[Drug Combinations] explode all trees</w:t>
            </w:r>
          </w:p>
        </w:tc>
      </w:tr>
      <w:tr w:rsidR="00BA62DB" w:rsidRPr="00BA62DB" w14:paraId="05D0DA0F" w14:textId="77777777" w:rsidTr="00C9460E">
        <w:trPr>
          <w:trHeight w:val="255"/>
        </w:trPr>
        <w:tc>
          <w:tcPr>
            <w:tcW w:w="480" w:type="dxa"/>
            <w:tcBorders>
              <w:top w:val="single" w:sz="4" w:space="0" w:color="auto"/>
              <w:bottom w:val="single" w:sz="4" w:space="0" w:color="auto"/>
            </w:tcBorders>
            <w:shd w:val="clear" w:color="auto" w:fill="auto"/>
            <w:noWrap/>
            <w:vAlign w:val="bottom"/>
          </w:tcPr>
          <w:p w14:paraId="15E7DA8E" w14:textId="74E4CCCA" w:rsidR="00BA62DB" w:rsidRPr="00DB6B18" w:rsidRDefault="00BA62DB" w:rsidP="004530F1">
            <w:pPr>
              <w:spacing w:before="240" w:line="480" w:lineRule="auto"/>
              <w:rPr>
                <w:rFonts w:ascii="Times New Roman" w:hAnsi="Times New Roman"/>
                <w:lang w:val="en-US"/>
              </w:rPr>
            </w:pPr>
          </w:p>
        </w:tc>
        <w:tc>
          <w:tcPr>
            <w:tcW w:w="8956" w:type="dxa"/>
            <w:tcBorders>
              <w:top w:val="single" w:sz="4" w:space="0" w:color="auto"/>
              <w:bottom w:val="single" w:sz="4" w:space="0" w:color="auto"/>
            </w:tcBorders>
            <w:shd w:val="clear" w:color="auto" w:fill="auto"/>
            <w:noWrap/>
            <w:vAlign w:val="bottom"/>
          </w:tcPr>
          <w:p w14:paraId="7AB82784" w14:textId="4E6B35FE" w:rsidR="00BA62DB" w:rsidRPr="00B12DBC" w:rsidRDefault="00BA62DB" w:rsidP="004530F1">
            <w:pPr>
              <w:spacing w:before="240" w:line="480" w:lineRule="auto"/>
              <w:rPr>
                <w:rFonts w:ascii="Times New Roman" w:hAnsi="Times New Roman"/>
                <w:lang w:val="en-GB"/>
              </w:rPr>
            </w:pPr>
            <w:r>
              <w:rPr>
                <w:rFonts w:ascii="Times New Roman" w:hAnsi="Times New Roman"/>
                <w:lang w:val="en-GB"/>
              </w:rPr>
              <w:t>Supplementary table 1 (continued)</w:t>
            </w:r>
          </w:p>
        </w:tc>
      </w:tr>
      <w:tr w:rsidR="00F72E17" w:rsidRPr="001A6F97" w14:paraId="226666DF" w14:textId="77777777" w:rsidTr="00C9460E">
        <w:trPr>
          <w:trHeight w:val="255"/>
        </w:trPr>
        <w:tc>
          <w:tcPr>
            <w:tcW w:w="480" w:type="dxa"/>
            <w:tcBorders>
              <w:top w:val="single" w:sz="4" w:space="0" w:color="auto"/>
            </w:tcBorders>
            <w:shd w:val="clear" w:color="auto" w:fill="auto"/>
            <w:noWrap/>
            <w:vAlign w:val="bottom"/>
          </w:tcPr>
          <w:p w14:paraId="37CDCF74"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#11</w:t>
            </w:r>
          </w:p>
        </w:tc>
        <w:tc>
          <w:tcPr>
            <w:tcW w:w="8956" w:type="dxa"/>
            <w:tcBorders>
              <w:top w:val="single" w:sz="4" w:space="0" w:color="auto"/>
            </w:tcBorders>
            <w:shd w:val="clear" w:color="auto" w:fill="auto"/>
            <w:noWrap/>
            <w:vAlign w:val="bottom"/>
          </w:tcPr>
          <w:p w14:paraId="6D9C5B45"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[Antineoplastic Agents] explode all trees</w:t>
            </w:r>
          </w:p>
        </w:tc>
      </w:tr>
      <w:tr w:rsidR="00F72E17" w:rsidRPr="001A6F97" w14:paraId="119B0E77" w14:textId="77777777" w:rsidTr="004530F1">
        <w:trPr>
          <w:trHeight w:val="255"/>
        </w:trPr>
        <w:tc>
          <w:tcPr>
            <w:tcW w:w="480" w:type="dxa"/>
            <w:shd w:val="clear" w:color="auto" w:fill="auto"/>
            <w:noWrap/>
            <w:vAlign w:val="bottom"/>
          </w:tcPr>
          <w:p w14:paraId="4D8535C7"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#12</w:t>
            </w:r>
          </w:p>
        </w:tc>
        <w:tc>
          <w:tcPr>
            <w:tcW w:w="8956" w:type="dxa"/>
            <w:shd w:val="clear" w:color="auto" w:fill="auto"/>
            <w:noWrap/>
            <w:vAlign w:val="bottom"/>
          </w:tcPr>
          <w:p w14:paraId="0A6CF90D"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[Anthracyclines] explode all trees</w:t>
            </w:r>
          </w:p>
        </w:tc>
      </w:tr>
      <w:tr w:rsidR="00F72E17" w:rsidRPr="001A6F97" w14:paraId="79D0591F" w14:textId="77777777" w:rsidTr="004530F1">
        <w:trPr>
          <w:trHeight w:val="255"/>
        </w:trPr>
        <w:tc>
          <w:tcPr>
            <w:tcW w:w="480" w:type="dxa"/>
            <w:shd w:val="clear" w:color="auto" w:fill="auto"/>
            <w:noWrap/>
            <w:vAlign w:val="bottom"/>
          </w:tcPr>
          <w:p w14:paraId="04869B30"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#13</w:t>
            </w:r>
          </w:p>
        </w:tc>
        <w:tc>
          <w:tcPr>
            <w:tcW w:w="8956" w:type="dxa"/>
            <w:shd w:val="clear" w:color="auto" w:fill="auto"/>
            <w:noWrap/>
            <w:vAlign w:val="bottom"/>
          </w:tcPr>
          <w:p w14:paraId="3AFC3D81"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[Leucovorin] explode all trees</w:t>
            </w:r>
          </w:p>
        </w:tc>
      </w:tr>
      <w:tr w:rsidR="00F72E17" w:rsidRPr="001A6F97" w14:paraId="73CC65D6" w14:textId="77777777" w:rsidTr="004530F1">
        <w:trPr>
          <w:trHeight w:val="255"/>
        </w:trPr>
        <w:tc>
          <w:tcPr>
            <w:tcW w:w="480" w:type="dxa"/>
            <w:shd w:val="clear" w:color="auto" w:fill="auto"/>
            <w:noWrap/>
            <w:vAlign w:val="bottom"/>
          </w:tcPr>
          <w:p w14:paraId="48F8039B"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#14</w:t>
            </w:r>
          </w:p>
        </w:tc>
        <w:tc>
          <w:tcPr>
            <w:tcW w:w="8956" w:type="dxa"/>
            <w:shd w:val="clear" w:color="auto" w:fill="auto"/>
            <w:noWrap/>
            <w:vAlign w:val="bottom"/>
          </w:tcPr>
          <w:p w14:paraId="6DAF2932"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[Organoplatinum Compounds] explode all trees</w:t>
            </w:r>
          </w:p>
        </w:tc>
      </w:tr>
      <w:tr w:rsidR="00F72E17" w:rsidRPr="001A6F97" w14:paraId="021FD301" w14:textId="77777777" w:rsidTr="004530F1">
        <w:trPr>
          <w:trHeight w:val="255"/>
        </w:trPr>
        <w:tc>
          <w:tcPr>
            <w:tcW w:w="480" w:type="dxa"/>
            <w:shd w:val="clear" w:color="auto" w:fill="auto"/>
            <w:noWrap/>
            <w:vAlign w:val="bottom"/>
          </w:tcPr>
          <w:p w14:paraId="036BBA8E"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#15</w:t>
            </w:r>
          </w:p>
        </w:tc>
        <w:tc>
          <w:tcPr>
            <w:tcW w:w="8956" w:type="dxa"/>
            <w:shd w:val="clear" w:color="auto" w:fill="auto"/>
            <w:noWrap/>
            <w:vAlign w:val="bottom"/>
          </w:tcPr>
          <w:p w14:paraId="56E09E25"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w:t>
            </w:r>
            <w:proofErr w:type="spellStart"/>
            <w:r w:rsidRPr="00B12DBC">
              <w:rPr>
                <w:rFonts w:ascii="Times New Roman" w:hAnsi="Times New Roman"/>
                <w:lang w:val="en-GB"/>
              </w:rPr>
              <w:t>Oxonic</w:t>
            </w:r>
            <w:proofErr w:type="spellEnd"/>
            <w:r w:rsidRPr="00B12DBC">
              <w:rPr>
                <w:rFonts w:ascii="Times New Roman" w:hAnsi="Times New Roman"/>
                <w:lang w:val="en-GB"/>
              </w:rPr>
              <w:t xml:space="preserve"> Acid] explode all trees</w:t>
            </w:r>
          </w:p>
        </w:tc>
      </w:tr>
      <w:tr w:rsidR="00F72E17" w:rsidRPr="001A6F97" w14:paraId="77A8CFE4" w14:textId="77777777" w:rsidTr="004530F1">
        <w:trPr>
          <w:trHeight w:val="255"/>
        </w:trPr>
        <w:tc>
          <w:tcPr>
            <w:tcW w:w="480" w:type="dxa"/>
            <w:shd w:val="clear" w:color="auto" w:fill="auto"/>
            <w:noWrap/>
            <w:vAlign w:val="bottom"/>
          </w:tcPr>
          <w:p w14:paraId="19EE6D83"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#16</w:t>
            </w:r>
          </w:p>
        </w:tc>
        <w:tc>
          <w:tcPr>
            <w:tcW w:w="8956" w:type="dxa"/>
            <w:shd w:val="clear" w:color="auto" w:fill="auto"/>
            <w:noWrap/>
            <w:vAlign w:val="bottom"/>
          </w:tcPr>
          <w:p w14:paraId="6AEBEB25" w14:textId="77777777" w:rsidR="00F72E17" w:rsidRPr="00B12DBC" w:rsidRDefault="00F72E17" w:rsidP="004530F1">
            <w:pPr>
              <w:spacing w:before="240" w:line="480" w:lineRule="auto"/>
              <w:rPr>
                <w:rFonts w:ascii="Times New Roman" w:hAnsi="Times New Roman"/>
                <w:lang w:val="en-GB"/>
              </w:rPr>
            </w:pPr>
            <w:proofErr w:type="spellStart"/>
            <w:r w:rsidRPr="00B12DBC">
              <w:rPr>
                <w:rFonts w:ascii="Times New Roman" w:hAnsi="Times New Roman"/>
                <w:lang w:val="en-GB"/>
              </w:rPr>
              <w:t>MeSH</w:t>
            </w:r>
            <w:proofErr w:type="spellEnd"/>
            <w:r w:rsidRPr="00B12DBC">
              <w:rPr>
                <w:rFonts w:ascii="Times New Roman" w:hAnsi="Times New Roman"/>
                <w:lang w:val="en-GB"/>
              </w:rPr>
              <w:t xml:space="preserve"> descriptor: [</w:t>
            </w:r>
            <w:proofErr w:type="spellStart"/>
            <w:r w:rsidRPr="00B12DBC">
              <w:rPr>
                <w:rFonts w:ascii="Times New Roman" w:hAnsi="Times New Roman"/>
                <w:lang w:val="en-GB"/>
              </w:rPr>
              <w:t>Taxoids</w:t>
            </w:r>
            <w:proofErr w:type="spellEnd"/>
            <w:r w:rsidRPr="00B12DBC">
              <w:rPr>
                <w:rFonts w:ascii="Times New Roman" w:hAnsi="Times New Roman"/>
                <w:lang w:val="en-GB"/>
              </w:rPr>
              <w:t>] explode all trees</w:t>
            </w:r>
          </w:p>
        </w:tc>
      </w:tr>
      <w:tr w:rsidR="00F72E17" w:rsidRPr="001A6F97" w14:paraId="08ED9417" w14:textId="77777777" w:rsidTr="004530F1">
        <w:trPr>
          <w:trHeight w:val="255"/>
        </w:trPr>
        <w:tc>
          <w:tcPr>
            <w:tcW w:w="480" w:type="dxa"/>
            <w:shd w:val="clear" w:color="auto" w:fill="auto"/>
            <w:noWrap/>
            <w:vAlign w:val="bottom"/>
          </w:tcPr>
          <w:p w14:paraId="223C5BEF"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#17</w:t>
            </w:r>
          </w:p>
        </w:tc>
        <w:tc>
          <w:tcPr>
            <w:tcW w:w="8956" w:type="dxa"/>
            <w:shd w:val="clear" w:color="auto" w:fill="auto"/>
            <w:noWrap/>
            <w:vAlign w:val="bottom"/>
          </w:tcPr>
          <w:p w14:paraId="009FAE47" w14:textId="77777777" w:rsidR="00F72E17" w:rsidRPr="00B12DBC" w:rsidRDefault="00F72E17" w:rsidP="004530F1">
            <w:pPr>
              <w:spacing w:before="240" w:line="480" w:lineRule="auto"/>
              <w:rPr>
                <w:rFonts w:ascii="Times New Roman" w:hAnsi="Times New Roman"/>
                <w:lang w:val="en-GB"/>
              </w:rPr>
            </w:pPr>
            <w:r w:rsidRPr="00B12DBC">
              <w:rPr>
                <w:rFonts w:ascii="Times New Roman" w:hAnsi="Times New Roman"/>
                <w:lang w:val="en-GB"/>
              </w:rPr>
              <w:t>(</w:t>
            </w:r>
            <w:proofErr w:type="spellStart"/>
            <w:r w:rsidRPr="00B12DBC">
              <w:rPr>
                <w:rFonts w:ascii="Times New Roman" w:hAnsi="Times New Roman"/>
                <w:lang w:val="en-GB"/>
              </w:rPr>
              <w:t>chemotherap</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polytherap</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polychemotherap</w:t>
            </w:r>
            <w:proofErr w:type="spellEnd"/>
            <w:r w:rsidRPr="00B12DBC">
              <w:rPr>
                <w:rFonts w:ascii="Times New Roman" w:hAnsi="Times New Roman"/>
                <w:lang w:val="en-GB"/>
              </w:rPr>
              <w:t>* or combination* or two-agent* or two-drug* or double-drug* or doublet* or three-agent* or three-drug* or triple* or multi-agent or multi-drug or active agent* or antineoplastic* or anti-neoplastic* or anticancer* or anti-cancer* or antitumor* or anti-</w:t>
            </w:r>
            <w:proofErr w:type="spellStart"/>
            <w:r w:rsidRPr="00B12DBC">
              <w:rPr>
                <w:rFonts w:ascii="Times New Roman" w:hAnsi="Times New Roman"/>
                <w:lang w:val="en-GB"/>
              </w:rPr>
              <w:t>tumor</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antitumour</w:t>
            </w:r>
            <w:proofErr w:type="spellEnd"/>
            <w:r w:rsidRPr="00B12DBC">
              <w:rPr>
                <w:rFonts w:ascii="Times New Roman" w:hAnsi="Times New Roman"/>
                <w:lang w:val="en-GB"/>
              </w:rPr>
              <w:t xml:space="preserve">* or anti-tumour* or </w:t>
            </w:r>
            <w:proofErr w:type="spellStart"/>
            <w:r w:rsidRPr="00B12DBC">
              <w:rPr>
                <w:rFonts w:ascii="Times New Roman" w:hAnsi="Times New Roman"/>
                <w:lang w:val="en-GB"/>
              </w:rPr>
              <w:t>anthracyclin</w:t>
            </w:r>
            <w:proofErr w:type="spellEnd"/>
            <w:r w:rsidRPr="00B12DBC">
              <w:rPr>
                <w:rFonts w:ascii="Times New Roman" w:hAnsi="Times New Roman"/>
                <w:lang w:val="en-GB"/>
              </w:rPr>
              <w:t xml:space="preserve">* or capecitabine or carboplatin* or cisplatin* or docetaxel or doxorubicin* or </w:t>
            </w:r>
            <w:proofErr w:type="spellStart"/>
            <w:r w:rsidRPr="00B12DBC">
              <w:rPr>
                <w:rFonts w:ascii="Times New Roman" w:hAnsi="Times New Roman"/>
                <w:lang w:val="en-GB"/>
              </w:rPr>
              <w:t>epirubicin</w:t>
            </w:r>
            <w:proofErr w:type="spellEnd"/>
            <w:r w:rsidRPr="00B12DBC">
              <w:rPr>
                <w:rFonts w:ascii="Times New Roman" w:hAnsi="Times New Roman"/>
                <w:lang w:val="en-GB"/>
              </w:rPr>
              <w:t xml:space="preserve">* or fluoropyrimidine* or fluorouracil or 5-FU or </w:t>
            </w:r>
            <w:proofErr w:type="spellStart"/>
            <w:r w:rsidRPr="00B12DBC">
              <w:rPr>
                <w:rFonts w:ascii="Times New Roman" w:hAnsi="Times New Roman"/>
                <w:lang w:val="en-GB"/>
              </w:rPr>
              <w:t>folinic</w:t>
            </w:r>
            <w:proofErr w:type="spellEnd"/>
            <w:r w:rsidRPr="00B12DBC">
              <w:rPr>
                <w:rFonts w:ascii="Times New Roman" w:hAnsi="Times New Roman"/>
                <w:lang w:val="en-GB"/>
              </w:rPr>
              <w:t xml:space="preserve"> acid or irinotecan or leucovorin* or mitomycin* or </w:t>
            </w:r>
            <w:proofErr w:type="spellStart"/>
            <w:r w:rsidRPr="00B12DBC">
              <w:rPr>
                <w:rFonts w:ascii="Times New Roman" w:hAnsi="Times New Roman"/>
                <w:lang w:val="en-GB"/>
              </w:rPr>
              <w:t>organoplatin</w:t>
            </w:r>
            <w:proofErr w:type="spellEnd"/>
            <w:r w:rsidRPr="00B12DBC">
              <w:rPr>
                <w:rFonts w:ascii="Times New Roman" w:hAnsi="Times New Roman"/>
                <w:lang w:val="en-GB"/>
              </w:rPr>
              <w:t xml:space="preserve">* or </w:t>
            </w:r>
            <w:proofErr w:type="spellStart"/>
            <w:r w:rsidRPr="00B12DBC">
              <w:rPr>
                <w:rFonts w:ascii="Times New Roman" w:hAnsi="Times New Roman"/>
                <w:lang w:val="en-GB"/>
              </w:rPr>
              <w:t>oteracil</w:t>
            </w:r>
            <w:proofErr w:type="spellEnd"/>
            <w:r w:rsidRPr="00B12DBC">
              <w:rPr>
                <w:rFonts w:ascii="Times New Roman" w:hAnsi="Times New Roman"/>
                <w:lang w:val="en-GB"/>
              </w:rPr>
              <w:t xml:space="preserve"> or oxaliplatin* or </w:t>
            </w:r>
            <w:proofErr w:type="spellStart"/>
            <w:r w:rsidRPr="00B12DBC">
              <w:rPr>
                <w:rFonts w:ascii="Times New Roman" w:hAnsi="Times New Roman"/>
                <w:lang w:val="en-GB"/>
              </w:rPr>
              <w:t>oxonic</w:t>
            </w:r>
            <w:proofErr w:type="spellEnd"/>
            <w:r w:rsidRPr="00B12DBC">
              <w:rPr>
                <w:rFonts w:ascii="Times New Roman" w:hAnsi="Times New Roman"/>
                <w:lang w:val="en-GB"/>
              </w:rPr>
              <w:t xml:space="preserve"> acid or paclitaxel or platin* or S-1 or </w:t>
            </w:r>
            <w:proofErr w:type="spellStart"/>
            <w:r w:rsidRPr="00B12DBC">
              <w:rPr>
                <w:rFonts w:ascii="Times New Roman" w:hAnsi="Times New Roman"/>
                <w:lang w:val="en-GB"/>
              </w:rPr>
              <w:t>taxane</w:t>
            </w:r>
            <w:proofErr w:type="spellEnd"/>
            <w:r w:rsidRPr="00B12DBC">
              <w:rPr>
                <w:rFonts w:ascii="Times New Roman" w:hAnsi="Times New Roman"/>
                <w:lang w:val="en-GB"/>
              </w:rPr>
              <w:t>* or tegafur):</w:t>
            </w:r>
            <w:proofErr w:type="spellStart"/>
            <w:r w:rsidRPr="00B12DBC">
              <w:rPr>
                <w:rFonts w:ascii="Times New Roman" w:hAnsi="Times New Roman"/>
                <w:lang w:val="en-GB"/>
              </w:rPr>
              <w:t>ti,ab,kw</w:t>
            </w:r>
            <w:proofErr w:type="spellEnd"/>
            <w:r w:rsidRPr="00B12DBC">
              <w:rPr>
                <w:rFonts w:ascii="Times New Roman" w:hAnsi="Times New Roman"/>
                <w:lang w:val="en-GB"/>
              </w:rPr>
              <w:t xml:space="preserve"> </w:t>
            </w:r>
          </w:p>
        </w:tc>
      </w:tr>
      <w:tr w:rsidR="00F72E17" w:rsidRPr="001A6F97" w14:paraId="72E7A48C" w14:textId="77777777" w:rsidTr="004530F1">
        <w:trPr>
          <w:trHeight w:val="255"/>
        </w:trPr>
        <w:tc>
          <w:tcPr>
            <w:tcW w:w="480" w:type="dxa"/>
            <w:shd w:val="clear" w:color="auto" w:fill="auto"/>
            <w:noWrap/>
            <w:vAlign w:val="bottom"/>
          </w:tcPr>
          <w:p w14:paraId="1D56F5F9"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#18</w:t>
            </w:r>
          </w:p>
        </w:tc>
        <w:tc>
          <w:tcPr>
            <w:tcW w:w="8956" w:type="dxa"/>
            <w:shd w:val="clear" w:color="auto" w:fill="auto"/>
            <w:noWrap/>
            <w:vAlign w:val="bottom"/>
          </w:tcPr>
          <w:p w14:paraId="2C27189A" w14:textId="77777777" w:rsidR="00F72E17" w:rsidRPr="00B12DBC" w:rsidRDefault="00F72E17" w:rsidP="004530F1">
            <w:pPr>
              <w:spacing w:before="240" w:line="480" w:lineRule="auto"/>
              <w:rPr>
                <w:rFonts w:ascii="Times New Roman" w:hAnsi="Times New Roman"/>
                <w:lang w:val="en-GB"/>
              </w:rPr>
            </w:pPr>
            <w:r w:rsidRPr="00B12DBC">
              <w:rPr>
                <w:rFonts w:ascii="Times New Roman" w:hAnsi="Times New Roman"/>
                <w:lang w:val="en-GB"/>
              </w:rPr>
              <w:t xml:space="preserve">#9 or #10 or #11 or #12 or #13 or #14 or #15 or #16 or #17 </w:t>
            </w:r>
          </w:p>
        </w:tc>
      </w:tr>
      <w:tr w:rsidR="00F72E17" w:rsidRPr="00B12DBC" w14:paraId="2879C51E" w14:textId="77777777" w:rsidTr="004530F1">
        <w:trPr>
          <w:trHeight w:val="255"/>
        </w:trPr>
        <w:tc>
          <w:tcPr>
            <w:tcW w:w="480" w:type="dxa"/>
            <w:shd w:val="clear" w:color="auto" w:fill="auto"/>
            <w:noWrap/>
            <w:vAlign w:val="bottom"/>
          </w:tcPr>
          <w:p w14:paraId="3BA073D3"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#19</w:t>
            </w:r>
          </w:p>
        </w:tc>
        <w:tc>
          <w:tcPr>
            <w:tcW w:w="8956" w:type="dxa"/>
            <w:shd w:val="clear" w:color="auto" w:fill="auto"/>
            <w:noWrap/>
            <w:vAlign w:val="bottom"/>
          </w:tcPr>
          <w:p w14:paraId="15884989" w14:textId="77777777" w:rsidR="00F72E17" w:rsidRPr="00B12DBC" w:rsidRDefault="00F72E17" w:rsidP="004530F1">
            <w:pPr>
              <w:spacing w:before="240" w:line="480" w:lineRule="auto"/>
              <w:rPr>
                <w:rFonts w:ascii="Times New Roman" w:hAnsi="Times New Roman"/>
              </w:rPr>
            </w:pPr>
            <w:r w:rsidRPr="00B12DBC">
              <w:rPr>
                <w:rFonts w:ascii="Times New Roman" w:hAnsi="Times New Roman"/>
              </w:rPr>
              <w:t>#4 and #8 and #18 in Trials</w:t>
            </w:r>
          </w:p>
        </w:tc>
      </w:tr>
    </w:tbl>
    <w:p w14:paraId="628BDA27" w14:textId="77777777" w:rsidR="00F72E17" w:rsidRDefault="00F72E17" w:rsidP="00F72E17">
      <w:pPr>
        <w:spacing w:after="0" w:line="480" w:lineRule="auto"/>
        <w:rPr>
          <w:rFonts w:ascii="Times New Roman" w:eastAsia="Times" w:hAnsi="Times New Roman"/>
          <w:b/>
          <w:bCs/>
          <w:sz w:val="24"/>
          <w:szCs w:val="24"/>
          <w:lang w:val="en-US"/>
        </w:rPr>
      </w:pPr>
    </w:p>
    <w:p w14:paraId="2A3CE43C" w14:textId="77777777" w:rsidR="00591562" w:rsidRDefault="00591562">
      <w:pPr>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7D0C9202" w14:textId="77777777" w:rsidR="00591562" w:rsidRDefault="00591562" w:rsidP="00591562">
      <w:pPr>
        <w:spacing w:line="480" w:lineRule="auto"/>
        <w:rPr>
          <w:rFonts w:ascii="Times New Roman" w:eastAsia="Times" w:hAnsi="Times New Roman"/>
          <w:b/>
          <w:bCs/>
          <w:sz w:val="24"/>
          <w:szCs w:val="24"/>
          <w:lang w:val="en-US"/>
        </w:rPr>
      </w:pPr>
    </w:p>
    <w:p w14:paraId="664A4A1D" w14:textId="77777777" w:rsidR="00591562" w:rsidRDefault="00591562" w:rsidP="00591562">
      <w:pPr>
        <w:spacing w:line="480" w:lineRule="auto"/>
        <w:rPr>
          <w:rFonts w:ascii="Times New Roman" w:eastAsia="Times" w:hAnsi="Times New Roman"/>
          <w:bCs/>
          <w:sz w:val="24"/>
          <w:szCs w:val="24"/>
          <w:lang w:val="en-US"/>
        </w:rPr>
      </w:pPr>
      <w:r>
        <w:rPr>
          <w:rFonts w:ascii="Times New Roman" w:eastAsia="Times" w:hAnsi="Times New Roman"/>
          <w:b/>
          <w:bCs/>
          <w:sz w:val="24"/>
          <w:szCs w:val="24"/>
          <w:lang w:val="en-US"/>
        </w:rPr>
        <w:t xml:space="preserve">Supplementary </w:t>
      </w:r>
      <w:r w:rsidRPr="00B12DBC">
        <w:rPr>
          <w:rFonts w:ascii="Times New Roman" w:eastAsia="Times" w:hAnsi="Times New Roman"/>
          <w:b/>
          <w:bCs/>
          <w:sz w:val="24"/>
          <w:szCs w:val="24"/>
          <w:lang w:val="en-US"/>
        </w:rPr>
        <w:t xml:space="preserve">Figure 1.  </w:t>
      </w:r>
      <w:r w:rsidRPr="00026036">
        <w:rPr>
          <w:rFonts w:ascii="Times New Roman" w:eastAsia="Times" w:hAnsi="Times New Roman"/>
          <w:bCs/>
          <w:sz w:val="24"/>
          <w:szCs w:val="24"/>
          <w:lang w:val="en-US"/>
        </w:rPr>
        <w:t>Flowchart of included studies</w:t>
      </w:r>
      <w:r>
        <w:rPr>
          <w:rFonts w:ascii="Times New Roman" w:eastAsia="Times" w:hAnsi="Times New Roman"/>
          <w:b/>
          <w:bCs/>
          <w:sz w:val="24"/>
          <w:szCs w:val="24"/>
          <w:lang w:val="en-US"/>
        </w:rPr>
        <w:t xml:space="preserve"> </w:t>
      </w:r>
      <w:r w:rsidRPr="00F61E3B">
        <w:rPr>
          <w:rFonts w:ascii="Times New Roman" w:eastAsia="Times" w:hAnsi="Times New Roman"/>
          <w:bCs/>
          <w:sz w:val="24"/>
          <w:szCs w:val="24"/>
          <w:lang w:val="en-US"/>
        </w:rPr>
        <w:t>with the database search (left) and studies obtained from conference search (right).</w:t>
      </w:r>
      <w:r>
        <w:rPr>
          <w:rFonts w:ascii="Times New Roman" w:eastAsia="Times" w:hAnsi="Times New Roman"/>
          <w:b/>
          <w:bCs/>
          <w:sz w:val="24"/>
          <w:szCs w:val="24"/>
          <w:lang w:val="en-US"/>
        </w:rPr>
        <w:t xml:space="preserve"> </w:t>
      </w:r>
      <w:r>
        <w:rPr>
          <w:rFonts w:ascii="Times New Roman" w:eastAsia="Times" w:hAnsi="Times New Roman"/>
          <w:bCs/>
          <w:sz w:val="24"/>
          <w:szCs w:val="24"/>
          <w:lang w:val="en-US"/>
        </w:rPr>
        <w:t>n = number of studies.</w:t>
      </w:r>
    </w:p>
    <w:p w14:paraId="4B0A303F" w14:textId="77777777" w:rsidR="00591562" w:rsidRDefault="00591562" w:rsidP="00591562">
      <w:pPr>
        <w:spacing w:line="360" w:lineRule="auto"/>
        <w:outlineLvl w:val="0"/>
        <w:rPr>
          <w:rFonts w:ascii="Times New Roman" w:eastAsia="Times" w:hAnsi="Times New Roman"/>
          <w:b/>
          <w:bCs/>
          <w:sz w:val="24"/>
          <w:szCs w:val="24"/>
          <w:lang w:val="en-US"/>
        </w:rPr>
      </w:pPr>
      <w:r>
        <w:rPr>
          <w:noProof/>
          <w:lang w:eastAsia="zh-CN"/>
        </w:rPr>
        <mc:AlternateContent>
          <mc:Choice Requires="wpg">
            <w:drawing>
              <wp:anchor distT="0" distB="0" distL="114300" distR="114300" simplePos="0" relativeHeight="251659776" behindDoc="0" locked="0" layoutInCell="1" allowOverlap="1" wp14:anchorId="6B795976" wp14:editId="2969EDBE">
                <wp:simplePos x="0" y="0"/>
                <wp:positionH relativeFrom="column">
                  <wp:posOffset>-307975</wp:posOffset>
                </wp:positionH>
                <wp:positionV relativeFrom="paragraph">
                  <wp:posOffset>428625</wp:posOffset>
                </wp:positionV>
                <wp:extent cx="6200140" cy="4476750"/>
                <wp:effectExtent l="0" t="0" r="10160" b="19050"/>
                <wp:wrapNone/>
                <wp:docPr id="263" name="Groe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0140" cy="4476750"/>
                          <a:chOff x="0" y="0"/>
                          <a:chExt cx="6689454" cy="4829175"/>
                        </a:xfrm>
                      </wpg:grpSpPr>
                      <wps:wsp>
                        <wps:cNvPr id="264" name="AutoShape 7"/>
                        <wps:cNvCnPr>
                          <a:cxnSpLocks noChangeShapeType="1"/>
                        </wps:cNvCnPr>
                        <wps:spPr bwMode="auto">
                          <a:xfrm rot="5400000">
                            <a:off x="2295525" y="2571750"/>
                            <a:ext cx="4469765" cy="45085"/>
                          </a:xfrm>
                          <a:prstGeom prst="bentConnector3">
                            <a:avLst>
                              <a:gd name="adj1" fmla="val 4999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65" name="AutoShape 20"/>
                        <wps:cNvCnPr>
                          <a:cxnSpLocks noChangeShapeType="1"/>
                        </wps:cNvCnPr>
                        <wps:spPr bwMode="auto">
                          <a:xfrm>
                            <a:off x="2781300" y="866775"/>
                            <a:ext cx="2451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AutoShape 51"/>
                        <wps:cNvCnPr>
                          <a:cxnSpLocks noChangeShapeType="1"/>
                        </wps:cNvCnPr>
                        <wps:spPr bwMode="auto">
                          <a:xfrm rot="5400000">
                            <a:off x="900112" y="2547938"/>
                            <a:ext cx="42424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Text Box 10"/>
                        <wps:cNvSpPr txBox="1">
                          <a:spLocks noChangeArrowheads="1"/>
                        </wps:cNvSpPr>
                        <wps:spPr bwMode="auto">
                          <a:xfrm>
                            <a:off x="1524000" y="2276475"/>
                            <a:ext cx="2193290" cy="390525"/>
                          </a:xfrm>
                          <a:prstGeom prst="rect">
                            <a:avLst/>
                          </a:prstGeom>
                          <a:solidFill>
                            <a:srgbClr val="FFFFFF"/>
                          </a:solidFill>
                          <a:ln w="9525">
                            <a:solidFill>
                              <a:srgbClr val="000000"/>
                            </a:solidFill>
                            <a:miter lim="800000"/>
                            <a:headEnd/>
                            <a:tailEnd/>
                          </a:ln>
                        </wps:spPr>
                        <wps:txbx>
                          <w:txbxContent>
                            <w:p w14:paraId="3D2EC559"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References for full-text assessment</w:t>
                              </w:r>
                            </w:p>
                            <w:p w14:paraId="4655BFF9"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n = 191</w:t>
                              </w:r>
                            </w:p>
                            <w:p w14:paraId="62B288B9"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w:t>
                              </w:r>
                            </w:p>
                            <w:p w14:paraId="7634162B"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w:t>
                              </w:r>
                            </w:p>
                            <w:p w14:paraId="47435E37"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w:t>
                              </w:r>
                            </w:p>
                          </w:txbxContent>
                        </wps:txbx>
                        <wps:bodyPr rot="0" vert="horz" wrap="square" lIns="91440" tIns="45720" rIns="91440" bIns="45720" anchor="t" anchorCtr="0" upright="1">
                          <a:noAutofit/>
                        </wps:bodyPr>
                      </wps:wsp>
                      <wps:wsp>
                        <wps:cNvPr id="268" name="Text Box 6"/>
                        <wps:cNvSpPr txBox="1">
                          <a:spLocks noChangeArrowheads="1"/>
                        </wps:cNvSpPr>
                        <wps:spPr bwMode="auto">
                          <a:xfrm>
                            <a:off x="180975" y="0"/>
                            <a:ext cx="3533775" cy="542925"/>
                          </a:xfrm>
                          <a:prstGeom prst="rect">
                            <a:avLst/>
                          </a:prstGeom>
                          <a:solidFill>
                            <a:srgbClr val="FFFFFF"/>
                          </a:solidFill>
                          <a:ln w="9525">
                            <a:solidFill>
                              <a:srgbClr val="000000"/>
                            </a:solidFill>
                            <a:miter lim="800000"/>
                            <a:headEnd/>
                            <a:tailEnd/>
                          </a:ln>
                        </wps:spPr>
                        <wps:txbx>
                          <w:txbxContent>
                            <w:p w14:paraId="661FEC3C"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References derived from Medline, EMBASE and CENTRAL</w:t>
                              </w:r>
                            </w:p>
                            <w:p w14:paraId="71B6A338"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 xml:space="preserve">until February 2017 </w:t>
                              </w:r>
                            </w:p>
                            <w:p w14:paraId="06A08AFE"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n = 7888</w:t>
                              </w:r>
                            </w:p>
                          </w:txbxContent>
                        </wps:txbx>
                        <wps:bodyPr rot="0" vert="horz" wrap="square" lIns="91440" tIns="45720" rIns="91440" bIns="45720" anchor="t" anchorCtr="0" upright="1">
                          <a:noAutofit/>
                        </wps:bodyPr>
                      </wps:wsp>
                      <wps:wsp>
                        <wps:cNvPr id="269" name="Text Box 3"/>
                        <wps:cNvSpPr txBox="1">
                          <a:spLocks noChangeArrowheads="1"/>
                        </wps:cNvSpPr>
                        <wps:spPr bwMode="auto">
                          <a:xfrm>
                            <a:off x="266700" y="1219200"/>
                            <a:ext cx="3450590" cy="372745"/>
                          </a:xfrm>
                          <a:prstGeom prst="rect">
                            <a:avLst/>
                          </a:prstGeom>
                          <a:solidFill>
                            <a:srgbClr val="FFFFFF"/>
                          </a:solidFill>
                          <a:ln w="9525">
                            <a:solidFill>
                              <a:srgbClr val="000000"/>
                            </a:solidFill>
                            <a:miter lim="800000"/>
                            <a:headEnd/>
                            <a:tailEnd/>
                          </a:ln>
                        </wps:spPr>
                        <wps:txbx>
                          <w:txbxContent>
                            <w:p w14:paraId="33755FB4"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Unique references for screening based on title and abstract</w:t>
                              </w:r>
                            </w:p>
                            <w:p w14:paraId="38E53C4E"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n = 5765</w:t>
                              </w:r>
                            </w:p>
                            <w:p w14:paraId="4D4753DA" w14:textId="77777777" w:rsidR="00DF4D7C" w:rsidRPr="00170492" w:rsidRDefault="00DF4D7C" w:rsidP="00591562">
                              <w:pPr>
                                <w:pStyle w:val="NormalWeb"/>
                                <w:spacing w:before="0" w:beforeAutospacing="0" w:after="0" w:afterAutospacing="0"/>
                                <w:rPr>
                                  <w:sz w:val="16"/>
                                  <w:szCs w:val="16"/>
                                </w:rPr>
                              </w:pPr>
                              <w:r w:rsidRPr="00F666F1">
                                <w:rPr>
                                  <w:rFonts w:ascii="Calibri" w:eastAsia="Calibri" w:hAnsi="Calibri"/>
                                  <w:color w:val="000000"/>
                                  <w:kern w:val="24"/>
                                  <w:sz w:val="16"/>
                                  <w:szCs w:val="16"/>
                                </w:rPr>
                                <w:t> </w:t>
                              </w:r>
                            </w:p>
                          </w:txbxContent>
                        </wps:txbx>
                        <wps:bodyPr rot="0" vert="horz" wrap="square" lIns="91440" tIns="45720" rIns="91440" bIns="45720" anchor="t" anchorCtr="0" upright="1">
                          <a:noAutofit/>
                        </wps:bodyPr>
                      </wps:wsp>
                      <wps:wsp>
                        <wps:cNvPr id="270" name="AutoShape 87"/>
                        <wps:cNvCnPr>
                          <a:cxnSpLocks noChangeShapeType="1"/>
                        </wps:cNvCnPr>
                        <wps:spPr bwMode="auto">
                          <a:xfrm>
                            <a:off x="2790825" y="1943100"/>
                            <a:ext cx="2419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 name="AutoShape 88"/>
                        <wps:cNvCnPr>
                          <a:cxnSpLocks noChangeShapeType="1"/>
                        </wps:cNvCnPr>
                        <wps:spPr bwMode="auto">
                          <a:xfrm>
                            <a:off x="2781300" y="3533775"/>
                            <a:ext cx="2451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 name="Text Box 63"/>
                        <wps:cNvSpPr txBox="1">
                          <a:spLocks noChangeArrowheads="1"/>
                        </wps:cNvSpPr>
                        <wps:spPr bwMode="auto">
                          <a:xfrm>
                            <a:off x="2076450" y="4552950"/>
                            <a:ext cx="3418840" cy="273050"/>
                          </a:xfrm>
                          <a:prstGeom prst="rect">
                            <a:avLst/>
                          </a:prstGeom>
                          <a:solidFill>
                            <a:srgbClr val="FFFFFF"/>
                          </a:solidFill>
                          <a:ln w="9525">
                            <a:solidFill>
                              <a:srgbClr val="000000"/>
                            </a:solidFill>
                            <a:miter lim="800000"/>
                            <a:headEnd/>
                            <a:tailEnd/>
                          </a:ln>
                        </wps:spPr>
                        <wps:txbx>
                          <w:txbxContent>
                            <w:p w14:paraId="7F829C97"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Studies eligible for systematic review: n = 93</w:t>
                              </w:r>
                            </w:p>
                            <w:p w14:paraId="50BE5C31" w14:textId="77777777" w:rsidR="00DF4D7C" w:rsidRPr="00170492" w:rsidRDefault="00DF4D7C" w:rsidP="00591562">
                              <w:pPr>
                                <w:pStyle w:val="NormalWeb"/>
                                <w:spacing w:before="0" w:beforeAutospacing="0" w:after="0" w:afterAutospacing="0"/>
                                <w:rPr>
                                  <w:sz w:val="16"/>
                                  <w:szCs w:val="16"/>
                                  <w:lang w:val="en-US"/>
                                </w:rPr>
                              </w:pPr>
                            </w:p>
                            <w:p w14:paraId="31E3B013"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b/>
                                  <w:bCs/>
                                  <w:color w:val="000000"/>
                                  <w:kern w:val="24"/>
                                  <w:sz w:val="16"/>
                                  <w:szCs w:val="16"/>
                                  <w:lang w:val="en-GB"/>
                                </w:rPr>
                                <w:t> </w:t>
                              </w:r>
                            </w:p>
                            <w:p w14:paraId="06E68E71"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w:t>
                              </w:r>
                            </w:p>
                            <w:p w14:paraId="55F327BE" w14:textId="77777777" w:rsidR="00DF4D7C" w:rsidRPr="00170492" w:rsidRDefault="00DF4D7C" w:rsidP="00591562">
                              <w:pPr>
                                <w:pStyle w:val="NormalWeb"/>
                                <w:spacing w:before="0" w:beforeAutospacing="0" w:after="0" w:afterAutospacing="0"/>
                                <w:rPr>
                                  <w:sz w:val="16"/>
                                  <w:szCs w:val="16"/>
                                  <w:lang w:val="en-US"/>
                                </w:rPr>
                              </w:pPr>
                            </w:p>
                            <w:p w14:paraId="6C4881AE" w14:textId="77777777" w:rsidR="00DF4D7C" w:rsidRPr="00170492" w:rsidRDefault="00DF4D7C" w:rsidP="00591562">
                              <w:pPr>
                                <w:pStyle w:val="NormalWeb"/>
                                <w:spacing w:before="0" w:beforeAutospacing="0" w:after="0" w:afterAutospacing="0"/>
                                <w:rPr>
                                  <w:sz w:val="16"/>
                                  <w:szCs w:val="16"/>
                                  <w:lang w:val="en-US"/>
                                </w:rPr>
                              </w:pPr>
                            </w:p>
                          </w:txbxContent>
                        </wps:txbx>
                        <wps:bodyPr rot="0" vert="horz" wrap="square" lIns="91440" tIns="45720" rIns="91440" bIns="45720" anchor="t" anchorCtr="0" upright="1">
                          <a:noAutofit/>
                        </wps:bodyPr>
                      </wps:wsp>
                      <wps:wsp>
                        <wps:cNvPr id="273" name="Text Box 11"/>
                        <wps:cNvSpPr txBox="1">
                          <a:spLocks noChangeArrowheads="1"/>
                        </wps:cNvSpPr>
                        <wps:spPr bwMode="auto">
                          <a:xfrm>
                            <a:off x="0" y="2809875"/>
                            <a:ext cx="2872105" cy="1301377"/>
                          </a:xfrm>
                          <a:prstGeom prst="rect">
                            <a:avLst/>
                          </a:prstGeom>
                          <a:solidFill>
                            <a:srgbClr val="FFFFFF"/>
                          </a:solidFill>
                          <a:ln w="9525">
                            <a:solidFill>
                              <a:srgbClr val="000000"/>
                            </a:solidFill>
                            <a:miter lim="800000"/>
                            <a:headEnd/>
                            <a:tailEnd/>
                          </a:ln>
                        </wps:spPr>
                        <wps:txbx>
                          <w:txbxContent>
                            <w:p w14:paraId="1095A0E5"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b/>
                                  <w:bCs/>
                                  <w:color w:val="000000"/>
                                  <w:kern w:val="24"/>
                                  <w:sz w:val="16"/>
                                  <w:szCs w:val="16"/>
                                  <w:lang w:val="en-GB"/>
                                </w:rPr>
                                <w:t>Excluded after detailed assessment: n = 107</w:t>
                              </w:r>
                            </w:p>
                            <w:p w14:paraId="574A3321"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Studies without data on toxicity: n = 83</w:t>
                              </w:r>
                            </w:p>
                            <w:p w14:paraId="54984CD5" w14:textId="77777777" w:rsidR="00DF4D7C" w:rsidRPr="00170492" w:rsidRDefault="00DF4D7C" w:rsidP="00591562">
                              <w:pPr>
                                <w:pStyle w:val="NormalWeb"/>
                                <w:spacing w:before="0" w:beforeAutospacing="0" w:after="0" w:afterAutospacing="0"/>
                                <w:rPr>
                                  <w:sz w:val="16"/>
                                  <w:szCs w:val="16"/>
                                  <w:lang w:val="en-US"/>
                                </w:rPr>
                              </w:pPr>
                              <w:r w:rsidRPr="00F666F1">
                                <w:rPr>
                                  <w:rFonts w:eastAsia="ArialMT"/>
                                  <w:color w:val="000000"/>
                                  <w:kern w:val="24"/>
                                  <w:sz w:val="16"/>
                                  <w:szCs w:val="16"/>
                                  <w:lang w:val="en-GB"/>
                                </w:rPr>
                                <w:t xml:space="preserve">- Outdated preliminary results: n = 11 </w:t>
                              </w:r>
                            </w:p>
                            <w:p w14:paraId="71C86B08" w14:textId="77777777" w:rsidR="00DF4D7C" w:rsidRPr="00170492" w:rsidRDefault="00DF4D7C" w:rsidP="00591562">
                              <w:pPr>
                                <w:pStyle w:val="NormalWeb"/>
                                <w:spacing w:before="0" w:beforeAutospacing="0" w:after="0" w:afterAutospacing="0"/>
                                <w:rPr>
                                  <w:sz w:val="16"/>
                                  <w:szCs w:val="16"/>
                                  <w:lang w:val="en-US"/>
                                </w:rPr>
                              </w:pPr>
                              <w:r w:rsidRPr="00F666F1">
                                <w:rPr>
                                  <w:rFonts w:eastAsia="ArialMT"/>
                                  <w:color w:val="000000"/>
                                  <w:kern w:val="24"/>
                                  <w:sz w:val="16"/>
                                  <w:szCs w:val="16"/>
                                  <w:lang w:val="en-GB"/>
                                </w:rPr>
                                <w:t>- Study described two simultaneously conducted single arm studies: n = 3</w:t>
                              </w:r>
                            </w:p>
                            <w:p w14:paraId="30BF0213" w14:textId="77777777" w:rsidR="00DF4D7C" w:rsidRPr="00170492" w:rsidRDefault="00DF4D7C" w:rsidP="00591562">
                              <w:pPr>
                                <w:pStyle w:val="NormalWeb"/>
                                <w:spacing w:before="0" w:beforeAutospacing="0" w:after="0" w:afterAutospacing="0"/>
                                <w:rPr>
                                  <w:sz w:val="16"/>
                                  <w:szCs w:val="16"/>
                                  <w:lang w:val="en-US"/>
                                </w:rPr>
                              </w:pPr>
                              <w:r w:rsidRPr="00F666F1">
                                <w:rPr>
                                  <w:rFonts w:eastAsia="ArialMT"/>
                                  <w:color w:val="000000"/>
                                  <w:kern w:val="24"/>
                                  <w:sz w:val="16"/>
                                  <w:szCs w:val="16"/>
                                  <w:lang w:val="en-GB"/>
                                </w:rPr>
                                <w:t>- Retrospective studies: n = 2</w:t>
                              </w:r>
                            </w:p>
                            <w:p w14:paraId="2ABF6999"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xml:space="preserve">- </w:t>
                              </w:r>
                              <w:r w:rsidRPr="00F666F1">
                                <w:rPr>
                                  <w:rFonts w:eastAsia="ArialMT"/>
                                  <w:color w:val="000000"/>
                                  <w:kern w:val="24"/>
                                  <w:sz w:val="16"/>
                                  <w:szCs w:val="16"/>
                                  <w:lang w:val="en-GB"/>
                                </w:rPr>
                                <w:t>Not randomized: n = 3</w:t>
                              </w:r>
                            </w:p>
                            <w:p w14:paraId="0C42CC21"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Protocol: n = 3</w:t>
                              </w:r>
                            </w:p>
                            <w:p w14:paraId="799DD4A4"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Study with outdated chemotherapy arms: n = 2</w:t>
                              </w:r>
                            </w:p>
                            <w:p w14:paraId="36F3A2CC" w14:textId="77777777" w:rsidR="00DF4D7C" w:rsidRPr="00170492" w:rsidRDefault="00DF4D7C" w:rsidP="00591562">
                              <w:pPr>
                                <w:pStyle w:val="NormalWeb"/>
                                <w:spacing w:before="0" w:beforeAutospacing="0" w:after="0" w:afterAutospacing="0"/>
                                <w:rPr>
                                  <w:sz w:val="16"/>
                                  <w:szCs w:val="16"/>
                                  <w:lang w:val="en-US"/>
                                </w:rPr>
                              </w:pPr>
                              <w:r w:rsidRPr="00F666F1">
                                <w:rPr>
                                  <w:rFonts w:ascii="Calibri" w:eastAsia="Calibri" w:hAnsi="Calibri"/>
                                  <w:color w:val="000000"/>
                                  <w:kern w:val="24"/>
                                  <w:sz w:val="16"/>
                                  <w:szCs w:val="16"/>
                                  <w:lang w:val="en-US"/>
                                </w:rPr>
                                <w:t> </w:t>
                              </w:r>
                            </w:p>
                          </w:txbxContent>
                        </wps:txbx>
                        <wps:bodyPr rot="0" vert="horz" wrap="square" lIns="91440" tIns="45720" rIns="91440" bIns="45720" anchor="t" anchorCtr="0" upright="1">
                          <a:noAutofit/>
                        </wps:bodyPr>
                      </wps:wsp>
                      <wps:wsp>
                        <wps:cNvPr id="274" name="Text Box 4"/>
                        <wps:cNvSpPr txBox="1">
                          <a:spLocks noChangeArrowheads="1"/>
                        </wps:cNvSpPr>
                        <wps:spPr bwMode="auto">
                          <a:xfrm>
                            <a:off x="657225" y="1743075"/>
                            <a:ext cx="2222500" cy="405130"/>
                          </a:xfrm>
                          <a:prstGeom prst="rect">
                            <a:avLst/>
                          </a:prstGeom>
                          <a:solidFill>
                            <a:srgbClr val="FFFFFF"/>
                          </a:solidFill>
                          <a:ln w="9525">
                            <a:solidFill>
                              <a:srgbClr val="000000"/>
                            </a:solidFill>
                            <a:miter lim="800000"/>
                            <a:headEnd/>
                            <a:tailEnd/>
                          </a:ln>
                        </wps:spPr>
                        <wps:txbx>
                          <w:txbxContent>
                            <w:p w14:paraId="4AD1EE93"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b/>
                                  <w:bCs/>
                                  <w:color w:val="000000"/>
                                  <w:kern w:val="24"/>
                                  <w:sz w:val="16"/>
                                  <w:szCs w:val="16"/>
                                  <w:lang w:val="en-GB"/>
                                </w:rPr>
                                <w:t xml:space="preserve">Excluded based on title and abstract </w:t>
                              </w:r>
                            </w:p>
                            <w:p w14:paraId="72BA5417"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n = 5574</w:t>
                              </w:r>
                            </w:p>
                          </w:txbxContent>
                        </wps:txbx>
                        <wps:bodyPr rot="0" vert="horz" wrap="square" lIns="91440" tIns="45720" rIns="91440" bIns="45720" anchor="t" anchorCtr="0" upright="1">
                          <a:noAutofit/>
                        </wps:bodyPr>
                      </wps:wsp>
                      <wps:wsp>
                        <wps:cNvPr id="275" name="Text Box 5"/>
                        <wps:cNvSpPr txBox="1">
                          <a:spLocks noChangeArrowheads="1"/>
                        </wps:cNvSpPr>
                        <wps:spPr bwMode="auto">
                          <a:xfrm>
                            <a:off x="1466850" y="695325"/>
                            <a:ext cx="1417320" cy="407035"/>
                          </a:xfrm>
                          <a:prstGeom prst="rect">
                            <a:avLst/>
                          </a:prstGeom>
                          <a:solidFill>
                            <a:srgbClr val="FFFFFF"/>
                          </a:solidFill>
                          <a:ln w="9525">
                            <a:solidFill>
                              <a:srgbClr val="000000"/>
                            </a:solidFill>
                            <a:miter lim="800000"/>
                            <a:headEnd/>
                            <a:tailEnd/>
                          </a:ln>
                        </wps:spPr>
                        <wps:txbx>
                          <w:txbxContent>
                            <w:p w14:paraId="32407326"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rPr>
                                <w:t>Removed duplicates</w:t>
                              </w:r>
                            </w:p>
                            <w:p w14:paraId="6D8E375E"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rPr>
                                <w:t>n = 2123</w:t>
                              </w:r>
                            </w:p>
                            <w:p w14:paraId="03EF04B1" w14:textId="77777777" w:rsidR="00DF4D7C" w:rsidRPr="00170492" w:rsidRDefault="00DF4D7C" w:rsidP="00591562">
                              <w:pPr>
                                <w:pStyle w:val="NormalWeb"/>
                                <w:spacing w:before="0" w:beforeAutospacing="0" w:after="0" w:afterAutospacing="0"/>
                                <w:rPr>
                                  <w:sz w:val="16"/>
                                  <w:szCs w:val="16"/>
                                </w:rPr>
                              </w:pPr>
                              <w:r w:rsidRPr="00F666F1">
                                <w:rPr>
                                  <w:rFonts w:ascii="Calibri" w:eastAsia="Calibri" w:hAnsi="Calibri"/>
                                  <w:color w:val="000000"/>
                                  <w:kern w:val="24"/>
                                  <w:sz w:val="16"/>
                                  <w:szCs w:val="16"/>
                                </w:rPr>
                                <w:t> </w:t>
                              </w:r>
                            </w:p>
                          </w:txbxContent>
                        </wps:txbx>
                        <wps:bodyPr rot="0" vert="horz" wrap="square" lIns="91440" tIns="45720" rIns="91440" bIns="45720" anchor="t" anchorCtr="0" upright="1">
                          <a:noAutofit/>
                        </wps:bodyPr>
                      </wps:wsp>
                      <wps:wsp>
                        <wps:cNvPr id="276" name="Text Box 8"/>
                        <wps:cNvSpPr txBox="1">
                          <a:spLocks noChangeArrowheads="1"/>
                        </wps:cNvSpPr>
                        <wps:spPr bwMode="auto">
                          <a:xfrm>
                            <a:off x="3943350" y="2276475"/>
                            <a:ext cx="2471420" cy="529590"/>
                          </a:xfrm>
                          <a:prstGeom prst="rect">
                            <a:avLst/>
                          </a:prstGeom>
                          <a:solidFill>
                            <a:srgbClr val="FFFFFF"/>
                          </a:solidFill>
                          <a:ln w="9525">
                            <a:solidFill>
                              <a:srgbClr val="000000"/>
                            </a:solidFill>
                            <a:miter lim="800000"/>
                            <a:headEnd/>
                            <a:tailEnd/>
                          </a:ln>
                        </wps:spPr>
                        <wps:txbx>
                          <w:txbxContent>
                            <w:p w14:paraId="540876C2"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Additional studies identified from conference meetings</w:t>
                              </w:r>
                            </w:p>
                            <w:p w14:paraId="63C0C3DF"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n = 9</w:t>
                              </w:r>
                            </w:p>
                            <w:p w14:paraId="75272237" w14:textId="77777777" w:rsidR="00DF4D7C" w:rsidRPr="00170492" w:rsidRDefault="00DF4D7C" w:rsidP="00591562">
                              <w:pPr>
                                <w:pStyle w:val="NormalWeb"/>
                                <w:spacing w:before="0" w:beforeAutospacing="0" w:after="0" w:afterAutospacing="0"/>
                                <w:rPr>
                                  <w:sz w:val="16"/>
                                  <w:szCs w:val="16"/>
                                </w:rPr>
                              </w:pPr>
                              <w:r w:rsidRPr="00F666F1">
                                <w:rPr>
                                  <w:rFonts w:eastAsia="Calibri"/>
                                  <w:b/>
                                  <w:bCs/>
                                  <w:color w:val="000000"/>
                                  <w:kern w:val="24"/>
                                  <w:sz w:val="16"/>
                                  <w:szCs w:val="16"/>
                                  <w:lang w:val="en-GB"/>
                                </w:rPr>
                                <w:t> </w:t>
                              </w:r>
                            </w:p>
                            <w:p w14:paraId="7958A0DF" w14:textId="77777777" w:rsidR="00DF4D7C" w:rsidRPr="00170492" w:rsidRDefault="00DF4D7C" w:rsidP="00591562">
                              <w:pPr>
                                <w:pStyle w:val="NormalWeb"/>
                                <w:spacing w:before="0" w:beforeAutospacing="0" w:after="0" w:afterAutospacing="0"/>
                                <w:rPr>
                                  <w:sz w:val="16"/>
                                  <w:szCs w:val="16"/>
                                </w:rPr>
                              </w:pPr>
                              <w:r w:rsidRPr="00F666F1">
                                <w:rPr>
                                  <w:rFonts w:eastAsia="Calibri"/>
                                  <w:color w:val="000000"/>
                                  <w:kern w:val="24"/>
                                  <w:sz w:val="16"/>
                                  <w:szCs w:val="16"/>
                                  <w:lang w:val="en-GB"/>
                                </w:rPr>
                                <w:t> </w:t>
                              </w:r>
                            </w:p>
                            <w:p w14:paraId="582085D1" w14:textId="77777777" w:rsidR="00DF4D7C" w:rsidRPr="00170492" w:rsidRDefault="00DF4D7C" w:rsidP="00591562">
                              <w:pPr>
                                <w:pStyle w:val="NormalWeb"/>
                                <w:spacing w:before="0" w:beforeAutospacing="0" w:after="0" w:afterAutospacing="0"/>
                                <w:rPr>
                                  <w:sz w:val="16"/>
                                  <w:szCs w:val="16"/>
                                </w:rPr>
                              </w:pPr>
                              <w:r w:rsidRPr="00F666F1">
                                <w:rPr>
                                  <w:rFonts w:eastAsia="Calibri"/>
                                  <w:color w:val="000000"/>
                                  <w:kern w:val="24"/>
                                  <w:sz w:val="16"/>
                                  <w:szCs w:val="16"/>
                                  <w:lang w:val="en-GB"/>
                                </w:rPr>
                                <w:t> </w:t>
                              </w:r>
                            </w:p>
                          </w:txbxContent>
                        </wps:txbx>
                        <wps:bodyPr rot="0" vert="horz" wrap="square" lIns="91440" tIns="45720" rIns="91440" bIns="45720" anchor="t" anchorCtr="0" upright="1">
                          <a:noAutofit/>
                        </wps:bodyPr>
                      </wps:wsp>
                      <wps:wsp>
                        <wps:cNvPr id="277" name="Text Box 9"/>
                        <wps:cNvSpPr txBox="1">
                          <a:spLocks noChangeArrowheads="1"/>
                        </wps:cNvSpPr>
                        <wps:spPr bwMode="auto">
                          <a:xfrm>
                            <a:off x="3895725" y="9525"/>
                            <a:ext cx="2524760" cy="539115"/>
                          </a:xfrm>
                          <a:prstGeom prst="rect">
                            <a:avLst/>
                          </a:prstGeom>
                          <a:solidFill>
                            <a:srgbClr val="FFFFFF"/>
                          </a:solidFill>
                          <a:ln w="9525">
                            <a:solidFill>
                              <a:srgbClr val="000000"/>
                            </a:solidFill>
                            <a:miter lim="800000"/>
                            <a:headEnd/>
                            <a:tailEnd/>
                          </a:ln>
                        </wps:spPr>
                        <wps:txbx>
                          <w:txbxContent>
                            <w:p w14:paraId="7B678DCC"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 xml:space="preserve">References derived from ASCO (n = 1491) and ESMO (n = 357) until February 2017 </w:t>
                              </w:r>
                            </w:p>
                            <w:p w14:paraId="4EB7C71D"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Total n = 1848</w:t>
                              </w:r>
                            </w:p>
                          </w:txbxContent>
                        </wps:txbx>
                        <wps:bodyPr rot="0" vert="horz" wrap="square" lIns="91440" tIns="45720" rIns="91440" bIns="45720" anchor="t" anchorCtr="0" upright="1">
                          <a:noAutofit/>
                        </wps:bodyPr>
                      </wps:wsp>
                      <wps:wsp>
                        <wps:cNvPr id="278" name="Text Box 10"/>
                        <wps:cNvSpPr txBox="1">
                          <a:spLocks noChangeArrowheads="1"/>
                        </wps:cNvSpPr>
                        <wps:spPr bwMode="auto">
                          <a:xfrm>
                            <a:off x="4705350" y="1743075"/>
                            <a:ext cx="1984104" cy="405130"/>
                          </a:xfrm>
                          <a:prstGeom prst="rect">
                            <a:avLst/>
                          </a:prstGeom>
                          <a:solidFill>
                            <a:srgbClr val="FFFFFF"/>
                          </a:solidFill>
                          <a:ln w="9525">
                            <a:solidFill>
                              <a:srgbClr val="000000"/>
                            </a:solidFill>
                            <a:miter lim="800000"/>
                            <a:headEnd/>
                            <a:tailEnd/>
                          </a:ln>
                        </wps:spPr>
                        <wps:txbx>
                          <w:txbxContent>
                            <w:p w14:paraId="7688F4AD"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b/>
                                  <w:bCs/>
                                  <w:color w:val="000000"/>
                                  <w:kern w:val="24"/>
                                  <w:sz w:val="16"/>
                                  <w:szCs w:val="16"/>
                                  <w:lang w:val="en-GB"/>
                                </w:rPr>
                                <w:t xml:space="preserve">Excluded based on title and abstract </w:t>
                              </w:r>
                            </w:p>
                            <w:p w14:paraId="7F1F92D8"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n = 1839</w:t>
                              </w:r>
                            </w:p>
                          </w:txbxContent>
                        </wps:txbx>
                        <wps:bodyPr rot="0" vert="horz" wrap="square" lIns="91440" tIns="45720" rIns="91440" bIns="45720" anchor="t" anchorCtr="0" upright="1">
                          <a:noAutofit/>
                        </wps:bodyPr>
                      </wps:wsp>
                      <wps:wsp>
                        <wps:cNvPr id="279" name="AutoShape 87"/>
                        <wps:cNvCnPr>
                          <a:cxnSpLocks noChangeShapeType="1"/>
                        </wps:cNvCnPr>
                        <wps:spPr bwMode="auto">
                          <a:xfrm>
                            <a:off x="4552950" y="1943100"/>
                            <a:ext cx="146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6B795976" id="Groep 263" o:spid="_x0000_s1026" style="position:absolute;margin-left:-24.25pt;margin-top:33.75pt;width:488.2pt;height:352.5pt;z-index:251659776;mso-width-relative:margin;mso-height-relative:margin" coordsize="66894,48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 o:spid="_x0000_s1027" type="#_x0000_t34" style="position:absolute;left:22955;top:25717;width:44697;height:45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" adj="10798"/>
                <v:shapetype id="_x0000_t32" coordsize="21600,21600" o:spt="32" o:oned="t" path="m,l21600,21600e" filled="f">
                  <v:path arrowok="t" fillok="f" o:connecttype="none"/>
                  <o:lock v:ext="edit" shapetype="t"/>
                </v:shapetype>
                <v:shape id="AutoShape 20" o:spid="_x0000_s1028" type="#_x0000_t32" style="position:absolute;left:27813;top:8667;width:24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"/>
                <v:shape id="AutoShape 51" o:spid="_x0000_s1029" type="#_x0000_t32" style="position:absolute;left:9001;top:25479;width:42424;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"/>
                <v:shapetype id="_x0000_t202" coordsize="21600,21600" o:spt="202" path="m,l,21600r21600,l21600,xe">
                  <v:stroke joinstyle="miter"/>
                  <v:path gradientshapeok="t" o:connecttype="rect"/>
                </v:shapetype>
                <v:shape id="Text Box 10" o:spid="_x0000_s1030" type="#_x0000_t202" style="position:absolute;left:15240;top:22764;width:21932;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">
                  <v:textbox>
                    <w:txbxContent>
                      <w:p w14:paraId="3D2EC559"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References for full-text assessment</w:t>
                        </w:r>
                      </w:p>
                      <w:p w14:paraId="4655BFF9"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n = 191</w:t>
                        </w:r>
                      </w:p>
                      <w:p w14:paraId="62B288B9"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w:t>
                        </w:r>
                      </w:p>
                      <w:p w14:paraId="7634162B"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w:t>
                        </w:r>
                      </w:p>
                      <w:p w14:paraId="47435E37"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w:t>
                        </w:r>
                      </w:p>
                    </w:txbxContent>
                  </v:textbox>
                </v:shape>
                <v:shape id="Text Box 6" o:spid="_x0000_s1031" type="#_x0000_t202" style="position:absolute;left:1809;width:35338;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">
                  <v:textbox>
                    <w:txbxContent>
                      <w:p w14:paraId="661FEC3C"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References derived from Medline, EMBASE and CENTRAL</w:t>
                        </w:r>
                      </w:p>
                      <w:p w14:paraId="71B6A338"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 xml:space="preserve">until February 2017 </w:t>
                        </w:r>
                      </w:p>
                      <w:p w14:paraId="06A08AFE"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n = 7888</w:t>
                        </w:r>
                      </w:p>
                    </w:txbxContent>
                  </v:textbox>
                </v:shape>
                <v:shape id="Text Box 3" o:spid="_x0000_s1032" type="#_x0000_t202" style="position:absolute;left:2667;top:12192;width:34505;height:3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">
                  <v:textbox>
                    <w:txbxContent>
                      <w:p w14:paraId="33755FB4"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Unique references for screening based on title and abstract</w:t>
                        </w:r>
                      </w:p>
                      <w:p w14:paraId="38E53C4E"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n = 5765</w:t>
                        </w:r>
                      </w:p>
                      <w:p w14:paraId="4D4753DA" w14:textId="77777777" w:rsidR="00DF4D7C" w:rsidRPr="00170492" w:rsidRDefault="00DF4D7C" w:rsidP="00591562">
                        <w:pPr>
                          <w:pStyle w:val="NormalWeb"/>
                          <w:spacing w:before="0" w:beforeAutospacing="0" w:after="0" w:afterAutospacing="0"/>
                          <w:rPr>
                            <w:sz w:val="16"/>
                            <w:szCs w:val="16"/>
                          </w:rPr>
                        </w:pPr>
                        <w:r w:rsidRPr="00F666F1">
                          <w:rPr>
                            <w:rFonts w:ascii="Calibri" w:eastAsia="Calibri" w:hAnsi="Calibri"/>
                            <w:color w:val="000000"/>
                            <w:kern w:val="24"/>
                            <w:sz w:val="16"/>
                            <w:szCs w:val="16"/>
                          </w:rPr>
                          <w:t> </w:t>
                        </w:r>
                      </w:p>
                    </w:txbxContent>
                  </v:textbox>
                </v:shape>
                <v:shape id="AutoShape 87" o:spid="_x0000_s1033" type="#_x0000_t32" style="position:absolute;left:27908;top:19431;width:24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"/>
                <v:shape id="AutoShape 88" o:spid="_x0000_s1034" type="#_x0000_t32" style="position:absolute;left:27813;top:35337;width:24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"/>
                <v:shape id="Text Box 63" o:spid="_x0000_s1035" type="#_x0000_t202" style="position:absolute;left:20764;top:45529;width:34188;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">
                  <v:textbox>
                    <w:txbxContent>
                      <w:p w14:paraId="7F829C97"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Studies eligible for systematic review: n = 93</w:t>
                        </w:r>
                      </w:p>
                      <w:p w14:paraId="50BE5C31" w14:textId="77777777" w:rsidR="00DF4D7C" w:rsidRPr="00170492" w:rsidRDefault="00DF4D7C" w:rsidP="00591562">
                        <w:pPr>
                          <w:pStyle w:val="NormalWeb"/>
                          <w:spacing w:before="0" w:beforeAutospacing="0" w:after="0" w:afterAutospacing="0"/>
                          <w:rPr>
                            <w:sz w:val="16"/>
                            <w:szCs w:val="16"/>
                            <w:lang w:val="en-US"/>
                          </w:rPr>
                        </w:pPr>
                      </w:p>
                      <w:p w14:paraId="31E3B013"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b/>
                            <w:bCs/>
                            <w:color w:val="000000"/>
                            <w:kern w:val="24"/>
                            <w:sz w:val="16"/>
                            <w:szCs w:val="16"/>
                            <w:lang w:val="en-GB"/>
                          </w:rPr>
                          <w:t> </w:t>
                        </w:r>
                      </w:p>
                      <w:p w14:paraId="06E68E71"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w:t>
                        </w:r>
                      </w:p>
                      <w:p w14:paraId="55F327BE" w14:textId="77777777" w:rsidR="00DF4D7C" w:rsidRPr="00170492" w:rsidRDefault="00DF4D7C" w:rsidP="00591562">
                        <w:pPr>
                          <w:pStyle w:val="NormalWeb"/>
                          <w:spacing w:before="0" w:beforeAutospacing="0" w:after="0" w:afterAutospacing="0"/>
                          <w:rPr>
                            <w:sz w:val="16"/>
                            <w:szCs w:val="16"/>
                            <w:lang w:val="en-US"/>
                          </w:rPr>
                        </w:pPr>
                      </w:p>
                      <w:p w14:paraId="6C4881AE" w14:textId="77777777" w:rsidR="00DF4D7C" w:rsidRPr="00170492" w:rsidRDefault="00DF4D7C" w:rsidP="00591562">
                        <w:pPr>
                          <w:pStyle w:val="NormalWeb"/>
                          <w:spacing w:before="0" w:beforeAutospacing="0" w:after="0" w:afterAutospacing="0"/>
                          <w:rPr>
                            <w:sz w:val="16"/>
                            <w:szCs w:val="16"/>
                            <w:lang w:val="en-US"/>
                          </w:rPr>
                        </w:pPr>
                      </w:p>
                    </w:txbxContent>
                  </v:textbox>
                </v:shape>
                <v:shape id="Text Box 11" o:spid="_x0000_s1036" type="#_x0000_t202" style="position:absolute;top:28098;width:28721;height:13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">
                  <v:textbox>
                    <w:txbxContent>
                      <w:p w14:paraId="1095A0E5"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b/>
                            <w:bCs/>
                            <w:color w:val="000000"/>
                            <w:kern w:val="24"/>
                            <w:sz w:val="16"/>
                            <w:szCs w:val="16"/>
                            <w:lang w:val="en-GB"/>
                          </w:rPr>
                          <w:t>Excluded after detailed assessment: n = 107</w:t>
                        </w:r>
                      </w:p>
                      <w:p w14:paraId="574A3321"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Studies without data on toxicity: n = 83</w:t>
                        </w:r>
                      </w:p>
                      <w:p w14:paraId="54984CD5" w14:textId="77777777" w:rsidR="00DF4D7C" w:rsidRPr="00170492" w:rsidRDefault="00DF4D7C" w:rsidP="00591562">
                        <w:pPr>
                          <w:pStyle w:val="NormalWeb"/>
                          <w:spacing w:before="0" w:beforeAutospacing="0" w:after="0" w:afterAutospacing="0"/>
                          <w:rPr>
                            <w:sz w:val="16"/>
                            <w:szCs w:val="16"/>
                            <w:lang w:val="en-US"/>
                          </w:rPr>
                        </w:pPr>
                        <w:r w:rsidRPr="00F666F1">
                          <w:rPr>
                            <w:rFonts w:eastAsia="ArialMT"/>
                            <w:color w:val="000000"/>
                            <w:kern w:val="24"/>
                            <w:sz w:val="16"/>
                            <w:szCs w:val="16"/>
                            <w:lang w:val="en-GB"/>
                          </w:rPr>
                          <w:t xml:space="preserve">- Outdated preliminary results: n = 11 </w:t>
                        </w:r>
                      </w:p>
                      <w:p w14:paraId="71C86B08" w14:textId="77777777" w:rsidR="00DF4D7C" w:rsidRPr="00170492" w:rsidRDefault="00DF4D7C" w:rsidP="00591562">
                        <w:pPr>
                          <w:pStyle w:val="NormalWeb"/>
                          <w:spacing w:before="0" w:beforeAutospacing="0" w:after="0" w:afterAutospacing="0"/>
                          <w:rPr>
                            <w:sz w:val="16"/>
                            <w:szCs w:val="16"/>
                            <w:lang w:val="en-US"/>
                          </w:rPr>
                        </w:pPr>
                        <w:r w:rsidRPr="00F666F1">
                          <w:rPr>
                            <w:rFonts w:eastAsia="ArialMT"/>
                            <w:color w:val="000000"/>
                            <w:kern w:val="24"/>
                            <w:sz w:val="16"/>
                            <w:szCs w:val="16"/>
                            <w:lang w:val="en-GB"/>
                          </w:rPr>
                          <w:t>- Study described two simultaneously conducted single arm studies: n = 3</w:t>
                        </w:r>
                      </w:p>
                      <w:p w14:paraId="30BF0213" w14:textId="77777777" w:rsidR="00DF4D7C" w:rsidRPr="00170492" w:rsidRDefault="00DF4D7C" w:rsidP="00591562">
                        <w:pPr>
                          <w:pStyle w:val="NormalWeb"/>
                          <w:spacing w:before="0" w:beforeAutospacing="0" w:after="0" w:afterAutospacing="0"/>
                          <w:rPr>
                            <w:sz w:val="16"/>
                            <w:szCs w:val="16"/>
                            <w:lang w:val="en-US"/>
                          </w:rPr>
                        </w:pPr>
                        <w:r w:rsidRPr="00F666F1">
                          <w:rPr>
                            <w:rFonts w:eastAsia="ArialMT"/>
                            <w:color w:val="000000"/>
                            <w:kern w:val="24"/>
                            <w:sz w:val="16"/>
                            <w:szCs w:val="16"/>
                            <w:lang w:val="en-GB"/>
                          </w:rPr>
                          <w:t>- Retrospective studies: n = 2</w:t>
                        </w:r>
                      </w:p>
                      <w:p w14:paraId="2ABF6999"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xml:space="preserve">- </w:t>
                        </w:r>
                        <w:r w:rsidRPr="00F666F1">
                          <w:rPr>
                            <w:rFonts w:eastAsia="ArialMT"/>
                            <w:color w:val="000000"/>
                            <w:kern w:val="24"/>
                            <w:sz w:val="16"/>
                            <w:szCs w:val="16"/>
                            <w:lang w:val="en-GB"/>
                          </w:rPr>
                          <w:t>Not randomized: n = 3</w:t>
                        </w:r>
                      </w:p>
                      <w:p w14:paraId="0C42CC21"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Protocol: n = 3</w:t>
                        </w:r>
                      </w:p>
                      <w:p w14:paraId="799DD4A4"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color w:val="000000"/>
                            <w:kern w:val="24"/>
                            <w:sz w:val="16"/>
                            <w:szCs w:val="16"/>
                            <w:lang w:val="en-GB"/>
                          </w:rPr>
                          <w:t>- Study with outdated chemotherapy arms: n = 2</w:t>
                        </w:r>
                      </w:p>
                      <w:p w14:paraId="36F3A2CC" w14:textId="77777777" w:rsidR="00DF4D7C" w:rsidRPr="00170492" w:rsidRDefault="00DF4D7C" w:rsidP="00591562">
                        <w:pPr>
                          <w:pStyle w:val="NormalWeb"/>
                          <w:spacing w:before="0" w:beforeAutospacing="0" w:after="0" w:afterAutospacing="0"/>
                          <w:rPr>
                            <w:sz w:val="16"/>
                            <w:szCs w:val="16"/>
                            <w:lang w:val="en-US"/>
                          </w:rPr>
                        </w:pPr>
                        <w:r w:rsidRPr="00F666F1">
                          <w:rPr>
                            <w:rFonts w:ascii="Calibri" w:eastAsia="Calibri" w:hAnsi="Calibri"/>
                            <w:color w:val="000000"/>
                            <w:kern w:val="24"/>
                            <w:sz w:val="16"/>
                            <w:szCs w:val="16"/>
                            <w:lang w:val="en-US"/>
                          </w:rPr>
                          <w:t> </w:t>
                        </w:r>
                      </w:p>
                    </w:txbxContent>
                  </v:textbox>
                </v:shape>
                <v:shape id="Text Box 4" o:spid="_x0000_s1037" type="#_x0000_t202" style="position:absolute;left:6572;top:17430;width:22225;height:4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">
                  <v:textbox>
                    <w:txbxContent>
                      <w:p w14:paraId="4AD1EE93"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b/>
                            <w:bCs/>
                            <w:color w:val="000000"/>
                            <w:kern w:val="24"/>
                            <w:sz w:val="16"/>
                            <w:szCs w:val="16"/>
                            <w:lang w:val="en-GB"/>
                          </w:rPr>
                          <w:t xml:space="preserve">Excluded based on title and abstract </w:t>
                        </w:r>
                      </w:p>
                      <w:p w14:paraId="72BA5417"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n = 5574</w:t>
                        </w:r>
                      </w:p>
                    </w:txbxContent>
                  </v:textbox>
                </v:shape>
                <v:shape id="Text Box 5" o:spid="_x0000_s1038" type="#_x0000_t202" style="position:absolute;left:14668;top:6953;width:14173;height:4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">
                  <v:textbox>
                    <w:txbxContent>
                      <w:p w14:paraId="32407326"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rPr>
                          <w:t>Removed duplicates</w:t>
                        </w:r>
                      </w:p>
                      <w:p w14:paraId="6D8E375E"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rPr>
                          <w:t>n = 2123</w:t>
                        </w:r>
                      </w:p>
                      <w:p w14:paraId="03EF04B1" w14:textId="77777777" w:rsidR="00DF4D7C" w:rsidRPr="00170492" w:rsidRDefault="00DF4D7C" w:rsidP="00591562">
                        <w:pPr>
                          <w:pStyle w:val="NormalWeb"/>
                          <w:spacing w:before="0" w:beforeAutospacing="0" w:after="0" w:afterAutospacing="0"/>
                          <w:rPr>
                            <w:sz w:val="16"/>
                            <w:szCs w:val="16"/>
                          </w:rPr>
                        </w:pPr>
                        <w:r w:rsidRPr="00F666F1">
                          <w:rPr>
                            <w:rFonts w:ascii="Calibri" w:eastAsia="Calibri" w:hAnsi="Calibri"/>
                            <w:color w:val="000000"/>
                            <w:kern w:val="24"/>
                            <w:sz w:val="16"/>
                            <w:szCs w:val="16"/>
                          </w:rPr>
                          <w:t> </w:t>
                        </w:r>
                      </w:p>
                    </w:txbxContent>
                  </v:textbox>
                </v:shape>
                <v:shape id="Text Box 8" o:spid="_x0000_s1039" type="#_x0000_t202" style="position:absolute;left:39433;top:22764;width:24714;height:5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">
                  <v:textbox>
                    <w:txbxContent>
                      <w:p w14:paraId="540876C2"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Additional studies identified from conference meetings</w:t>
                        </w:r>
                      </w:p>
                      <w:p w14:paraId="63C0C3DF"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n = 9</w:t>
                        </w:r>
                      </w:p>
                      <w:p w14:paraId="75272237" w14:textId="77777777" w:rsidR="00DF4D7C" w:rsidRPr="00170492" w:rsidRDefault="00DF4D7C" w:rsidP="00591562">
                        <w:pPr>
                          <w:pStyle w:val="NormalWeb"/>
                          <w:spacing w:before="0" w:beforeAutospacing="0" w:after="0" w:afterAutospacing="0"/>
                          <w:rPr>
                            <w:sz w:val="16"/>
                            <w:szCs w:val="16"/>
                          </w:rPr>
                        </w:pPr>
                        <w:r w:rsidRPr="00F666F1">
                          <w:rPr>
                            <w:rFonts w:eastAsia="Calibri"/>
                            <w:b/>
                            <w:bCs/>
                            <w:color w:val="000000"/>
                            <w:kern w:val="24"/>
                            <w:sz w:val="16"/>
                            <w:szCs w:val="16"/>
                            <w:lang w:val="en-GB"/>
                          </w:rPr>
                          <w:t> </w:t>
                        </w:r>
                      </w:p>
                      <w:p w14:paraId="7958A0DF" w14:textId="77777777" w:rsidR="00DF4D7C" w:rsidRPr="00170492" w:rsidRDefault="00DF4D7C" w:rsidP="00591562">
                        <w:pPr>
                          <w:pStyle w:val="NormalWeb"/>
                          <w:spacing w:before="0" w:beforeAutospacing="0" w:after="0" w:afterAutospacing="0"/>
                          <w:rPr>
                            <w:sz w:val="16"/>
                            <w:szCs w:val="16"/>
                          </w:rPr>
                        </w:pPr>
                        <w:r w:rsidRPr="00F666F1">
                          <w:rPr>
                            <w:rFonts w:eastAsia="Calibri"/>
                            <w:color w:val="000000"/>
                            <w:kern w:val="24"/>
                            <w:sz w:val="16"/>
                            <w:szCs w:val="16"/>
                            <w:lang w:val="en-GB"/>
                          </w:rPr>
                          <w:t> </w:t>
                        </w:r>
                      </w:p>
                      <w:p w14:paraId="582085D1" w14:textId="77777777" w:rsidR="00DF4D7C" w:rsidRPr="00170492" w:rsidRDefault="00DF4D7C" w:rsidP="00591562">
                        <w:pPr>
                          <w:pStyle w:val="NormalWeb"/>
                          <w:spacing w:before="0" w:beforeAutospacing="0" w:after="0" w:afterAutospacing="0"/>
                          <w:rPr>
                            <w:sz w:val="16"/>
                            <w:szCs w:val="16"/>
                          </w:rPr>
                        </w:pPr>
                        <w:r w:rsidRPr="00F666F1">
                          <w:rPr>
                            <w:rFonts w:eastAsia="Calibri"/>
                            <w:color w:val="000000"/>
                            <w:kern w:val="24"/>
                            <w:sz w:val="16"/>
                            <w:szCs w:val="16"/>
                            <w:lang w:val="en-GB"/>
                          </w:rPr>
                          <w:t> </w:t>
                        </w:r>
                      </w:p>
                    </w:txbxContent>
                  </v:textbox>
                </v:shape>
                <v:shape id="Text Box 9" o:spid="_x0000_s1040" type="#_x0000_t202" style="position:absolute;left:38957;top:95;width:25247;height:5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">
                  <v:textbox>
                    <w:txbxContent>
                      <w:p w14:paraId="7B678DCC" w14:textId="77777777" w:rsidR="00DF4D7C" w:rsidRPr="00170492" w:rsidRDefault="00DF4D7C" w:rsidP="00591562">
                        <w:pPr>
                          <w:pStyle w:val="NormalWeb"/>
                          <w:spacing w:before="0" w:beforeAutospacing="0" w:after="0" w:afterAutospacing="0"/>
                          <w:jc w:val="center"/>
                          <w:rPr>
                            <w:sz w:val="16"/>
                            <w:szCs w:val="16"/>
                            <w:lang w:val="en-US"/>
                          </w:rPr>
                        </w:pPr>
                        <w:r w:rsidRPr="00F666F1">
                          <w:rPr>
                            <w:rFonts w:eastAsia="Calibri"/>
                            <w:b/>
                            <w:bCs/>
                            <w:color w:val="000000"/>
                            <w:kern w:val="24"/>
                            <w:sz w:val="16"/>
                            <w:szCs w:val="16"/>
                            <w:lang w:val="en-GB"/>
                          </w:rPr>
                          <w:t xml:space="preserve">References derived from ASCO (n = 1491) and ESMO (n = 357) until February 2017 </w:t>
                        </w:r>
                      </w:p>
                      <w:p w14:paraId="4EB7C71D"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Total n = 1848</w:t>
                        </w:r>
                      </w:p>
                    </w:txbxContent>
                  </v:textbox>
                </v:shape>
                <v:shape id="Text Box 10" o:spid="_x0000_s1041" type="#_x0000_t202" style="position:absolute;left:47053;top:17430;width:19841;height:4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">
                  <v:textbox>
                    <w:txbxContent>
                      <w:p w14:paraId="7688F4AD" w14:textId="77777777" w:rsidR="00DF4D7C" w:rsidRPr="00170492" w:rsidRDefault="00DF4D7C" w:rsidP="00591562">
                        <w:pPr>
                          <w:pStyle w:val="NormalWeb"/>
                          <w:spacing w:before="0" w:beforeAutospacing="0" w:after="0" w:afterAutospacing="0"/>
                          <w:rPr>
                            <w:sz w:val="16"/>
                            <w:szCs w:val="16"/>
                            <w:lang w:val="en-US"/>
                          </w:rPr>
                        </w:pPr>
                        <w:r w:rsidRPr="00F666F1">
                          <w:rPr>
                            <w:rFonts w:eastAsia="Calibri"/>
                            <w:b/>
                            <w:bCs/>
                            <w:color w:val="000000"/>
                            <w:kern w:val="24"/>
                            <w:sz w:val="16"/>
                            <w:szCs w:val="16"/>
                            <w:lang w:val="en-GB"/>
                          </w:rPr>
                          <w:t xml:space="preserve">Excluded based on title and abstract </w:t>
                        </w:r>
                      </w:p>
                      <w:p w14:paraId="7F1F92D8" w14:textId="77777777" w:rsidR="00DF4D7C" w:rsidRPr="00170492" w:rsidRDefault="00DF4D7C" w:rsidP="00591562">
                        <w:pPr>
                          <w:pStyle w:val="NormalWeb"/>
                          <w:spacing w:before="0" w:beforeAutospacing="0" w:after="0" w:afterAutospacing="0"/>
                          <w:jc w:val="center"/>
                          <w:rPr>
                            <w:sz w:val="16"/>
                            <w:szCs w:val="16"/>
                          </w:rPr>
                        </w:pPr>
                        <w:r w:rsidRPr="00F666F1">
                          <w:rPr>
                            <w:rFonts w:eastAsia="Calibri"/>
                            <w:b/>
                            <w:bCs/>
                            <w:color w:val="000000"/>
                            <w:kern w:val="24"/>
                            <w:sz w:val="16"/>
                            <w:szCs w:val="16"/>
                            <w:lang w:val="en-GB"/>
                          </w:rPr>
                          <w:t>n = 1839</w:t>
                        </w:r>
                      </w:p>
                    </w:txbxContent>
                  </v:textbox>
                </v:shape>
                <v:shape id="AutoShape 87" o:spid="_x0000_s1042" type="#_x0000_t32" style="position:absolute;left:45529;top:19431;width:146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"/>
              </v:group>
            </w:pict>
          </mc:Fallback>
        </mc:AlternateContent>
      </w:r>
    </w:p>
    <w:p w14:paraId="60E9C870" w14:textId="77777777" w:rsidR="00591562" w:rsidRDefault="00591562" w:rsidP="00591562">
      <w:pPr>
        <w:spacing w:line="360" w:lineRule="auto"/>
        <w:outlineLvl w:val="0"/>
        <w:rPr>
          <w:rFonts w:ascii="Times New Roman" w:eastAsia="Times" w:hAnsi="Times New Roman"/>
          <w:b/>
          <w:bCs/>
          <w:sz w:val="24"/>
          <w:szCs w:val="24"/>
          <w:lang w:val="en-US"/>
        </w:rPr>
      </w:pPr>
    </w:p>
    <w:p w14:paraId="03BB4B94" w14:textId="77777777" w:rsidR="00591562" w:rsidRPr="00B12DBC" w:rsidRDefault="00591562" w:rsidP="00591562">
      <w:pPr>
        <w:spacing w:line="360" w:lineRule="auto"/>
        <w:outlineLvl w:val="0"/>
        <w:rPr>
          <w:rFonts w:ascii="Times New Roman" w:eastAsia="Times" w:hAnsi="Times New Roman"/>
          <w:b/>
          <w:bCs/>
          <w:sz w:val="24"/>
          <w:szCs w:val="24"/>
          <w:lang w:val="en-US"/>
        </w:rPr>
      </w:pPr>
    </w:p>
    <w:p w14:paraId="434F2CE8" w14:textId="77777777" w:rsidR="00591562" w:rsidRPr="00B12DBC" w:rsidRDefault="00591562" w:rsidP="00591562">
      <w:pPr>
        <w:spacing w:after="0" w:line="240" w:lineRule="auto"/>
        <w:rPr>
          <w:rFonts w:ascii="Times New Roman" w:eastAsia="Times" w:hAnsi="Times New Roman"/>
          <w:b/>
          <w:bCs/>
          <w:sz w:val="24"/>
          <w:szCs w:val="24"/>
          <w:lang w:val="en-US"/>
        </w:rPr>
      </w:pPr>
    </w:p>
    <w:p w14:paraId="4F7A8657" w14:textId="77777777" w:rsidR="00591562" w:rsidRPr="00B12DBC" w:rsidRDefault="00591562" w:rsidP="00591562">
      <w:pPr>
        <w:spacing w:after="0" w:line="240" w:lineRule="auto"/>
        <w:rPr>
          <w:rFonts w:ascii="Times New Roman" w:eastAsia="Times" w:hAnsi="Times New Roman"/>
          <w:b/>
          <w:bCs/>
          <w:sz w:val="24"/>
          <w:szCs w:val="24"/>
          <w:lang w:val="en-US"/>
        </w:rPr>
      </w:pPr>
    </w:p>
    <w:p w14:paraId="59B0A62C" w14:textId="68E3D9D2" w:rsidR="00B61A3A" w:rsidRPr="00BA62DB" w:rsidRDefault="00591562" w:rsidP="00BA62DB">
      <w:pPr>
        <w:spacing w:before="240" w:line="480" w:lineRule="auto"/>
        <w:rPr>
          <w:rFonts w:ascii="Times New Roman" w:eastAsia="ArialMT" w:hAnsi="Times New Roman"/>
          <w:sz w:val="24"/>
          <w:szCs w:val="24"/>
          <w:lang w:val="en-GB"/>
        </w:rPr>
      </w:pPr>
      <w:r w:rsidRPr="00B12DBC">
        <w:rPr>
          <w:rFonts w:ascii="Times New Roman" w:eastAsia="Times" w:hAnsi="Times New Roman"/>
          <w:b/>
          <w:bCs/>
          <w:sz w:val="24"/>
          <w:szCs w:val="24"/>
          <w:lang w:val="en-US"/>
        </w:rPr>
        <w:br w:type="page"/>
      </w:r>
      <w:r w:rsidRPr="00B12DBC">
        <w:rPr>
          <w:rFonts w:ascii="Times New Roman" w:eastAsia="Times" w:hAnsi="Times New Roman"/>
          <w:b/>
          <w:bCs/>
          <w:sz w:val="24"/>
          <w:szCs w:val="24"/>
          <w:lang w:val="en-US"/>
        </w:rPr>
        <w:lastRenderedPageBreak/>
        <w:t xml:space="preserve">Supplementary table 2. Baseline characteristics of included studies </w:t>
      </w:r>
      <w:r>
        <w:rPr>
          <w:rFonts w:ascii="Times New Roman" w:eastAsia="Times" w:hAnsi="Times New Roman"/>
          <w:b/>
          <w:bCs/>
          <w:sz w:val="24"/>
          <w:szCs w:val="24"/>
          <w:lang w:val="en-US"/>
        </w:rPr>
        <w:br/>
      </w:r>
      <w:r w:rsidRPr="00B12DBC">
        <w:rPr>
          <w:rFonts w:ascii="Times New Roman" w:eastAsia="ArialMT" w:hAnsi="Times New Roman"/>
          <w:sz w:val="24"/>
          <w:szCs w:val="24"/>
          <w:lang w:val="en-GB"/>
        </w:rPr>
        <w:t xml:space="preserve">Abbreviations: 5-FU: 5-fluorouracil, Cap: capecitabine, Cis: cisplatin, DTX: docetaxel, Epi: </w:t>
      </w:r>
      <w:proofErr w:type="spellStart"/>
      <w:r w:rsidRPr="00B12DBC">
        <w:rPr>
          <w:rFonts w:ascii="Times New Roman" w:eastAsia="ArialMT" w:hAnsi="Times New Roman"/>
          <w:sz w:val="24"/>
          <w:szCs w:val="24"/>
          <w:lang w:val="en-GB"/>
        </w:rPr>
        <w:t>Epirubicin</w:t>
      </w:r>
      <w:proofErr w:type="spellEnd"/>
      <w:r w:rsidRPr="00B12DBC">
        <w:rPr>
          <w:rFonts w:ascii="Times New Roman" w:eastAsia="ArialMT" w:hAnsi="Times New Roman"/>
          <w:sz w:val="24"/>
          <w:szCs w:val="24"/>
          <w:lang w:val="en-GB"/>
        </w:rPr>
        <w:t>, GEJ: gastro-</w:t>
      </w:r>
      <w:proofErr w:type="spellStart"/>
      <w:r w:rsidRPr="00B12DBC">
        <w:rPr>
          <w:rFonts w:ascii="Times New Roman" w:eastAsia="ArialMT" w:hAnsi="Times New Roman"/>
          <w:sz w:val="24"/>
          <w:szCs w:val="24"/>
          <w:lang w:val="en-GB"/>
        </w:rPr>
        <w:t>esophageal</w:t>
      </w:r>
      <w:proofErr w:type="spellEnd"/>
      <w:r w:rsidRPr="00B12DBC">
        <w:rPr>
          <w:rFonts w:ascii="Times New Roman" w:eastAsia="ArialMT" w:hAnsi="Times New Roman"/>
          <w:sz w:val="24"/>
          <w:szCs w:val="24"/>
          <w:lang w:val="en-GB"/>
        </w:rPr>
        <w:t xml:space="preserve"> junction, KPS: </w:t>
      </w:r>
      <w:proofErr w:type="spellStart"/>
      <w:r w:rsidRPr="00B12DBC">
        <w:rPr>
          <w:rFonts w:ascii="Times New Roman" w:eastAsia="ArialMT" w:hAnsi="Times New Roman"/>
          <w:sz w:val="24"/>
          <w:szCs w:val="24"/>
          <w:lang w:val="en-GB"/>
        </w:rPr>
        <w:t>Karnofsky</w:t>
      </w:r>
      <w:proofErr w:type="spellEnd"/>
      <w:r w:rsidRPr="00B12DBC">
        <w:rPr>
          <w:rFonts w:ascii="Times New Roman" w:eastAsia="ArialMT" w:hAnsi="Times New Roman"/>
          <w:sz w:val="24"/>
          <w:szCs w:val="24"/>
          <w:lang w:val="en-GB"/>
        </w:rPr>
        <w:t xml:space="preserve"> Performance Status, L</w:t>
      </w:r>
      <w:r>
        <w:rPr>
          <w:rFonts w:ascii="Times New Roman" w:eastAsia="ArialMT" w:hAnsi="Times New Roman"/>
          <w:sz w:val="24"/>
          <w:szCs w:val="24"/>
          <w:lang w:val="en-GB"/>
        </w:rPr>
        <w:t>V</w:t>
      </w:r>
      <w:r w:rsidRPr="00B12DBC">
        <w:rPr>
          <w:rFonts w:ascii="Times New Roman" w:eastAsia="ArialMT" w:hAnsi="Times New Roman"/>
          <w:sz w:val="24"/>
          <w:szCs w:val="24"/>
          <w:lang w:val="en-GB"/>
        </w:rPr>
        <w:t xml:space="preserve">: leucovorin, Ox: oxaliplatin, PTX: paclitaxel, DTX: docetaxel, Epi: </w:t>
      </w:r>
      <w:proofErr w:type="spellStart"/>
      <w:r w:rsidRPr="00B12DBC">
        <w:rPr>
          <w:rFonts w:ascii="Times New Roman" w:eastAsia="ArialMT" w:hAnsi="Times New Roman"/>
          <w:sz w:val="24"/>
          <w:szCs w:val="24"/>
          <w:lang w:val="en-GB"/>
        </w:rPr>
        <w:t>epirubicin</w:t>
      </w:r>
      <w:proofErr w:type="spellEnd"/>
      <w:r w:rsidRPr="00B12DBC">
        <w:rPr>
          <w:rFonts w:ascii="Times New Roman" w:eastAsia="ArialMT" w:hAnsi="Times New Roman"/>
          <w:sz w:val="24"/>
          <w:szCs w:val="24"/>
          <w:lang w:val="en-GB"/>
        </w:rPr>
        <w:t xml:space="preserve">, </w:t>
      </w:r>
      <w:proofErr w:type="spellStart"/>
      <w:r w:rsidRPr="00B12DBC">
        <w:rPr>
          <w:rFonts w:ascii="Times New Roman" w:eastAsia="ArialMT" w:hAnsi="Times New Roman"/>
          <w:sz w:val="24"/>
          <w:szCs w:val="24"/>
          <w:lang w:val="en-GB"/>
        </w:rPr>
        <w:t>Doxo</w:t>
      </w:r>
      <w:proofErr w:type="spellEnd"/>
      <w:r w:rsidRPr="00B12DBC">
        <w:rPr>
          <w:rFonts w:ascii="Times New Roman" w:eastAsia="ArialMT" w:hAnsi="Times New Roman"/>
          <w:sz w:val="24"/>
          <w:szCs w:val="24"/>
          <w:lang w:val="en-GB"/>
        </w:rPr>
        <w:t xml:space="preserve">: doxorubicin, </w:t>
      </w:r>
      <w:proofErr w:type="spellStart"/>
      <w:r w:rsidRPr="00B12DBC">
        <w:rPr>
          <w:rFonts w:ascii="Times New Roman" w:eastAsia="ArialMT" w:hAnsi="Times New Roman"/>
          <w:sz w:val="24"/>
          <w:szCs w:val="24"/>
          <w:lang w:val="en-GB"/>
        </w:rPr>
        <w:t>Iri</w:t>
      </w:r>
      <w:proofErr w:type="spellEnd"/>
      <w:r w:rsidRPr="00B12DBC">
        <w:rPr>
          <w:rFonts w:ascii="Times New Roman" w:eastAsia="ArialMT" w:hAnsi="Times New Roman"/>
          <w:sz w:val="24"/>
          <w:szCs w:val="24"/>
          <w:lang w:val="en-GB"/>
        </w:rPr>
        <w:t>: irinotecan, HD: high dose, PVI: protracted vein infusion, GF: growth factor.</w:t>
      </w:r>
      <w:r>
        <w:rPr>
          <w:rFonts w:ascii="Times New Roman" w:eastAsia="ArialMT" w:hAnsi="Times New Roman"/>
          <w:sz w:val="24"/>
          <w:szCs w:val="24"/>
          <w:lang w:val="en-GB"/>
        </w:rPr>
        <w:t xml:space="preserve"> NA: Not available. </w:t>
      </w:r>
      <w:r>
        <w:rPr>
          <w:rFonts w:ascii="Times New Roman" w:eastAsia="ArialMT" w:hAnsi="Times New Roman"/>
          <w:sz w:val="24"/>
          <w:szCs w:val="24"/>
          <w:lang w:val="en-GB"/>
        </w:rPr>
        <w:br/>
      </w:r>
      <w:r w:rsidRPr="00B12DBC">
        <w:rPr>
          <w:rFonts w:ascii="Times New Roman" w:eastAsia="ArialMT" w:hAnsi="Times New Roman"/>
          <w:sz w:val="24"/>
          <w:szCs w:val="24"/>
          <w:lang w:val="en-GB"/>
        </w:rPr>
        <w:t xml:space="preserve">Notes: </w:t>
      </w:r>
      <w:r w:rsidRPr="00B12DBC">
        <w:rPr>
          <w:rFonts w:ascii="Times New Roman" w:hAnsi="Times New Roman"/>
          <w:sz w:val="24"/>
          <w:szCs w:val="24"/>
          <w:lang w:val="en-GB"/>
        </w:rPr>
        <w:t>†</w:t>
      </w:r>
      <w:r w:rsidRPr="00B12DBC">
        <w:rPr>
          <w:rFonts w:ascii="Times New Roman" w:eastAsia="ArialMT" w:hAnsi="Times New Roman"/>
          <w:sz w:val="24"/>
          <w:szCs w:val="24"/>
          <w:lang w:val="en-GB"/>
        </w:rPr>
        <w:t xml:space="preserve"> Mean age; </w:t>
      </w:r>
      <w:r w:rsidRPr="000C45AE">
        <w:rPr>
          <w:rFonts w:ascii="Times New Roman" w:eastAsia="Times New Roman" w:hAnsi="Times New Roman"/>
          <w:color w:val="000000"/>
          <w:sz w:val="16"/>
          <w:szCs w:val="16"/>
          <w:lang w:val="en-US"/>
        </w:rPr>
        <w:t>‡</w:t>
      </w:r>
      <w:r w:rsidRPr="00B12DBC">
        <w:rPr>
          <w:rFonts w:ascii="Times New Roman" w:eastAsia="ArialMT" w:hAnsi="Times New Roman"/>
          <w:sz w:val="24"/>
          <w:szCs w:val="24"/>
          <w:lang w:val="en-GB"/>
        </w:rPr>
        <w:t xml:space="preserve"> KPS &lt;80</w:t>
      </w:r>
    </w:p>
    <w:tbl>
      <w:tblPr>
        <w:tblW w:w="9837" w:type="dxa"/>
        <w:tblLook w:val="04A0" w:firstRow="1" w:lastRow="0" w:firstColumn="1" w:lastColumn="0" w:noHBand="0" w:noVBand="1"/>
      </w:tblPr>
      <w:tblGrid>
        <w:gridCol w:w="2552"/>
        <w:gridCol w:w="456"/>
        <w:gridCol w:w="1618"/>
        <w:gridCol w:w="90"/>
        <w:gridCol w:w="1322"/>
        <w:gridCol w:w="1553"/>
        <w:gridCol w:w="70"/>
        <w:gridCol w:w="1379"/>
        <w:gridCol w:w="797"/>
      </w:tblGrid>
      <w:tr w:rsidR="00DB6B18" w:rsidRPr="007D2E2F" w14:paraId="4832EB0F" w14:textId="77777777" w:rsidTr="00B61A3A">
        <w:trPr>
          <w:trHeight w:val="255"/>
        </w:trPr>
        <w:tc>
          <w:tcPr>
            <w:tcW w:w="2552" w:type="dxa"/>
            <w:tcBorders>
              <w:top w:val="single" w:sz="12" w:space="0" w:color="auto"/>
              <w:bottom w:val="single" w:sz="4" w:space="0" w:color="auto"/>
            </w:tcBorders>
            <w:shd w:val="clear" w:color="auto" w:fill="auto"/>
            <w:noWrap/>
            <w:hideMark/>
          </w:tcPr>
          <w:p w14:paraId="1DFB806B" w14:textId="77777777" w:rsidR="00DB6B18" w:rsidRPr="001F70C0" w:rsidRDefault="00DB6B18" w:rsidP="00B61A3A">
            <w:pPr>
              <w:spacing w:before="240" w:line="360" w:lineRule="auto"/>
              <w:rPr>
                <w:rFonts w:ascii="Times New Roman" w:eastAsia="Times New Roman" w:hAnsi="Times New Roman"/>
                <w:color w:val="000000"/>
                <w:sz w:val="16"/>
                <w:szCs w:val="16"/>
                <w:lang w:val="en-US"/>
              </w:rPr>
            </w:pPr>
            <w:bookmarkStart w:id="0" w:name="_Hlk535235660"/>
            <w:r w:rsidRPr="001F70C0">
              <w:rPr>
                <w:rFonts w:ascii="Times New Roman" w:eastAsia="Times New Roman" w:hAnsi="Times New Roman"/>
                <w:bCs/>
                <w:color w:val="000000"/>
                <w:sz w:val="16"/>
                <w:szCs w:val="16"/>
                <w:lang w:val="en-US"/>
              </w:rPr>
              <w:t>Studies</w:t>
            </w:r>
          </w:p>
        </w:tc>
        <w:tc>
          <w:tcPr>
            <w:tcW w:w="456" w:type="dxa"/>
            <w:tcBorders>
              <w:top w:val="single" w:sz="12" w:space="0" w:color="auto"/>
              <w:bottom w:val="single" w:sz="4" w:space="0" w:color="auto"/>
            </w:tcBorders>
            <w:shd w:val="clear" w:color="auto" w:fill="auto"/>
            <w:noWrap/>
            <w:hideMark/>
          </w:tcPr>
          <w:p w14:paraId="547A5333" w14:textId="77777777" w:rsidR="00DB6B18" w:rsidRPr="00F72E17" w:rsidRDefault="00DB6B18"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No.</w:t>
            </w:r>
          </w:p>
        </w:tc>
        <w:tc>
          <w:tcPr>
            <w:tcW w:w="1618" w:type="dxa"/>
            <w:tcBorders>
              <w:top w:val="single" w:sz="12" w:space="0" w:color="auto"/>
              <w:bottom w:val="single" w:sz="4" w:space="0" w:color="auto"/>
            </w:tcBorders>
            <w:shd w:val="clear" w:color="auto" w:fill="auto"/>
            <w:noWrap/>
            <w:hideMark/>
          </w:tcPr>
          <w:p w14:paraId="73D6AC8F" w14:textId="77777777" w:rsidR="00DB6B18" w:rsidRPr="00F72E17" w:rsidRDefault="00DB6B18"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412" w:type="dxa"/>
            <w:gridSpan w:val="2"/>
            <w:tcBorders>
              <w:top w:val="single" w:sz="12" w:space="0" w:color="auto"/>
              <w:bottom w:val="single" w:sz="4" w:space="0" w:color="auto"/>
            </w:tcBorders>
            <w:shd w:val="clear" w:color="auto" w:fill="auto"/>
            <w:noWrap/>
            <w:hideMark/>
          </w:tcPr>
          <w:p w14:paraId="0DA6CC69" w14:textId="77777777" w:rsidR="00DB6B18" w:rsidRPr="001F70C0" w:rsidRDefault="00DB6B18" w:rsidP="00B61A3A">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52FC7F55" w14:textId="77777777" w:rsidR="00DB6B18" w:rsidRPr="001055DF" w:rsidRDefault="00DB6B18" w:rsidP="00B61A3A">
            <w:pPr>
              <w:spacing w:before="240" w:line="360" w:lineRule="auto"/>
              <w:jc w:val="right"/>
              <w:rPr>
                <w:rFonts w:ascii="Times New Roman" w:eastAsia="Times New Roman" w:hAnsi="Times New Roman"/>
                <w:color w:val="000000"/>
                <w:sz w:val="16"/>
                <w:szCs w:val="16"/>
                <w:lang w:val="en-US"/>
              </w:rPr>
            </w:pPr>
            <w:r w:rsidRPr="001055DF">
              <w:rPr>
                <w:rFonts w:ascii="Times New Roman" w:eastAsia="Times New Roman" w:hAnsi="Times New Roman"/>
                <w:color w:val="000000"/>
                <w:sz w:val="16"/>
                <w:szCs w:val="16"/>
                <w:lang w:val="en-US"/>
              </w:rPr>
              <w:t>No. (%)</w:t>
            </w:r>
          </w:p>
        </w:tc>
        <w:tc>
          <w:tcPr>
            <w:tcW w:w="1553" w:type="dxa"/>
            <w:tcBorders>
              <w:top w:val="single" w:sz="12" w:space="0" w:color="auto"/>
              <w:bottom w:val="single" w:sz="4" w:space="0" w:color="auto"/>
            </w:tcBorders>
            <w:shd w:val="clear" w:color="auto" w:fill="auto"/>
            <w:noWrap/>
            <w:hideMark/>
          </w:tcPr>
          <w:p w14:paraId="3BADB9A5" w14:textId="77777777" w:rsidR="00DB6B18" w:rsidRPr="001F70C0" w:rsidRDefault="00DB6B18" w:rsidP="00B61A3A">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12B7B9A6" w14:textId="77777777" w:rsidR="00DB6B18" w:rsidRPr="001055DF" w:rsidRDefault="00DB6B18" w:rsidP="00B61A3A">
            <w:pPr>
              <w:spacing w:before="240" w:line="360" w:lineRule="auto"/>
              <w:jc w:val="right"/>
              <w:rPr>
                <w:rFonts w:ascii="Times New Roman" w:eastAsia="Times New Roman" w:hAnsi="Times New Roman"/>
                <w:color w:val="000000"/>
                <w:sz w:val="16"/>
                <w:szCs w:val="16"/>
                <w:lang w:val="en-US"/>
              </w:rPr>
            </w:pPr>
            <w:r w:rsidRPr="001055DF">
              <w:rPr>
                <w:rFonts w:ascii="Times New Roman" w:eastAsia="Times New Roman" w:hAnsi="Times New Roman"/>
                <w:color w:val="000000"/>
                <w:sz w:val="16"/>
                <w:szCs w:val="16"/>
                <w:lang w:val="en-US"/>
              </w:rPr>
              <w:t>Median (range)</w:t>
            </w:r>
          </w:p>
        </w:tc>
        <w:tc>
          <w:tcPr>
            <w:tcW w:w="1449" w:type="dxa"/>
            <w:gridSpan w:val="2"/>
            <w:tcBorders>
              <w:top w:val="single" w:sz="12" w:space="0" w:color="auto"/>
              <w:bottom w:val="single" w:sz="4" w:space="0" w:color="auto"/>
            </w:tcBorders>
            <w:shd w:val="clear" w:color="auto" w:fill="auto"/>
            <w:noWrap/>
            <w:hideMark/>
          </w:tcPr>
          <w:p w14:paraId="2D59CC74" w14:textId="77777777" w:rsidR="00DB6B18" w:rsidRPr="001F70C0" w:rsidRDefault="00DB6B18" w:rsidP="00B61A3A">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69054BFD" w14:textId="77777777" w:rsidR="00DB6B18" w:rsidRPr="001055DF" w:rsidRDefault="00DB6B18" w:rsidP="00B61A3A">
            <w:pPr>
              <w:spacing w:before="240" w:line="360" w:lineRule="auto"/>
              <w:jc w:val="right"/>
              <w:rPr>
                <w:rFonts w:ascii="Times New Roman" w:eastAsia="Times New Roman" w:hAnsi="Times New Roman"/>
                <w:color w:val="000000"/>
                <w:sz w:val="16"/>
                <w:szCs w:val="16"/>
                <w:lang w:val="en-US"/>
              </w:rPr>
            </w:pPr>
            <w:r w:rsidRPr="001055DF">
              <w:rPr>
                <w:rFonts w:ascii="Times New Roman" w:eastAsia="Times New Roman" w:hAnsi="Times New Roman"/>
                <w:color w:val="000000"/>
                <w:sz w:val="16"/>
                <w:szCs w:val="16"/>
                <w:lang w:val="en-US"/>
              </w:rPr>
              <w:t>No. (%)</w:t>
            </w:r>
          </w:p>
        </w:tc>
        <w:tc>
          <w:tcPr>
            <w:tcW w:w="797" w:type="dxa"/>
            <w:tcBorders>
              <w:top w:val="single" w:sz="12" w:space="0" w:color="auto"/>
              <w:bottom w:val="single" w:sz="4" w:space="0" w:color="auto"/>
            </w:tcBorders>
            <w:shd w:val="clear" w:color="auto" w:fill="auto"/>
            <w:noWrap/>
            <w:hideMark/>
          </w:tcPr>
          <w:p w14:paraId="0B411E8D" w14:textId="77777777" w:rsidR="00DB6B18" w:rsidRPr="001F70C0" w:rsidRDefault="00DB6B18" w:rsidP="00B61A3A">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WHO</w:t>
            </w:r>
            <w:r>
              <w:rPr>
                <w:rFonts w:ascii="Times New Roman" w:eastAsia="Times New Roman" w:hAnsi="Times New Roman"/>
                <w:b/>
                <w:color w:val="000000"/>
                <w:sz w:val="16"/>
                <w:szCs w:val="16"/>
                <w:lang w:val="en-US"/>
              </w:rPr>
              <w:t>≥</w:t>
            </w:r>
            <w:r w:rsidRPr="001F70C0">
              <w:rPr>
                <w:rFonts w:ascii="Times New Roman" w:eastAsia="Times New Roman" w:hAnsi="Times New Roman"/>
                <w:b/>
                <w:color w:val="000000"/>
                <w:sz w:val="16"/>
                <w:szCs w:val="16"/>
                <w:lang w:val="en-US"/>
              </w:rPr>
              <w:t xml:space="preserve">2 </w:t>
            </w:r>
          </w:p>
          <w:p w14:paraId="5C3DC171" w14:textId="77777777" w:rsidR="00DB6B18" w:rsidRPr="001055DF" w:rsidRDefault="00DB6B18" w:rsidP="00B61A3A">
            <w:pPr>
              <w:spacing w:before="240" w:line="360" w:lineRule="auto"/>
              <w:jc w:val="right"/>
              <w:rPr>
                <w:rFonts w:ascii="Times New Roman" w:eastAsia="Times New Roman" w:hAnsi="Times New Roman"/>
                <w:color w:val="000000"/>
                <w:sz w:val="16"/>
                <w:szCs w:val="16"/>
                <w:lang w:val="en-US"/>
              </w:rPr>
            </w:pPr>
            <w:r w:rsidRPr="001055DF">
              <w:rPr>
                <w:rFonts w:ascii="Times New Roman" w:eastAsia="Times New Roman" w:hAnsi="Times New Roman"/>
                <w:color w:val="000000"/>
                <w:sz w:val="16"/>
                <w:szCs w:val="16"/>
                <w:lang w:val="en-US"/>
              </w:rPr>
              <w:t>No. (%)</w:t>
            </w:r>
          </w:p>
        </w:tc>
      </w:tr>
      <w:tr w:rsidR="00DB6B18" w:rsidRPr="007D2E2F" w14:paraId="5FA0862B" w14:textId="77777777" w:rsidTr="00B61A3A">
        <w:trPr>
          <w:trHeight w:val="255"/>
        </w:trPr>
        <w:tc>
          <w:tcPr>
            <w:tcW w:w="4626" w:type="dxa"/>
            <w:gridSpan w:val="3"/>
            <w:tcBorders>
              <w:top w:val="single" w:sz="4" w:space="0" w:color="auto"/>
            </w:tcBorders>
            <w:shd w:val="clear" w:color="auto" w:fill="auto"/>
            <w:noWrap/>
            <w:hideMark/>
          </w:tcPr>
          <w:p w14:paraId="64708493"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Fluoropyrimidine monotherapy</w:t>
            </w:r>
          </w:p>
        </w:tc>
        <w:tc>
          <w:tcPr>
            <w:tcW w:w="1412" w:type="dxa"/>
            <w:gridSpan w:val="2"/>
            <w:tcBorders>
              <w:top w:val="single" w:sz="4" w:space="0" w:color="auto"/>
            </w:tcBorders>
            <w:shd w:val="clear" w:color="auto" w:fill="auto"/>
            <w:noWrap/>
            <w:hideMark/>
          </w:tcPr>
          <w:p w14:paraId="4B9AEB58"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553" w:type="dxa"/>
            <w:tcBorders>
              <w:top w:val="single" w:sz="4" w:space="0" w:color="auto"/>
            </w:tcBorders>
            <w:shd w:val="clear" w:color="auto" w:fill="auto"/>
            <w:noWrap/>
            <w:hideMark/>
          </w:tcPr>
          <w:p w14:paraId="1143770C"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449" w:type="dxa"/>
            <w:gridSpan w:val="2"/>
            <w:tcBorders>
              <w:top w:val="single" w:sz="4" w:space="0" w:color="auto"/>
            </w:tcBorders>
            <w:shd w:val="clear" w:color="auto" w:fill="auto"/>
            <w:noWrap/>
            <w:hideMark/>
          </w:tcPr>
          <w:p w14:paraId="643AC64C"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tcBorders>
              <w:top w:val="single" w:sz="4" w:space="0" w:color="auto"/>
            </w:tcBorders>
            <w:shd w:val="clear" w:color="auto" w:fill="auto"/>
            <w:noWrap/>
            <w:hideMark/>
          </w:tcPr>
          <w:p w14:paraId="3DD641A1"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DB6B18" w:rsidRPr="007D2E2F" w14:paraId="728A2C13" w14:textId="77777777" w:rsidTr="00B61A3A">
        <w:trPr>
          <w:trHeight w:val="255"/>
        </w:trPr>
        <w:tc>
          <w:tcPr>
            <w:tcW w:w="4626" w:type="dxa"/>
            <w:gridSpan w:val="3"/>
            <w:shd w:val="clear" w:color="auto" w:fill="auto"/>
            <w:noWrap/>
            <w:hideMark/>
          </w:tcPr>
          <w:p w14:paraId="2C4800CE" w14:textId="77777777" w:rsidR="00DB6B18" w:rsidRPr="007D2E2F" w:rsidRDefault="00DB6B18"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5-FU</w:t>
            </w:r>
          </w:p>
        </w:tc>
        <w:tc>
          <w:tcPr>
            <w:tcW w:w="1412" w:type="dxa"/>
            <w:gridSpan w:val="2"/>
            <w:shd w:val="clear" w:color="auto" w:fill="auto"/>
            <w:noWrap/>
            <w:hideMark/>
          </w:tcPr>
          <w:p w14:paraId="6153A8DD"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553" w:type="dxa"/>
            <w:shd w:val="clear" w:color="auto" w:fill="auto"/>
            <w:noWrap/>
            <w:hideMark/>
          </w:tcPr>
          <w:p w14:paraId="618211CE"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449" w:type="dxa"/>
            <w:gridSpan w:val="2"/>
            <w:shd w:val="clear" w:color="auto" w:fill="auto"/>
            <w:noWrap/>
            <w:hideMark/>
          </w:tcPr>
          <w:p w14:paraId="55F1FEC6"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3FC7E432"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DB6B18" w:rsidRPr="007D2E2F" w14:paraId="0ADBEF02" w14:textId="77777777" w:rsidTr="00B61A3A">
        <w:trPr>
          <w:trHeight w:val="255"/>
        </w:trPr>
        <w:tc>
          <w:tcPr>
            <w:tcW w:w="2552" w:type="dxa"/>
            <w:shd w:val="clear" w:color="auto" w:fill="auto"/>
            <w:noWrap/>
            <w:hideMark/>
          </w:tcPr>
          <w:p w14:paraId="39C9D3E8" w14:textId="7B5BEF62" w:rsidR="00DB6B18" w:rsidRPr="007D2E2F" w:rsidRDefault="00DB6B18"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Coombes 1994</w:t>
            </w:r>
            <w:r w:rsidR="00B61A3A">
              <w:rPr>
                <w:rFonts w:ascii="Times New Roman" w:eastAsia="Times New Roman" w:hAnsi="Times New Roman"/>
                <w:b/>
                <w:color w:val="000000"/>
                <w:sz w:val="16"/>
                <w:szCs w:val="16"/>
              </w:rPr>
              <w:t xml:space="preserve">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{"citationItems":[{"id":"ITEM-1","itemData":{"ISSN":"0923-7534","PMID":"8172789","abstract":"BACKGROUND It is not yet established whether doses of epirubicin equitoxic to adriamycin are more effective in the treatment of locally advanced or metastatic gastric cancer. PATIENTS AND METHODS Seventy patients with advanced gastric cancer were randomised to receive fluorouracil (500 mg/m2 days 1-5 every three weeks) or epirubicin (100 mg/m2 every three weeks), with doses escalating to a maximum dose of 700 mg/m2 of fluorouracil or 140 mg/m2 of epirubicin. RESULTS No patients attained complete response. Partial response was seen in 3 patients in the epirubicin arm (8%) compared with 2 patients in the fluorouracil arm (6%). No statistically significant difference between the two treatments was seen in either response or survival. Severe side effects, particularly alopecia, and nausea and vomiting were more common in the epirubicin arm (45% and 37%, respectively) compared with the fluorouracil arm (12% and 8%, respectively). CONCLUSIONS Our trial demonstrates that fluorouracil and epirubicin as single agents have comparable but insufficient activity in advanced gastric cancer.","author":[{"dropping-particle":"","family":"Coombes","given":"R C","non-dropping-particle":"","parse-names":false,"suffix":""},{"dropping-particle":"","family":"Chilvers","given":"C E","non-dropping-particle":"","parse-names":false,"suffix":""},{"dropping-particle":"","family":"Amadori","given":"D","non-dropping-particle":"","parse-names":false,"suffix":""},{"dropping-particle":"","family":"Medi","given":"F","non-dropping-particle":"","parse-names":false,"suffix":""},{"dropping-particle":"","family":"Fountzilas","given":"G","non-dropping-particle":"","parse-names":false,"suffix":""},{"dropping-particle":"","family":"Rauschecker","given":"H","non-dropping-particle":"","parse-names":false,"suffix":""},{"dropping-particle":"","family":"Vassilopoulos","given":"P","non-dropping-particle":"","parse-names":false,"suffix":""},{"dropping-particle":"","family":"Ferreira","given":"E P","non-dropping-particle":"","parse-names":false,"suffix":""},{"dropping-particle":"","family":"Vannozzi","given":"G","non-dropping-particle":"","parse-names":false,"suffix":""},{"dropping-particle":"","family":"Bliss","given":"J M","non-dropping-particle":"","parse-names":false,"suffix":""}],"container-title":"Annals of oncology : official journal of the European Society for Medical Oncology","id":"ITEM-1","issue":"1","issued":{"date-parts":[["1994","1"]]},"page":"33-6","title":"Randomised trial of epirubicin versus fluorouracil in advanced gastric cancer. An International Collaborative Cancer Group (ICCG) study.","type":"article-journal","volume":"5"},"uris":["http://www.mendeley.com/documents/?uuid=da11aea6-97d3-4f50-bace-a02098324431"]}],"mendeley":{"formattedCitation":"[1]","plainTextFormattedCitation":"[1]","previouslyFormattedCitation":"[1]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ED340A1"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33</w:t>
            </w:r>
          </w:p>
        </w:tc>
        <w:tc>
          <w:tcPr>
            <w:tcW w:w="1618" w:type="dxa"/>
            <w:shd w:val="clear" w:color="auto" w:fill="auto"/>
            <w:noWrap/>
            <w:hideMark/>
          </w:tcPr>
          <w:p w14:paraId="59630FB1"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w:t>
            </w:r>
          </w:p>
        </w:tc>
        <w:tc>
          <w:tcPr>
            <w:tcW w:w="1412" w:type="dxa"/>
            <w:gridSpan w:val="2"/>
            <w:shd w:val="clear" w:color="auto" w:fill="auto"/>
            <w:noWrap/>
            <w:hideMark/>
          </w:tcPr>
          <w:p w14:paraId="485DE3C6"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553" w:type="dxa"/>
            <w:shd w:val="clear" w:color="auto" w:fill="auto"/>
            <w:noWrap/>
            <w:hideMark/>
          </w:tcPr>
          <w:p w14:paraId="54F8010A"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449" w:type="dxa"/>
            <w:gridSpan w:val="2"/>
            <w:shd w:val="clear" w:color="auto" w:fill="auto"/>
            <w:noWrap/>
            <w:hideMark/>
          </w:tcPr>
          <w:p w14:paraId="494CBBDE"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1FD00852"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DB6B18" w:rsidRPr="007D2E2F" w14:paraId="1B9805E9" w14:textId="77777777" w:rsidTr="00B61A3A">
        <w:trPr>
          <w:trHeight w:val="255"/>
        </w:trPr>
        <w:tc>
          <w:tcPr>
            <w:tcW w:w="2552" w:type="dxa"/>
            <w:shd w:val="clear" w:color="auto" w:fill="auto"/>
            <w:noWrap/>
            <w:hideMark/>
          </w:tcPr>
          <w:p w14:paraId="326CE290" w14:textId="18DEE838" w:rsidR="00DB6B18" w:rsidRPr="007D2E2F" w:rsidRDefault="00DB6B18"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Loehrer 1994</w:t>
            </w:r>
            <w:r w:rsidR="00B61A3A">
              <w:rPr>
                <w:rFonts w:ascii="Times New Roman" w:eastAsia="Times New Roman" w:hAnsi="Times New Roman"/>
                <w:b/>
                <w:color w:val="000000"/>
                <w:sz w:val="16"/>
                <w:szCs w:val="16"/>
              </w:rPr>
              <w:t xml:space="preserve">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{"citationItems":[{"id":"ITEM-1","itemData":{"DOI":"10.1007/BF00873238","ISSN":"01676997","PMID":"7960608","abstract":"From January, 1985, through January, 1987, 165 patients with advanced gastric cancer were randomized to receive epirubicin (E) alone (90 mg/m2 day 1), 5-Fluorouracil (5-FU) alone (500 mg/m2 days 1-5), or the combination of E (90 mg/m2 day 1) and 5-FU (400 mg/m2 days 1-5). Courses were repeated every four weeks. Patients were stratified by extent (locally advanced vs. metastatic), evaluability (measurable vs. nonmeasurable) and by history of prior radiotherapy (yes vs. no). Randomization to single arm epirubicin was stopped after 26 patients were enrolled. Objective responses occurred in only 1/16 (6{%}) of the patients treated with E alone, 1/40 (5{%}) with 5-FU alone and 4/33 (12{%}) with both 5-FU and E. There were no significant differences in all eligible patients with respect to time to progression or overall survival in the three treatment arms. Toxicity was primarily hematologic and more pronounced in the combination arm. Neither 5-FU alone, epirubicin alone, or the combination have a major impact in the treatment of gastric carcinoma.","author":[{"dropping-particle":"","family":"Loehrer","given":"Patrick J.","non-dropping-particle":"","parse-names":false,"suffix":""},{"dropping-particle":"","family":"Harry","given":"Diane","non-dropping-particle":"","parse-names":false,"suffix":""},{"dropping-particle":"","family":"Chlebowski","given":"Rowan T.","non-dropping-particle":"","parse-names":false,"suffix":""}],"container-title":"Investigational New Drugs","id":"ITEM-1","issue":"1","issued":{"date-parts":[["1994"]]},"page":"57-63","title":"5-Fluorouracil vs. epirubicin vs. 5-fluorouracil plus epirubicin in advanced gastric carcinoma","type":"article-journal","volume":"12"},"uris":["http://www.mendeley.com/documents/?uuid=8fa15c31-0f64-41fe-baea-68ae7dfa4589"]}],"mendeley":{"formattedCitation":"[2]","plainTextFormattedCitation":"[2]","previouslyFormattedCitation":"[2]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63C890E" w14:textId="77777777" w:rsidR="00DB6B18" w:rsidRPr="007D2E2F" w:rsidRDefault="00DB6B18"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69</w:t>
            </w:r>
          </w:p>
        </w:tc>
        <w:tc>
          <w:tcPr>
            <w:tcW w:w="1618" w:type="dxa"/>
            <w:shd w:val="clear" w:color="auto" w:fill="auto"/>
            <w:noWrap/>
            <w:hideMark/>
          </w:tcPr>
          <w:p w14:paraId="2B62904A"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w:t>
            </w:r>
          </w:p>
        </w:tc>
        <w:tc>
          <w:tcPr>
            <w:tcW w:w="1412" w:type="dxa"/>
            <w:gridSpan w:val="2"/>
            <w:shd w:val="clear" w:color="auto" w:fill="auto"/>
            <w:noWrap/>
            <w:hideMark/>
          </w:tcPr>
          <w:p w14:paraId="7F46352E"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553" w:type="dxa"/>
            <w:shd w:val="clear" w:color="auto" w:fill="auto"/>
            <w:noWrap/>
            <w:hideMark/>
          </w:tcPr>
          <w:p w14:paraId="43731ECC"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59 (19-79)</w:t>
            </w:r>
          </w:p>
        </w:tc>
        <w:tc>
          <w:tcPr>
            <w:tcW w:w="1449" w:type="dxa"/>
            <w:gridSpan w:val="2"/>
            <w:shd w:val="clear" w:color="auto" w:fill="auto"/>
            <w:noWrap/>
            <w:hideMark/>
          </w:tcPr>
          <w:p w14:paraId="32713FF7"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25 (36)</w:t>
            </w:r>
          </w:p>
        </w:tc>
        <w:tc>
          <w:tcPr>
            <w:tcW w:w="797" w:type="dxa"/>
            <w:shd w:val="clear" w:color="auto" w:fill="auto"/>
            <w:noWrap/>
            <w:hideMark/>
          </w:tcPr>
          <w:p w14:paraId="3DAFC7FD"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 (32)</w:t>
            </w:r>
          </w:p>
        </w:tc>
      </w:tr>
      <w:tr w:rsidR="00DB6B18" w:rsidRPr="007D2E2F" w14:paraId="3B0EFEE7" w14:textId="77777777" w:rsidTr="00B61A3A">
        <w:trPr>
          <w:trHeight w:val="255"/>
        </w:trPr>
        <w:tc>
          <w:tcPr>
            <w:tcW w:w="2552" w:type="dxa"/>
            <w:shd w:val="clear" w:color="auto" w:fill="auto"/>
            <w:noWrap/>
            <w:hideMark/>
          </w:tcPr>
          <w:p w14:paraId="32277CAF" w14:textId="2BFCF7DC" w:rsidR="00DB6B18" w:rsidRPr="007D2E2F" w:rsidRDefault="00DB6B18"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Colucci 1995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{"citationItems":[{"id":"ITEM-1","itemData":{"DOI":"10.1097/00000421-199512000-00012","ISSN":"02773732","PMID":"8526196","abstract":"A total of 71 patients with advanced gastric carcinoma were randomized to receive either folinic acid + fluorouracil (arm A) or the same combination with the addition of 4-epidoxorubicin (arm B). Of the 62 evaluable patients (31 in both arms), six patients achieved a CR (10%) and 16 a PR (25.5%) with an overall response rate of 35.5% (29% in arm A and 42% in arm B; p = .28). Median duration of response was 6 and 7 months for arm A and B, respectively (p = .6). Responder patients showed a significantly better median survival duration than nonresponders (p = .01); in arm B the median survival duration was 16 months for responder patients in contrast to 7 months for nonresponders (p = .004). Toxicity was mild without significant differences between the two groups. There was one death due to hematological toxicity (arm A). The EPI-FA-FU combination appears effective and well tolerated with the additional advantage of being able to be administered in the outpatient clinic.","author":[{"dropping-particle":"","family":"Colucci","given":"G.","non-dropping-particle":"","parse-names":false,"suffix":""},{"dropping-particle":"","family":"Giotta","given":"F.","non-dropping-particle":"","parse-names":false,"suffix":""},{"dropping-particle":"","family":"Maiello","given":"E.","non-dropping-particle":"","parse-names":false,"suffix":""},{"dropping-particle":"","family":"Cifarelli","given":"R. A.","non-dropping-particle":"","parse-names":false,"suffix":""},{"dropping-particle":"","family":"Leo","given":"S.","non-dropping-particle":"","parse-names":false,"suffix":""},{"dropping-particle":"","family":"Giuliani","given":"F.","non-dropping-particle":"","parse-names":false,"suffix":""},{"dropping-particle":"","family":"Pezzella","given":"G.","non-dropping-particle":"","parse-names":false,"suffix":""},{"dropping-particle":"","family":"Pedicini","given":"A.","non-dropping-particle":"","parse-names":false,"suffix":""},{"dropping-particle":"","family":"Valori","given":"V.","non-dropping-particle":"","parse-names":false,"suffix":""}],"container-title":"American Journal of Clinical Oncology: Cancer Clinical Trials","id":"ITEM-1","issue":"6","issued":{"date-parts":[["1995"]]},"page":"519-524","title":"Efficacy of the association of folinic acid and 5-fluorouracil alone versus folinic acid and 5-fluorouracil plus 4-epidoxorubicin in the treatment of advanced gastric carcinoma","type":"article-journal","volume":"18"},"uris":["http://www.mendeley.com/documents/?uuid=08511aa9-d401-4529-9d75-b28c5764d985"]}],"mendeley":{"formattedCitation":"[3]","plainTextFormattedCitation":"[3]","previouslyFormattedCitation":"[3]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FE71287"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w:t>
            </w:r>
          </w:p>
        </w:tc>
        <w:tc>
          <w:tcPr>
            <w:tcW w:w="1618" w:type="dxa"/>
            <w:shd w:val="clear" w:color="auto" w:fill="auto"/>
            <w:noWrap/>
            <w:hideMark/>
          </w:tcPr>
          <w:p w14:paraId="4EBE8D6C"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5-FU/LV</w:t>
            </w:r>
          </w:p>
        </w:tc>
        <w:tc>
          <w:tcPr>
            <w:tcW w:w="1412" w:type="dxa"/>
            <w:gridSpan w:val="2"/>
            <w:shd w:val="clear" w:color="auto" w:fill="auto"/>
            <w:noWrap/>
            <w:hideMark/>
          </w:tcPr>
          <w:p w14:paraId="7F4453E7"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20 (65)</w:t>
            </w:r>
          </w:p>
        </w:tc>
        <w:tc>
          <w:tcPr>
            <w:tcW w:w="1553" w:type="dxa"/>
            <w:shd w:val="clear" w:color="auto" w:fill="auto"/>
            <w:noWrap/>
            <w:hideMark/>
          </w:tcPr>
          <w:p w14:paraId="7B53C5CB"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58 (31-75)</w:t>
            </w:r>
          </w:p>
        </w:tc>
        <w:tc>
          <w:tcPr>
            <w:tcW w:w="1449" w:type="dxa"/>
            <w:gridSpan w:val="2"/>
            <w:shd w:val="clear" w:color="auto" w:fill="auto"/>
            <w:noWrap/>
            <w:hideMark/>
          </w:tcPr>
          <w:p w14:paraId="57D7E6C5"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 (52)</w:t>
            </w:r>
          </w:p>
        </w:tc>
        <w:tc>
          <w:tcPr>
            <w:tcW w:w="797" w:type="dxa"/>
            <w:shd w:val="clear" w:color="auto" w:fill="auto"/>
            <w:noWrap/>
            <w:hideMark/>
          </w:tcPr>
          <w:p w14:paraId="10BCEE4F"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KPS 80</w:t>
            </w:r>
          </w:p>
        </w:tc>
      </w:tr>
      <w:tr w:rsidR="00DB6B18" w:rsidRPr="007D2E2F" w14:paraId="25BA6D88" w14:textId="77777777" w:rsidTr="00B61A3A">
        <w:trPr>
          <w:trHeight w:val="255"/>
        </w:trPr>
        <w:tc>
          <w:tcPr>
            <w:tcW w:w="2552" w:type="dxa"/>
            <w:shd w:val="clear" w:color="auto" w:fill="auto"/>
            <w:noWrap/>
            <w:hideMark/>
          </w:tcPr>
          <w:p w14:paraId="4955B238" w14:textId="4372B69B" w:rsidR="00DB6B18" w:rsidRPr="007D2E2F" w:rsidRDefault="00DB6B18"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Bouché 2004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2004.01.140","ISSN":"0732183X","author":[{"dropping-particle":"","family":"Bouché","given":"Olivier","non-dropping-particle":"","parse-names":false,"suffix":""},{"dropping-particle":"","family":"Raoul","given":"Jean Luc","non-dropping-particle":"","parse-names":false,"suffix":""},{"dropping-particle":"","family":"Bonnetain","given":"Franck","non-dropping-particle":"","parse-names":false,"suffix":""},{"dropping-particle":"","family":"Giovannini","given":"Marc","non-dropping-particle":"","parse-names":false,"suffix":""},{"dropping-particle":"","family":"Etienne","given":"Pierre Luc","non-dropping-particle":"","parse-names":false,"suffix":""},{"dropping-particle":"","family":"Lledo","given":"Gérard","non-dropping-particle":"","parse-names":false,"suffix":""},{"dropping-particle":"","family":"Arsène","given":"Dominique","non-dropping-particle":"","parse-names":false,"suffix":""},{"dropping-particle":"","family":"Paitel","given":"Jean Francois","non-dropping-particle":"","parse-names":false,"suffix":""},{"dropping-particle":"","family":"Guérin-Meyer","given":"Véronique","non-dropping-particle":"","parse-names":false,"suffix":""},{"dropping-particle":"","family":"Mitry","given":"Emmanuel","non-dropping-particle":"","parse-names":false,"suffix":""},{"dropping-particle":"","family":"Buecher","given":"Bruno","non-dropping-particle":"","parse-names":false,"suffix":""},{"dropping-particle":"","family":"Kaminsky","given":"Marie Christine","non-dropping-particle":"","parse-names":false,"suffix":""},{"dropping-particle":"","family":"Seitz","given":"Jean François","non-dropping-particle":"","parse-names":false,"suffix":""},{"dropping-particle":"","family":"Rangier","given":"Philippe","non-dropping-particle":"","parse-names":false,"suffix":""},{"dropping-particle":"","family":"Bedenne","given":"Laurent","non-dropping-particle":"","parse-names":false,"suffix":""},{"dropping-particle":"","family":"Milan","given":"Chantal","non-dropping-particle":"","parse-names":false,"suffix":""}],"container-title":"Journal of Clinical Oncology","id":"ITEM-1","issue":"21","issued":{"date-parts":[["2004"]]},"page":"4319-4328","title":"Randomized multicenter phase II trial of a biweekly regimen of fluorouracil and leucovorin (LV5FU2), LV5FU2 plus cisplatin, or LV5FU2 plus irinotecan in patients with previously untreated metastatic gastric cancer: A Fédération Francophone de Cancérologie","type":"article-journal","volume":"22"},"uris":["http://www.mendeley.com/documents/?uuid=012e2b10-1da7-44c8-9339-80f65d3cf38f"]}],"mendeley":{"formattedCitation":"[4]","plainTextFormattedCitation":"[4]","previouslyFormattedCitation":"[4]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7A2E110"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w:t>
            </w:r>
          </w:p>
        </w:tc>
        <w:tc>
          <w:tcPr>
            <w:tcW w:w="1618" w:type="dxa"/>
            <w:shd w:val="clear" w:color="auto" w:fill="auto"/>
            <w:noWrap/>
            <w:hideMark/>
          </w:tcPr>
          <w:p w14:paraId="3EA11108"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5-FU/LV</w:t>
            </w:r>
          </w:p>
        </w:tc>
        <w:tc>
          <w:tcPr>
            <w:tcW w:w="1412" w:type="dxa"/>
            <w:gridSpan w:val="2"/>
            <w:shd w:val="clear" w:color="auto" w:fill="auto"/>
            <w:noWrap/>
            <w:hideMark/>
          </w:tcPr>
          <w:p w14:paraId="4417413D"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37 (82)</w:t>
            </w:r>
          </w:p>
        </w:tc>
        <w:tc>
          <w:tcPr>
            <w:tcW w:w="1553" w:type="dxa"/>
            <w:shd w:val="clear" w:color="auto" w:fill="auto"/>
            <w:noWrap/>
            <w:hideMark/>
          </w:tcPr>
          <w:p w14:paraId="4B2E9920"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(45-75)</w:t>
            </w:r>
          </w:p>
        </w:tc>
        <w:tc>
          <w:tcPr>
            <w:tcW w:w="1449" w:type="dxa"/>
            <w:gridSpan w:val="2"/>
            <w:shd w:val="clear" w:color="auto" w:fill="auto"/>
            <w:noWrap/>
            <w:hideMark/>
          </w:tcPr>
          <w:p w14:paraId="55B543E7"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 (100)</w:t>
            </w:r>
          </w:p>
        </w:tc>
        <w:tc>
          <w:tcPr>
            <w:tcW w:w="797" w:type="dxa"/>
            <w:shd w:val="clear" w:color="auto" w:fill="auto"/>
            <w:noWrap/>
            <w:hideMark/>
          </w:tcPr>
          <w:p w14:paraId="25FAE89C"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 (27)</w:t>
            </w:r>
          </w:p>
        </w:tc>
      </w:tr>
      <w:tr w:rsidR="00DB6B18" w:rsidRPr="007D2E2F" w14:paraId="6C6F0390" w14:textId="77777777" w:rsidTr="00B61A3A">
        <w:trPr>
          <w:trHeight w:val="255"/>
        </w:trPr>
        <w:tc>
          <w:tcPr>
            <w:tcW w:w="2552" w:type="dxa"/>
            <w:shd w:val="clear" w:color="auto" w:fill="auto"/>
            <w:noWrap/>
            <w:hideMark/>
          </w:tcPr>
          <w:p w14:paraId="7C08D178" w14:textId="4168F6CF" w:rsidR="00DB6B18" w:rsidRPr="007D2E2F" w:rsidRDefault="00DB6B18"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Boku 2009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{"citationItems":[{"id":"ITEM-1","itemData":{"DOI":"10.1016/S1470-2045(09)70259-1","ISSN":"1474-5488","PMID":"19818685","abstract":"BACKGROUND: The best chemotherapy regimen for metastatic gastric cancer is uncertain, but promising findings have been reported with irinotecan plus cisplatin and S-1 (tegafur, 5-chloro-2,4-dihydropyrimidine, and potassium oxonate). We aimed to investigate the superiority of irinotecan plus cisplatin and non-inferiority of S-1 compared with fluorouracil, with respect to overall survival, in patients with metastatic gastric cancer.\n\nMETHODS: We undertook a phase 3 open label randomised trial in 34 institutions in Japan. We enrolled patients aged 20-75 years or younger, who had histologically proven gastric adenocarcinoma, and randomly assigned them by minimisation to receive either: a continuous infusion of fluorouracil (800 mg/m(2) per day, on days 1-5) every 4 weeks (n=234); intravenous irinotecan (70 mg/m(2), on days 1 and 15) and cisplatin (80 mg/m(2), on day 1) every 4 weeks (n=236); or oral S-1 (40 mg/m(2), twice a day, on days 1-28) every 6 weeks (n=234). The primary endpoint was overall survival. Analyses were done by intention to treat. This study is registered with Clinicaltrials.gov, number NCT00142350, and with UMIN-CTR, number C000000062.\n\nFINDINGS: All randomised patients were included in the primary analysis. Median overall survival was 10.8 months (IQR 5.7-17.8) for individuals assigned fluorouracil, 12.3 months (8.1-19.5) for those allocated irinotecan plus cisplatin (hazard ratio 0.85 [95% CI 0.70-1.04]; p=0.0552), and 11.4 months (6.4-21.3) for those assigned S-1 (0.83 [0.68-1.01]; p=0.0005 for non-inferiority). Three treatment-related deaths occurred in the irinotecan plus cisplatin group and one was recorded in the S-1 group.\n\nINTERPRETATION: S-1 is non-inferior to fluorouracil and, in view of the convenience of an oral administration, could replace intravenous fluorouracil for treatment of unresectable or recurrent gastric cancer, at least in Asia. Irinotecan plus cisplatin is not superior to fluorouracil in this setting.","author":[{"dropping-particle":"","family":"Boku","given":"Narikazu","non-dropping-particle":"","parse-names":false,"suffix":""},{"dropping-particle":"","family":"Yamamoto","given":"Seiichiro","non-dropping-particle":"","parse-names":false,"suffix":""},{"dropping-particle":"","family":"Fukuda","given":"Haruhiko","non-dropping-particle":"","parse-names":false,"suffix":""},{"dropping-particle":"","family":"Shirao","given":"Kuniaki","non-dropping-particle":"","parse-names":false,"suffix":""},{"dropping-particle":"","family":"Doi","given":"Toshihiko","non-dropping-particle":"","parse-names":false,"suffix":""},{"dropping-particle":"","family":"Sawaki","given":"Akira","non-dropping-particle":"","parse-names":false,"suffix":""},{"dropping-particle":"","family":"Koizumi","given":"Wasaburo","non-dropping-particle":"","parse-names":false,"suffix":""},{"dropping-particle":"","family":"Saito","given":"Hiroshi","non-dropping-particle":"","parse-names":false,"suffix":""},{"dropping-particle":"","family":"Yamaguchi","given":"Kensei","non-dropping-particle":"","parse-names":false,"suffix":""},{"dropping-particle":"","family":"Takiuchi","given":"Hiroya","non-dropping-particle":"","parse-names":false,"suffix":""},{"dropping-particle":"","family":"Nasu","given":"Junichiro","non-dropping-particle":"","parse-names":false,"suffix":""},{"dropping-particle":"","family":"Ohtsu","given":"Atsushi","non-dropping-particle":"","parse-names":false,"suffix":""}],"container-title":"The Lancet. Oncology","id":"ITEM-1","issue":"11","issued":{"date-parts":[["2009","11"]]},"page":"1063-9","publisher":"Elsevier Ltd","title":"Fluorouracil versus combination of irinotecan plus cisplatin versus S-1 in metastatic gastric cancer: a randomised phase 3 study.","type":"article-journal","volume":"10"},"uris":["http://www.mendeley.com/documents/?uuid=6efc4023-7536-4615-beef-a1b3de84a06f"]}],"mendeley":{"formattedCitation":"[5]","plainTextFormattedCitation":"[5]","previouslyFormattedCitation":"[5]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958EB57"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215</w:t>
            </w:r>
          </w:p>
        </w:tc>
        <w:tc>
          <w:tcPr>
            <w:tcW w:w="1618" w:type="dxa"/>
            <w:shd w:val="clear" w:color="auto" w:fill="auto"/>
            <w:noWrap/>
            <w:hideMark/>
          </w:tcPr>
          <w:p w14:paraId="63496775"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w:t>
            </w:r>
          </w:p>
        </w:tc>
        <w:tc>
          <w:tcPr>
            <w:tcW w:w="1412" w:type="dxa"/>
            <w:gridSpan w:val="2"/>
            <w:shd w:val="clear" w:color="auto" w:fill="auto"/>
            <w:noWrap/>
            <w:hideMark/>
          </w:tcPr>
          <w:p w14:paraId="1212E147"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158 (73)</w:t>
            </w:r>
          </w:p>
        </w:tc>
        <w:tc>
          <w:tcPr>
            <w:tcW w:w="1553" w:type="dxa"/>
            <w:shd w:val="clear" w:color="auto" w:fill="auto"/>
            <w:noWrap/>
            <w:hideMark/>
          </w:tcPr>
          <w:p w14:paraId="7959183D"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63 (32-75)</w:t>
            </w:r>
          </w:p>
        </w:tc>
        <w:tc>
          <w:tcPr>
            <w:tcW w:w="1449" w:type="dxa"/>
            <w:gridSpan w:val="2"/>
            <w:shd w:val="clear" w:color="auto" w:fill="auto"/>
            <w:noWrap/>
            <w:hideMark/>
          </w:tcPr>
          <w:p w14:paraId="6A03C5E2"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2DCB5455"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 (1)</w:t>
            </w:r>
          </w:p>
        </w:tc>
      </w:tr>
      <w:tr w:rsidR="00DB6B18" w:rsidRPr="007D2E2F" w14:paraId="55B49D52" w14:textId="77777777" w:rsidTr="00B61A3A">
        <w:trPr>
          <w:trHeight w:val="255"/>
        </w:trPr>
        <w:tc>
          <w:tcPr>
            <w:tcW w:w="2552" w:type="dxa"/>
            <w:shd w:val="clear" w:color="auto" w:fill="auto"/>
            <w:noWrap/>
            <w:hideMark/>
          </w:tcPr>
          <w:p w14:paraId="79E89E79" w14:textId="0D7E25CA" w:rsidR="00DB6B18" w:rsidRPr="007D2E2F" w:rsidRDefault="00DB6B18"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Lutz 2007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{"citationItems":[{"id":"ITEM-1","itemData":{"DOI":"10.1200/JCO.2007.11.1666","ISBN":"0732-183X","ISSN":"0732183X","PMID":"17577037","abstract":"PURPOSE: This multicentric, randomized, two-stage phase II trial evaluated three simplified weekly infusional regimens of fluorouracil (FU) or FU plus folinic acid (FA) and cisplatin (Cis) with the aim to select a regimen for future phase III trials. PATIENTS AND METHODS: A total of 145 patients with advanced gastric cancer where randomly assigned to weekly FU 3,000 mg/m2/24 hours (HD-FU), FU 2,600 mg/m2/24 hours plus dl-FA 500 mg/m2 or l-FA 250 mg/m2 (HD-FU/FA), or FU 2000 mg/m2/24 hours plus FA plus biweekly Cis 50 mg/m2, each administered for 6 weeks with a 1-week rest. The primary end point was the response rate. RESULTS: Confirmed responses were observed in 6.1% (two of 33) of the eligible patients treated with HD-FU, in 25% (12 of 48, including one complete remission [CR]) with HD-FU/FA, and in 45.7% (21 of 46, including four CRs) with HD-FU/FA/Cis. The HD-FU arm was closed after stage 1 because the required minimum number of responses was not met. The median progression-free survival of all patients in the HD-FU, HD-FU/FA, and HD-FU/FA/Cis arm was 1.9, 4.0, and 6.1 months, respectively. The median overall survival was 7.1, 8.9, and 9.7 months, and the survival rate at 1 year was 24.3%, 30.3%, and 45.3%, respectively. Grade 4 toxicities were rare. The most relevant grade 3/4 toxicities were neutropenia in 1.9%, 5.4%, and 19.6%, and diarrhea in 2.7%, 1.9%, and 3.9% of the cycles in the HD-FU, HD-FU/FA, and HD-/FU/Cis arms, respectively. CONCLUSION: Weekly infusional FU/FA plus biweekly Cis is effective and safe in patients with gastric cancer.","author":[{"dropping-particle":"","family":"Lutz","given":"Manfred P.","non-dropping-particle":"","parse-names":false,"suffix":""},{"dropping-particle":"","family":"Wilke","given":"Hansjochen","non-dropping-particle":"","parse-names":false,"suffix":""},{"dropping-particle":"","family":"Wagener","given":"D. J Theo","non-dropping-particle":"","parse-names":false,"suffix":""},{"dropping-particle":"","family":"Vanhoefer","given":"Udo","non-dropping-particle":"","parse-names":false,"suffix":""},{"dropping-particle":"","family":"Jeziorski","given":"Krzysztof","non-dropping-particle":"","parse-names":false,"suffix":""},{"dropping-particle":"","family":"Hegewisch-Becker","given":"Susanna","non-dropping-particle":"","parse-names":false,"suffix":""},{"dropping-particle":"","family":"Balleisen","given":"Leopold","non-dropping-particle":"","parse-names":false,"suffix":""},{"dropping-particle":"","family":"Joossens","given":"Eric","non-dropping-particle":"","parse-names":false,"suffix":""},{"dropping-particle":"","family":"Jansen","given":"Rob L.","non-dropping-particle":"","parse-names":false,"suffix":""},{"dropping-particle":"","family":"Debois","given":"Muriel","non-dropping-particle":"","parse-names":false,"suffix":""},{"dropping-particle":"","family":"Bethe","given":"Ullrich","non-dropping-particle":"","parse-names":false,"suffix":""},{"dropping-particle":"","family":"Praet","given":"Michel","non-dropping-particle":"","parse-names":false,"suffix":""},{"dropping-particle":"","family":"Wils","given":"Jacques","non-dropping-particle":"","parse-names":false,"suffix":""},{"dropping-particle":"","family":"Cutsem","given":"Eric","non-dropping-particle":"Van","parse-names":false,"suffix":""}],"container-title":"Journal of Clinical Oncology","id":"ITEM-1","issue":"18","issued":{"date-parts":[["2007"]]},"page":"2580-2585","title":"Weekly infusional high-dose fluorouracil (HD-FU), HD-FU plus folinic acid (HD-FU/FA), or HD-FU/FA plus biweekly cisplatin in advanced gastric cancer: Randomized phase II trial 40953 of the European organisation for research and treatment of cancer gastroi","type":"article-journal","volume":"25"},"uris":["http://www.mendeley.com/documents/?uuid=b9b1feb6-46c2-4497-84ea-ffd1ad8e7c1b"]}],"mendeley":{"formattedCitation":"[6]","plainTextFormattedCitation":"[6]","previouslyFormattedCitation":"[6]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6C148F33"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53</w:t>
            </w:r>
          </w:p>
        </w:tc>
        <w:tc>
          <w:tcPr>
            <w:tcW w:w="1618" w:type="dxa"/>
            <w:shd w:val="clear" w:color="auto" w:fill="auto"/>
            <w:noWrap/>
            <w:hideMark/>
          </w:tcPr>
          <w:p w14:paraId="6BC6927B"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HD-FU/LV</w:t>
            </w:r>
          </w:p>
        </w:tc>
        <w:tc>
          <w:tcPr>
            <w:tcW w:w="1412" w:type="dxa"/>
            <w:gridSpan w:val="2"/>
            <w:shd w:val="clear" w:color="auto" w:fill="auto"/>
            <w:noWrap/>
            <w:hideMark/>
          </w:tcPr>
          <w:p w14:paraId="3BEE7BBC"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42(79)</w:t>
            </w:r>
          </w:p>
        </w:tc>
        <w:tc>
          <w:tcPr>
            <w:tcW w:w="1553" w:type="dxa"/>
            <w:shd w:val="clear" w:color="auto" w:fill="auto"/>
            <w:noWrap/>
            <w:hideMark/>
          </w:tcPr>
          <w:p w14:paraId="470DA94C"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(31-74)</w:t>
            </w:r>
          </w:p>
        </w:tc>
        <w:tc>
          <w:tcPr>
            <w:tcW w:w="1449" w:type="dxa"/>
            <w:gridSpan w:val="2"/>
            <w:shd w:val="clear" w:color="auto" w:fill="auto"/>
            <w:noWrap/>
            <w:hideMark/>
          </w:tcPr>
          <w:p w14:paraId="7224A5D1"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53 (100)</w:t>
            </w:r>
          </w:p>
        </w:tc>
        <w:tc>
          <w:tcPr>
            <w:tcW w:w="797" w:type="dxa"/>
            <w:shd w:val="clear" w:color="auto" w:fill="auto"/>
            <w:noWrap/>
            <w:hideMark/>
          </w:tcPr>
          <w:p w14:paraId="02FA41A2"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(8)</w:t>
            </w:r>
          </w:p>
        </w:tc>
      </w:tr>
      <w:tr w:rsidR="00DB6B18" w:rsidRPr="007D2E2F" w14:paraId="3A0BE6DE" w14:textId="77777777" w:rsidTr="00B61A3A">
        <w:trPr>
          <w:trHeight w:val="255"/>
        </w:trPr>
        <w:tc>
          <w:tcPr>
            <w:tcW w:w="2552" w:type="dxa"/>
            <w:shd w:val="clear" w:color="auto" w:fill="auto"/>
            <w:noWrap/>
            <w:hideMark/>
          </w:tcPr>
          <w:p w14:paraId="0D0438D9" w14:textId="4368CF0B" w:rsidR="00DB6B18" w:rsidRPr="007D2E2F" w:rsidRDefault="00DB6B18"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Ohtsu 2003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{"citationItems":[{"id":"ITEM-1","itemData":{"DOI":"10.1200/JCO.2003.04.130","ISBN":"0732-183X","ISSN":"15277755","PMID":"12506170","abstract":"PURPOSE: To compare fluorouracil (FU) alone with FU plus cisplatin (FP) and with uracil and tegafur plus mitomycin (UFTM) for patients with advanced gastric cancer in a prospective, randomized, controlled trial.\\n\\nPATIENTS AND METHODS: A total of 280 patients with advanced gastric cancer were randomly allocated and analyzed for survival, response, and toxicity. The survival curves were compared between groups by log-rank test on an intent-to-treat basis.\\n\\nRESULTS: At the interim analysis, the UFTM arm showed a significantly inferior survival with higher incidences of hematologic toxic effects than did control arm FU alone, and the registration to UFTM was terminated. Both investigational regimens, FP and UFTM, had a significantly higher incidence of hematologic toxic effects than FU alone, although the effects were manageable. The overall response rates of the FU-alone, FP, and UFTM arms were 11%, 34%, and 9%, respectively. The median progression-free survival was 1.9 months with FU alone, 3.9 months with FP, and 2.4 months with UFTM, respectively. Although FP demonstrated a higher response rate (P &lt;.001) and longer progression-free survival than did FU alone (P &lt;.001), no differences in overall survival were observed between the arms. The median survival times and 1-year survival rates were 7.1 months and 28% with FU, 7.3 months and 29% with FP, and 6.0 months and 16% with UFTM, respectively.\\n\\nCONCLUSION: Neither investigational regimen, FP nor UFTM, showed a survival advantage as compared with FU alone. FU alone will remain a reference arm in our future trial for advanced gastric cancer.","author":[{"dropping-particle":"","family":"Ohtsu","given":"Atsushi","non-dropping-particle":"","parse-names":false,"suffix":""},{"dropping-particle":"","family":"Shimada","given":"Yasuhiro","non-dropping-particle":"","parse-names":false,"suffix":""},{"dropping-particle":"","family":"Shirao","given":"Kuniaki","non-dropping-particle":"","parse-names":false,"suffix":""},{"dropping-particle":"","family":"Boku","given":"Narikazu","non-dropping-particle":"","parse-names":false,"suffix":""},{"dropping-particle":"","family":"Hyodo","given":"Ichinosuke","non-dropping-particle":"","parse-names":false,"suffix":""},{"dropping-particle":"","family":"Saito","given":"Hiroshi","non-dropping-particle":"","parse-names":false,"suffix":""},{"dropping-particle":"","family":"Yamamichi","given":"Noboru","non-dropping-particle":"","parse-names":false,"suffix":""},{"dropping-particle":"","family":"Miyata","given":"Yoshinori","non-dropping-particle":"","parse-names":false,"suffix":""},{"dropping-particle":"","family":"Ikeda","given":"Nobumasa","non-dropping-particle":"","parse-names":false,"suffix":""},{"dropping-particle":"","family":"Yamamoto","given":"Seiichiro","non-dropping-particle":"","parse-names":false,"suffix":""},{"dropping-particle":"","family":"Fukuda","given":"Haruhiko","non-dropping-particle":"","parse-names":false,"suffix":""},{"dropping-particle":"","family":"Yoshida","given":"Shigeaki","non-dropping-particle":"","parse-names":false,"suffix":""}],"container-title":"Journal of Clinical Oncology","id":"ITEM-1","issue":"1","issued":{"date-parts":[["2003"]]},"page":"54-59","title":"Randomized phase III trial of fluorouracil alone versus fluorouracil plus cisplatin versus uracil and tegafur plus mitomycin in patients with unresectable, advanced gastric cancer: The Japan clinical oncology group study (JCOG9205)","type":"article-journal","volume":"21"},"uris":["http://www.mendeley.com/documents/?uuid=434322f7-fdc5-4c41-86e5-b63b9476e8d6"]}],"mendeley":{"formattedCitation":"[7]","plainTextFormattedCitation":"[7]","previouslyFormattedCitation":"[7]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6059014" w14:textId="77777777" w:rsidR="00DB6B18" w:rsidRPr="007D2E2F" w:rsidRDefault="00DB6B18"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105</w:t>
            </w:r>
          </w:p>
        </w:tc>
        <w:tc>
          <w:tcPr>
            <w:tcW w:w="1618" w:type="dxa"/>
            <w:shd w:val="clear" w:color="auto" w:fill="auto"/>
            <w:noWrap/>
            <w:hideMark/>
          </w:tcPr>
          <w:p w14:paraId="4E7558C2"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w:t>
            </w:r>
          </w:p>
        </w:tc>
        <w:tc>
          <w:tcPr>
            <w:tcW w:w="1412" w:type="dxa"/>
            <w:gridSpan w:val="2"/>
            <w:shd w:val="clear" w:color="auto" w:fill="auto"/>
            <w:noWrap/>
            <w:hideMark/>
          </w:tcPr>
          <w:p w14:paraId="06DAF04F"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75 (71)</w:t>
            </w:r>
          </w:p>
        </w:tc>
        <w:tc>
          <w:tcPr>
            <w:tcW w:w="1553" w:type="dxa"/>
            <w:shd w:val="clear" w:color="auto" w:fill="auto"/>
            <w:noWrap/>
            <w:hideMark/>
          </w:tcPr>
          <w:p w14:paraId="1841B469"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63 (27-75)</w:t>
            </w:r>
          </w:p>
        </w:tc>
        <w:tc>
          <w:tcPr>
            <w:tcW w:w="1449" w:type="dxa"/>
            <w:gridSpan w:val="2"/>
            <w:shd w:val="clear" w:color="auto" w:fill="auto"/>
            <w:noWrap/>
            <w:hideMark/>
          </w:tcPr>
          <w:p w14:paraId="2BB2CBFB"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90 (86)</w:t>
            </w:r>
          </w:p>
        </w:tc>
        <w:tc>
          <w:tcPr>
            <w:tcW w:w="797" w:type="dxa"/>
            <w:shd w:val="clear" w:color="auto" w:fill="auto"/>
            <w:noWrap/>
            <w:hideMark/>
          </w:tcPr>
          <w:p w14:paraId="054819A1"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 (10)</w:t>
            </w:r>
          </w:p>
        </w:tc>
      </w:tr>
      <w:tr w:rsidR="00DB6B18" w:rsidRPr="007D2E2F" w14:paraId="694CF98C" w14:textId="77777777" w:rsidTr="00B61A3A">
        <w:trPr>
          <w:trHeight w:val="255"/>
        </w:trPr>
        <w:tc>
          <w:tcPr>
            <w:tcW w:w="2552" w:type="dxa"/>
            <w:shd w:val="clear" w:color="auto" w:fill="auto"/>
            <w:noWrap/>
            <w:hideMark/>
          </w:tcPr>
          <w:p w14:paraId="75A4A105" w14:textId="545C21C4" w:rsidR="00DB6B18" w:rsidRPr="007D2E2F" w:rsidRDefault="00DB6B18"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Sawaki 2009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10.1016/S1359-6349(09)71231-5","ISSN":"13596349","author":[{"dropping-particle":"","family":"Sawaki","given":"a.","non-dropping-particle":"","parse-names":false,"suffix":""},{"dropping-particle":"","family":"Yamaguchi","given":"K.","non-dropping-particle":"","parse-names":false,"suffix":""},{"dropping-particle":"","family":"Nabeya","given":"Y.","non-dropping-particle":"","parse-names":false,"suffix":""},{"dropping-particle":"","family":"Sakai","given":"Y.","non-dropping-particle":"","parse-names":false,"suffix":""},{"dropping-particle":"","family":"Osanai","given":"H.","non-dropping-particle":"","parse-names":false,"suffix":""},{"dropping-particle":"","family":"Denda","given":"T.","non-dropping-particle":"","parse-names":false,"suffix":""},{"dropping-particle":"","family":"Furue","given":"H.","non-dropping-particle":"","parse-names":false,"suffix":""},{"dropping-particle":"","family":"Kurihara","given":"M.","non-dropping-particle":"","parse-names":false,"suffix":""}],"container-title":"European Journal of Cancer Supplements","id":"ITEM-1","issue":"2","issued":{"date-parts":[["2009","9"]]},"page":"364","publisher":"Elsevier Ltd","title":"5-FU/l-LV (RPMI) versus S-1 as first-line therapy in patients with advanced gastric cancer: a randomized phase III non-inferiority trial. (ISO-5FU10 Study Group trial)","type":"article-journal","volume":"7"},"uris":["http://www.mendeley.com/documents/?uuid=16fe644a-b857-450d-b159-a36075fa7e2f"]}],"mendeley":{"formattedCitation":"[8]","plainTextFormattedCitation":"[8]","previouslyFormattedCitation":"[8]"},"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[8]</w:t>
            </w:r>
            <w:r w:rsidRPr="007D2E2F">
              <w:rPr>
                <w:rFonts w:ascii="Times New Roman" w:eastAsia="Times New Roman" w:hAnsi="Times New Roman"/>
                <w:sz w:val="16"/>
                <w:szCs w:val="16"/>
              </w:rPr>
              <w:fldChar w:fldCharType="end"/>
            </w:r>
          </w:p>
        </w:tc>
        <w:tc>
          <w:tcPr>
            <w:tcW w:w="456" w:type="dxa"/>
            <w:shd w:val="clear" w:color="auto" w:fill="auto"/>
            <w:noWrap/>
            <w:hideMark/>
          </w:tcPr>
          <w:p w14:paraId="47C23CDE" w14:textId="77777777" w:rsidR="00DB6B18" w:rsidRPr="007D2E2F" w:rsidRDefault="00DB6B18"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89</w:t>
            </w:r>
          </w:p>
        </w:tc>
        <w:tc>
          <w:tcPr>
            <w:tcW w:w="1618" w:type="dxa"/>
            <w:shd w:val="clear" w:color="auto" w:fill="auto"/>
            <w:noWrap/>
            <w:hideMark/>
          </w:tcPr>
          <w:p w14:paraId="01A5FAD3"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w:t>
            </w:r>
          </w:p>
        </w:tc>
        <w:tc>
          <w:tcPr>
            <w:tcW w:w="1412" w:type="dxa"/>
            <w:gridSpan w:val="2"/>
            <w:shd w:val="clear" w:color="auto" w:fill="auto"/>
            <w:noWrap/>
            <w:hideMark/>
          </w:tcPr>
          <w:p w14:paraId="579432E3"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71 (80)</w:t>
            </w:r>
          </w:p>
        </w:tc>
        <w:tc>
          <w:tcPr>
            <w:tcW w:w="1553" w:type="dxa"/>
            <w:shd w:val="clear" w:color="auto" w:fill="auto"/>
            <w:noWrap/>
            <w:hideMark/>
          </w:tcPr>
          <w:p w14:paraId="6B711E2F"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(44-77)</w:t>
            </w:r>
          </w:p>
        </w:tc>
        <w:tc>
          <w:tcPr>
            <w:tcW w:w="1449" w:type="dxa"/>
            <w:gridSpan w:val="2"/>
            <w:shd w:val="clear" w:color="auto" w:fill="auto"/>
            <w:noWrap/>
            <w:hideMark/>
          </w:tcPr>
          <w:p w14:paraId="6D9FCFB5"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(73)</w:t>
            </w:r>
          </w:p>
        </w:tc>
        <w:tc>
          <w:tcPr>
            <w:tcW w:w="797" w:type="dxa"/>
            <w:shd w:val="clear" w:color="auto" w:fill="auto"/>
            <w:noWrap/>
            <w:hideMark/>
          </w:tcPr>
          <w:p w14:paraId="26F03C7B"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(5)</w:t>
            </w:r>
          </w:p>
        </w:tc>
      </w:tr>
      <w:tr w:rsidR="00DB6B18" w:rsidRPr="007D2E2F" w14:paraId="4AC8957B" w14:textId="77777777" w:rsidTr="00B61A3A">
        <w:trPr>
          <w:trHeight w:val="255"/>
        </w:trPr>
        <w:tc>
          <w:tcPr>
            <w:tcW w:w="2552" w:type="dxa"/>
            <w:shd w:val="clear" w:color="auto" w:fill="auto"/>
            <w:noWrap/>
            <w:hideMark/>
          </w:tcPr>
          <w:p w14:paraId="490E58E9" w14:textId="2E334E4B" w:rsidR="00DB6B18" w:rsidRPr="007D2E2F" w:rsidRDefault="00DB6B18"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Kondo 2000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{"citationItems":[{"id":"ITEM-1","itemData":{"ISBN":"1021-335X (Print)\\r1021-335X (Linking)","ISSN":"1021-335X","PMID":"10767356","abstract":"We conducted a phase III randomized study to investigate effects of supportive chemotherapy with oral doxifluridine (group A, 75 patients) or 5-fluorouracil (group B, 75 patients) in advanced gastric cancer when intensive chemotherapy was not an option. Although there were no significant differences between the groups with regard to survival, hospital-free survival and time to progression, median values of 3 endpoints were superior in group A. Secondary analysis showed that group A patients with prior chemotherapy tended to have longer survival and hospital-free survival and significantly longer time to progression.","author":[{"dropping-particle":"","family":"Kondo","given":"K","non-dropping-particle":"","parse-names":false,"suffix":""},{"dropping-particle":"","family":"Sakamoto","given":"J","non-dropping-particle":"","parse-names":false,"suffix":""},{"dropping-particle":"","family":"Nakazato","given":"H","non-dropping-particle":"","parse-names":false,"suffix":""},{"dropping-particle":"","family":"Koike","given":"A","non-dropping-particle":"","parse-names":false,"suffix":""},{"dropping-particle":"","family":"Kitoh","given":"T","non-dropping-particle":"","parse-names":false,"suffix":""},{"dropping-particle":"","family":"Hachisuka","given":"K","non-dropping-particle":"","parse-names":false,"suffix":""},{"dropping-particle":"","family":"Saji","given":"S","non-dropping-particle":"","parse-names":false,"suffix":""},{"dropping-particle":"","family":"Yura","given":"J","non-dropping-particle":"","parse-names":false,"suffix":""},{"dropping-particle":"","family":"Nimura","given":"Y","non-dropping-particle":"","parse-names":false,"suffix":""},{"dropping-particle":"","family":"Hamajima","given":"N","non-dropping-particle":"","parse-names":false,"suffix":""},{"dropping-particle":"","family":"Katoh","given":"K","non-dropping-particle":"","parse-names":false,"suffix":""},{"dropping-particle":"","family":"Yamaguchi","given":"A","non-dropping-particle":"","parse-names":false,"suffix":""},{"dropping-particle":"","family":"Miya","given":"K I","non-dropping-particle":"","parse-names":false,"suffix":""},{"dropping-particle":"","family":"Yamauchi","given":"M","non-dropping-particle":"","parse-names":false,"suffix":""},{"dropping-particle":"","family":"Mizuno","given":"I","non-dropping-particle":"","parse-names":false,"suffix":""},{"dropping-particle":"","family":"Nagino","given":"M","non-dropping-particle":"","parse-names":false,"suffix":""},{"dropping-particle":"","family":"Takagi","given":"H","non-dropping-particle":"","parse-names":false,"suffix":""}],"container-title":"Oncol Rep","id":"ITEM-1","issue":"3","issued":{"date-parts":[["2000"]]},"page":"485-490","title":"A phase III randomized study comparing doxifluridine and 5-fluorouracil as supportive chemotherapy in advanced and recurrent gastric cancer","type":"article-journal","volume":"7"},"uris":["http://www.mendeley.com/documents/?uuid=5ff48de0-1dd1-47af-9271-42ea1ad32880"]}],"mendeley":{"formattedCitation":"[9]","plainTextFormattedCitation":"[9]","previouslyFormattedCitation":"[9]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675AF72" w14:textId="77777777" w:rsidR="00DB6B18" w:rsidRPr="007D2E2F" w:rsidRDefault="00DB6B18"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85</w:t>
            </w:r>
          </w:p>
        </w:tc>
        <w:tc>
          <w:tcPr>
            <w:tcW w:w="1618" w:type="dxa"/>
            <w:shd w:val="clear" w:color="auto" w:fill="auto"/>
            <w:noWrap/>
            <w:hideMark/>
          </w:tcPr>
          <w:p w14:paraId="2BD88939" w14:textId="77777777" w:rsidR="00DB6B18" w:rsidRPr="007D2E2F" w:rsidRDefault="00DB6B18"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w:t>
            </w:r>
          </w:p>
        </w:tc>
        <w:tc>
          <w:tcPr>
            <w:tcW w:w="1412" w:type="dxa"/>
            <w:gridSpan w:val="2"/>
            <w:shd w:val="clear" w:color="auto" w:fill="auto"/>
            <w:noWrap/>
            <w:hideMark/>
          </w:tcPr>
          <w:p w14:paraId="2D151D42"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(73)</w:t>
            </w:r>
          </w:p>
        </w:tc>
        <w:tc>
          <w:tcPr>
            <w:tcW w:w="1553" w:type="dxa"/>
            <w:shd w:val="clear" w:color="auto" w:fill="auto"/>
            <w:noWrap/>
            <w:hideMark/>
          </w:tcPr>
          <w:p w14:paraId="1E1046BE"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(44-80)</w:t>
            </w:r>
          </w:p>
        </w:tc>
        <w:tc>
          <w:tcPr>
            <w:tcW w:w="1449" w:type="dxa"/>
            <w:gridSpan w:val="2"/>
            <w:shd w:val="clear" w:color="auto" w:fill="auto"/>
            <w:noWrap/>
            <w:hideMark/>
          </w:tcPr>
          <w:p w14:paraId="7176B1B9"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718D0A14" w14:textId="77777777" w:rsidR="00DB6B18" w:rsidRPr="007D2E2F" w:rsidRDefault="00DB6B18"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27 (32)</w:t>
            </w:r>
          </w:p>
        </w:tc>
      </w:tr>
      <w:tr w:rsidR="00DB6B18" w:rsidRPr="001A6F97" w14:paraId="19113F43" w14:textId="77777777" w:rsidTr="00B61A3A">
        <w:trPr>
          <w:trHeight w:val="255"/>
        </w:trPr>
        <w:tc>
          <w:tcPr>
            <w:tcW w:w="2552" w:type="dxa"/>
            <w:tcBorders>
              <w:bottom w:val="single" w:sz="4" w:space="0" w:color="auto"/>
            </w:tcBorders>
            <w:shd w:val="clear" w:color="auto" w:fill="auto"/>
            <w:noWrap/>
            <w:hideMark/>
          </w:tcPr>
          <w:p w14:paraId="64F0BF3A" w14:textId="7197C366" w:rsidR="00DB6B18" w:rsidRPr="00B61A3A" w:rsidRDefault="00DB6B18"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Tebutt 2002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{"citationItems":[{"id":"ITEM-1","itemData":{"DOI":"10.1093/annonc/mdf273","ISBN":"0923-7534 (Print)","ISSN":"09237534","PMID":"12377644","abstract":"BACKGROUND: This randomised study compared protracted venous infusion (PVI) fluorouracil (5-FU) with PVI 5-FU plus mitomycin C (MMC) in patients with advanced oesophago-gastric cancer. PATIENTS AND METHODS: Two hundred and fifty-four patients with adenocarcinoma, squamous cell carcinoma or undifferentiated carcinoma involving the oesophagus, oesophago-gastric junction or the stomach were randomised. The major end points were tumour response, survival, toxicity and quality of life. RESULTS: The median age of patients treated was 72 years and the two arms were well-balanced for baseline demographic factors. The overall response rate was 16.1% [95% confidence interval (CI) 9.5% to 22.7%] in patients treated with PVI 5-FU alone compared with 19.1% (95% CI 12.0% to 26.0%) for those treated with PVI 5-FU plus MMC (P = 0.555). Median time to treatment failure was 3.9 months for PVI 5-FU and 3.8 months for PVI 5-FU plus MMC (P = 0.195). Median survival was 6.3 months for PVI 5-FU and 5.3 months for PVI 5-FU plus MMC (P = 1.0). Toxicity was mild for both treatments. Symptomatic benefit measured by improvement in pain control, weight loss, dysphagia and oesophageal reflux was observed in over 64% of patients in each arm. Quality of life scores were comparable in each arm. CONCLUSIONS: PVI 5-FU is a safe, effective form of palliation for patients with advanced oesophago-gastric cancer although the addition of MMC adds little extra benefit.","author":[{"dropping-particle":"","family":"Tebbutt","given":"N. C.","non-dropping-particle":"","parse-names":false,"suffix":""},{"dropping-particle":"","family":"Norman","given":"A.","non-dropping-particle":"","parse-names":false,"suffix":""},{"dropping-particle":"","family":"Cunningham","given":"D.","non-dropping-particle":"","parse-names":false,"suffix":""},{"dropping-particle":"","family":"Iveson","given":"T.","non-dropping-particle":"","parse-names":false,"suff</w:instrText>
            </w:r>
            <w:r w:rsidR="006739B2" w:rsidRPr="006739B2">
              <w:rPr>
                <w:rFonts w:ascii="Times New Roman" w:eastAsia="Times New Roman" w:hAnsi="Times New Roman"/>
                <w:b/>
                <w:color w:val="000000"/>
                <w:sz w:val="16"/>
                <w:szCs w:val="16"/>
                <w:lang w:val="en-US"/>
              </w:rPr>
              <w:instrText>ix":""},{"dropping-particle":"","family":"Seymour","given":"M.","non-dropping-particle":"","parse-names":false,"suffix":""},{"dropping-particle":"","family":"Hickish","given":"T.","non-dropping-particle":"","parse-names":false,"suffix":""},{"dropping-particle":"","family":"Harper","given":"P.","non-dropping-particle":"","parse-names":false,"suffix":""},{"dropping-particle":"","family":"Maisey","given":"N.","non-dropping-particle":"","parse-names":false,"suffix":""},{"dropping-particle":"","family":"Mochlinski","given":"K.","non-dropping-particle":"","parse-names":false,"suffix":""},{"dropping-particle":"","family":"Prior","given":"Y.","non-dropping-particle":"","parse-names":false,"suffix":""},{"dropping-particle":"","family":"Hill","given":"M.","non-dropping-particle":"","parse-names":false,"suffix":""}],"container-title":"Annals of Oncology","id":"ITEM-1","issue":"10","issued":{"date-parts":[["2002"]]},"page":"1568-1575","title":"A muticentre, randomised phase III trial comparing protracted venous infusion (PVI) 5-fluorouracil (5-FU) with PVI 5-FU plus mitomycin C in patients with inoperable oesophago-gastric cancer","type":"article-journal","volume":"13"},"uris":["http://www.mendeley.com/documents/?uuid=5be8e847-97f2-427e-ac7e-5191f1c3eec5"]}],"mendeley":{"formattedCitation":"[10]","plainTextFormattedCitation":"[10]","previouslyFormattedCitation":"[10]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[10]</w:t>
            </w:r>
            <w:r w:rsidRPr="007D2E2F">
              <w:rPr>
                <w:rFonts w:ascii="Times New Roman" w:eastAsia="Times New Roman" w:hAnsi="Times New Roman"/>
                <w:color w:val="000000"/>
                <w:sz w:val="16"/>
                <w:szCs w:val="16"/>
              </w:rPr>
              <w:fldChar w:fldCharType="end"/>
            </w:r>
          </w:p>
        </w:tc>
        <w:tc>
          <w:tcPr>
            <w:tcW w:w="456" w:type="dxa"/>
            <w:tcBorders>
              <w:bottom w:val="single" w:sz="4" w:space="0" w:color="auto"/>
            </w:tcBorders>
            <w:shd w:val="clear" w:color="auto" w:fill="auto"/>
            <w:noWrap/>
            <w:hideMark/>
          </w:tcPr>
          <w:p w14:paraId="02E50B83" w14:textId="77777777" w:rsidR="00DB6B18" w:rsidRPr="00B61A3A" w:rsidRDefault="00DB6B18" w:rsidP="00B61A3A">
            <w:pPr>
              <w:spacing w:before="240" w:line="360" w:lineRule="auto"/>
              <w:rPr>
                <w:rFonts w:ascii="Times New Roman" w:eastAsia="Times New Roman" w:hAnsi="Times New Roman"/>
                <w:color w:val="000000"/>
                <w:sz w:val="16"/>
                <w:szCs w:val="16"/>
                <w:lang w:val="en-US"/>
              </w:rPr>
            </w:pPr>
            <w:r w:rsidRPr="00B61A3A">
              <w:rPr>
                <w:rFonts w:ascii="Times New Roman" w:eastAsia="Times New Roman" w:hAnsi="Times New Roman"/>
                <w:color w:val="000000"/>
                <w:sz w:val="16"/>
                <w:szCs w:val="16"/>
                <w:lang w:val="en-US"/>
              </w:rPr>
              <w:t>123</w:t>
            </w:r>
          </w:p>
        </w:tc>
        <w:tc>
          <w:tcPr>
            <w:tcW w:w="1618" w:type="dxa"/>
            <w:tcBorders>
              <w:bottom w:val="single" w:sz="4" w:space="0" w:color="auto"/>
            </w:tcBorders>
            <w:shd w:val="clear" w:color="auto" w:fill="auto"/>
            <w:noWrap/>
            <w:hideMark/>
          </w:tcPr>
          <w:p w14:paraId="27F7423C" w14:textId="77777777" w:rsidR="00DB6B18" w:rsidRPr="00B61A3A" w:rsidRDefault="00DB6B18" w:rsidP="00B61A3A">
            <w:pPr>
              <w:spacing w:before="240" w:line="360" w:lineRule="auto"/>
              <w:rPr>
                <w:rFonts w:ascii="Times New Roman" w:eastAsia="Times New Roman" w:hAnsi="Times New Roman"/>
                <w:color w:val="000000"/>
                <w:sz w:val="16"/>
                <w:szCs w:val="16"/>
                <w:lang w:val="en-US"/>
              </w:rPr>
            </w:pPr>
            <w:r w:rsidRPr="00B61A3A">
              <w:rPr>
                <w:rFonts w:ascii="Times New Roman" w:eastAsia="Times New Roman" w:hAnsi="Times New Roman"/>
                <w:color w:val="000000"/>
                <w:sz w:val="16"/>
                <w:szCs w:val="16"/>
                <w:lang w:val="en-US"/>
              </w:rPr>
              <w:t>PVI-5FU</w:t>
            </w:r>
          </w:p>
        </w:tc>
        <w:tc>
          <w:tcPr>
            <w:tcW w:w="1412" w:type="dxa"/>
            <w:gridSpan w:val="2"/>
            <w:tcBorders>
              <w:bottom w:val="single" w:sz="4" w:space="0" w:color="auto"/>
            </w:tcBorders>
            <w:shd w:val="clear" w:color="auto" w:fill="auto"/>
            <w:noWrap/>
            <w:hideMark/>
          </w:tcPr>
          <w:p w14:paraId="53B4C0A1" w14:textId="77777777" w:rsidR="00DB6B18" w:rsidRPr="00B61A3A" w:rsidRDefault="00DB6B18" w:rsidP="00B61A3A">
            <w:pPr>
              <w:spacing w:before="240" w:line="360" w:lineRule="auto"/>
              <w:jc w:val="right"/>
              <w:rPr>
                <w:rFonts w:ascii="Times New Roman" w:eastAsia="Times New Roman" w:hAnsi="Times New Roman"/>
                <w:color w:val="000000"/>
                <w:sz w:val="16"/>
                <w:szCs w:val="16"/>
                <w:lang w:val="en-US"/>
              </w:rPr>
            </w:pPr>
            <w:r w:rsidRPr="00B61A3A">
              <w:rPr>
                <w:rFonts w:ascii="Times New Roman" w:eastAsia="Times New Roman" w:hAnsi="Times New Roman"/>
                <w:color w:val="000000"/>
                <w:sz w:val="16"/>
                <w:szCs w:val="16"/>
                <w:lang w:val="en-US"/>
              </w:rPr>
              <w:t>94 (76)</w:t>
            </w:r>
          </w:p>
        </w:tc>
        <w:tc>
          <w:tcPr>
            <w:tcW w:w="1553" w:type="dxa"/>
            <w:tcBorders>
              <w:bottom w:val="single" w:sz="4" w:space="0" w:color="auto"/>
            </w:tcBorders>
            <w:shd w:val="clear" w:color="auto" w:fill="auto"/>
            <w:noWrap/>
            <w:hideMark/>
          </w:tcPr>
          <w:p w14:paraId="584EC03F" w14:textId="77777777" w:rsidR="00DB6B18" w:rsidRPr="00B61A3A" w:rsidRDefault="00DB6B18" w:rsidP="00B61A3A">
            <w:pPr>
              <w:spacing w:before="240" w:line="360" w:lineRule="auto"/>
              <w:jc w:val="right"/>
              <w:rPr>
                <w:rFonts w:ascii="Times New Roman" w:eastAsia="Times New Roman" w:hAnsi="Times New Roman"/>
                <w:color w:val="000000"/>
                <w:sz w:val="16"/>
                <w:szCs w:val="16"/>
                <w:lang w:val="en-US"/>
              </w:rPr>
            </w:pPr>
            <w:r w:rsidRPr="00B61A3A">
              <w:rPr>
                <w:rFonts w:ascii="Times New Roman" w:eastAsia="Times New Roman" w:hAnsi="Times New Roman"/>
                <w:color w:val="000000"/>
                <w:sz w:val="16"/>
                <w:szCs w:val="16"/>
                <w:lang w:val="en-US"/>
              </w:rPr>
              <w:t>72 (52-84)</w:t>
            </w:r>
          </w:p>
        </w:tc>
        <w:tc>
          <w:tcPr>
            <w:tcW w:w="1449" w:type="dxa"/>
            <w:gridSpan w:val="2"/>
            <w:tcBorders>
              <w:bottom w:val="single" w:sz="4" w:space="0" w:color="auto"/>
            </w:tcBorders>
            <w:shd w:val="clear" w:color="auto" w:fill="auto"/>
            <w:noWrap/>
            <w:hideMark/>
          </w:tcPr>
          <w:p w14:paraId="60320FF8" w14:textId="77777777" w:rsidR="00DB6B18" w:rsidRPr="00B61A3A" w:rsidRDefault="00DB6B18" w:rsidP="00B61A3A">
            <w:pPr>
              <w:spacing w:before="240" w:line="360" w:lineRule="auto"/>
              <w:jc w:val="right"/>
              <w:rPr>
                <w:rFonts w:ascii="Times New Roman" w:eastAsia="Times New Roman" w:hAnsi="Times New Roman"/>
                <w:color w:val="000000"/>
                <w:sz w:val="16"/>
                <w:szCs w:val="16"/>
                <w:lang w:val="en-US"/>
              </w:rPr>
            </w:pPr>
            <w:r w:rsidRPr="00B61A3A">
              <w:rPr>
                <w:rFonts w:ascii="Times New Roman" w:eastAsia="Times New Roman" w:hAnsi="Times New Roman"/>
                <w:color w:val="000000"/>
                <w:sz w:val="16"/>
                <w:szCs w:val="16"/>
                <w:lang w:val="en-US"/>
              </w:rPr>
              <w:t>100 (81)</w:t>
            </w:r>
          </w:p>
        </w:tc>
        <w:tc>
          <w:tcPr>
            <w:tcW w:w="797" w:type="dxa"/>
            <w:tcBorders>
              <w:bottom w:val="single" w:sz="4" w:space="0" w:color="auto"/>
            </w:tcBorders>
            <w:shd w:val="clear" w:color="auto" w:fill="auto"/>
            <w:noWrap/>
            <w:hideMark/>
          </w:tcPr>
          <w:p w14:paraId="7B9B8A30" w14:textId="77777777" w:rsidR="00DB6B18" w:rsidRPr="00B61A3A" w:rsidRDefault="00DB6B18" w:rsidP="00B61A3A">
            <w:pPr>
              <w:spacing w:before="240" w:line="360" w:lineRule="auto"/>
              <w:jc w:val="right"/>
              <w:rPr>
                <w:rFonts w:ascii="Times New Roman" w:eastAsia="Times New Roman" w:hAnsi="Times New Roman"/>
                <w:color w:val="000000"/>
                <w:sz w:val="16"/>
                <w:szCs w:val="16"/>
                <w:lang w:val="en-US"/>
              </w:rPr>
            </w:pPr>
            <w:r w:rsidRPr="00B61A3A">
              <w:rPr>
                <w:rFonts w:ascii="Times New Roman" w:eastAsia="Times New Roman" w:hAnsi="Times New Roman"/>
                <w:color w:val="000000"/>
                <w:sz w:val="16"/>
                <w:szCs w:val="16"/>
                <w:lang w:val="en-US"/>
              </w:rPr>
              <w:t>37 (30)</w:t>
            </w:r>
          </w:p>
        </w:tc>
      </w:tr>
      <w:tr w:rsidR="00B61A3A" w:rsidRPr="001A6F97" w14:paraId="4C756377" w14:textId="77777777" w:rsidTr="00B61A3A">
        <w:trPr>
          <w:trHeight w:val="255"/>
        </w:trPr>
        <w:tc>
          <w:tcPr>
            <w:tcW w:w="2552" w:type="dxa"/>
            <w:tcBorders>
              <w:top w:val="single" w:sz="4" w:space="0" w:color="auto"/>
            </w:tcBorders>
            <w:shd w:val="clear" w:color="auto" w:fill="auto"/>
            <w:noWrap/>
          </w:tcPr>
          <w:p w14:paraId="4C87DCD3" w14:textId="616BA2A7" w:rsidR="00B61A3A" w:rsidRPr="00B61A3A" w:rsidRDefault="00B61A3A" w:rsidP="00B61A3A">
            <w:pPr>
              <w:spacing w:before="240" w:line="360" w:lineRule="auto"/>
              <w:rPr>
                <w:rFonts w:ascii="Times New Roman" w:eastAsia="Times New Roman" w:hAnsi="Times New Roman"/>
                <w:b/>
                <w:color w:val="000000"/>
                <w:sz w:val="16"/>
                <w:szCs w:val="16"/>
                <w:lang w:val="en-US"/>
              </w:rPr>
            </w:pPr>
            <w:r w:rsidRPr="001F70C0">
              <w:rPr>
                <w:rFonts w:ascii="Times New Roman" w:eastAsia="Times" w:hAnsi="Times New Roman"/>
                <w:bCs/>
                <w:sz w:val="16"/>
                <w:szCs w:val="24"/>
                <w:lang w:val="en-US"/>
              </w:rPr>
              <w:lastRenderedPageBreak/>
              <w:t>Supplementary table 2. (continued)</w:t>
            </w:r>
          </w:p>
        </w:tc>
        <w:tc>
          <w:tcPr>
            <w:tcW w:w="456" w:type="dxa"/>
            <w:tcBorders>
              <w:top w:val="single" w:sz="4" w:space="0" w:color="auto"/>
            </w:tcBorders>
            <w:shd w:val="clear" w:color="auto" w:fill="auto"/>
            <w:noWrap/>
          </w:tcPr>
          <w:p w14:paraId="132F5A3B" w14:textId="77777777" w:rsidR="00B61A3A" w:rsidRPr="00B61A3A" w:rsidRDefault="00B61A3A" w:rsidP="00B61A3A">
            <w:pPr>
              <w:spacing w:before="240" w:line="360" w:lineRule="auto"/>
              <w:rPr>
                <w:rFonts w:ascii="Times New Roman" w:eastAsia="Times New Roman" w:hAnsi="Times New Roman"/>
                <w:sz w:val="16"/>
                <w:szCs w:val="16"/>
                <w:lang w:val="en-US"/>
              </w:rPr>
            </w:pPr>
          </w:p>
        </w:tc>
        <w:tc>
          <w:tcPr>
            <w:tcW w:w="1618" w:type="dxa"/>
            <w:tcBorders>
              <w:top w:val="single" w:sz="4" w:space="0" w:color="auto"/>
            </w:tcBorders>
            <w:shd w:val="clear" w:color="auto" w:fill="auto"/>
            <w:noWrap/>
          </w:tcPr>
          <w:p w14:paraId="1AA5392A" w14:textId="77777777" w:rsidR="00B61A3A" w:rsidRPr="00B61A3A" w:rsidRDefault="00B61A3A" w:rsidP="00B61A3A">
            <w:pPr>
              <w:spacing w:before="240" w:line="360" w:lineRule="auto"/>
              <w:rPr>
                <w:rFonts w:ascii="Times New Roman" w:eastAsia="Times New Roman" w:hAnsi="Times New Roman"/>
                <w:color w:val="000000"/>
                <w:sz w:val="16"/>
                <w:szCs w:val="16"/>
                <w:lang w:val="en-US"/>
              </w:rPr>
            </w:pPr>
          </w:p>
        </w:tc>
        <w:tc>
          <w:tcPr>
            <w:tcW w:w="1412" w:type="dxa"/>
            <w:gridSpan w:val="2"/>
            <w:tcBorders>
              <w:top w:val="single" w:sz="4" w:space="0" w:color="auto"/>
            </w:tcBorders>
            <w:shd w:val="clear" w:color="auto" w:fill="auto"/>
            <w:noWrap/>
          </w:tcPr>
          <w:p w14:paraId="4F8ECEC8" w14:textId="77777777" w:rsidR="00B61A3A" w:rsidRPr="00B61A3A" w:rsidRDefault="00B61A3A" w:rsidP="00B61A3A">
            <w:pPr>
              <w:spacing w:before="240" w:line="360" w:lineRule="auto"/>
              <w:jc w:val="right"/>
              <w:rPr>
                <w:rFonts w:ascii="Times New Roman" w:eastAsia="Times New Roman" w:hAnsi="Times New Roman"/>
                <w:color w:val="000000"/>
                <w:sz w:val="16"/>
                <w:szCs w:val="16"/>
                <w:lang w:val="en-US"/>
              </w:rPr>
            </w:pPr>
          </w:p>
        </w:tc>
        <w:tc>
          <w:tcPr>
            <w:tcW w:w="1553" w:type="dxa"/>
            <w:tcBorders>
              <w:top w:val="single" w:sz="4" w:space="0" w:color="auto"/>
            </w:tcBorders>
            <w:shd w:val="clear" w:color="auto" w:fill="auto"/>
            <w:noWrap/>
          </w:tcPr>
          <w:p w14:paraId="349FB648" w14:textId="77777777" w:rsidR="00B61A3A" w:rsidRPr="00B61A3A" w:rsidRDefault="00B61A3A" w:rsidP="00B61A3A">
            <w:pPr>
              <w:spacing w:before="240" w:line="360" w:lineRule="auto"/>
              <w:jc w:val="right"/>
              <w:rPr>
                <w:rFonts w:ascii="Times New Roman" w:eastAsia="Times New Roman" w:hAnsi="Times New Roman"/>
                <w:color w:val="000000"/>
                <w:sz w:val="16"/>
                <w:szCs w:val="16"/>
                <w:lang w:val="en-US"/>
              </w:rPr>
            </w:pPr>
          </w:p>
        </w:tc>
        <w:tc>
          <w:tcPr>
            <w:tcW w:w="1449" w:type="dxa"/>
            <w:gridSpan w:val="2"/>
            <w:tcBorders>
              <w:top w:val="single" w:sz="4" w:space="0" w:color="auto"/>
            </w:tcBorders>
            <w:shd w:val="clear" w:color="auto" w:fill="auto"/>
            <w:noWrap/>
          </w:tcPr>
          <w:p w14:paraId="6E20CA03" w14:textId="77777777" w:rsidR="00B61A3A" w:rsidRPr="00B61A3A" w:rsidRDefault="00B61A3A" w:rsidP="00B61A3A">
            <w:pPr>
              <w:spacing w:before="240" w:line="360" w:lineRule="auto"/>
              <w:jc w:val="right"/>
              <w:rPr>
                <w:rFonts w:ascii="Times New Roman" w:eastAsia="Times New Roman" w:hAnsi="Times New Roman"/>
                <w:color w:val="000000"/>
                <w:sz w:val="16"/>
                <w:szCs w:val="16"/>
                <w:lang w:val="en-US"/>
              </w:rPr>
            </w:pPr>
          </w:p>
        </w:tc>
        <w:tc>
          <w:tcPr>
            <w:tcW w:w="797" w:type="dxa"/>
            <w:tcBorders>
              <w:top w:val="single" w:sz="4" w:space="0" w:color="auto"/>
            </w:tcBorders>
            <w:shd w:val="clear" w:color="auto" w:fill="auto"/>
            <w:noWrap/>
          </w:tcPr>
          <w:p w14:paraId="7AF2B778" w14:textId="77777777" w:rsidR="00B61A3A" w:rsidRPr="00B61A3A" w:rsidRDefault="00B61A3A" w:rsidP="00B61A3A">
            <w:pPr>
              <w:spacing w:before="240" w:line="360" w:lineRule="auto"/>
              <w:jc w:val="right"/>
              <w:rPr>
                <w:rFonts w:ascii="Times New Roman" w:eastAsia="Times New Roman" w:hAnsi="Times New Roman"/>
                <w:color w:val="000000"/>
                <w:sz w:val="16"/>
                <w:szCs w:val="16"/>
                <w:lang w:val="en-US"/>
              </w:rPr>
            </w:pPr>
          </w:p>
        </w:tc>
      </w:tr>
      <w:tr w:rsidR="00B61A3A" w:rsidRPr="001A6F97" w14:paraId="3D710B5F" w14:textId="77777777" w:rsidTr="00B61A3A">
        <w:trPr>
          <w:trHeight w:val="255"/>
        </w:trPr>
        <w:tc>
          <w:tcPr>
            <w:tcW w:w="2552" w:type="dxa"/>
            <w:tcBorders>
              <w:top w:val="single" w:sz="4" w:space="0" w:color="auto"/>
            </w:tcBorders>
            <w:shd w:val="clear" w:color="auto" w:fill="auto"/>
            <w:noWrap/>
          </w:tcPr>
          <w:p w14:paraId="5518B494" w14:textId="794BBC74" w:rsidR="00B61A3A" w:rsidRPr="00B61A3A" w:rsidRDefault="00B61A3A" w:rsidP="00B61A3A">
            <w:pPr>
              <w:spacing w:before="240" w:line="360" w:lineRule="auto"/>
              <w:rPr>
                <w:rFonts w:ascii="Times New Roman" w:eastAsia="Times New Roman" w:hAnsi="Times New Roman"/>
                <w:b/>
                <w:color w:val="000000"/>
                <w:sz w:val="16"/>
                <w:szCs w:val="16"/>
                <w:lang w:val="en-US"/>
              </w:rPr>
            </w:pPr>
            <w:r w:rsidRPr="001F70C0">
              <w:rPr>
                <w:rFonts w:ascii="Times New Roman" w:eastAsia="Times New Roman" w:hAnsi="Times New Roman"/>
                <w:bCs/>
                <w:color w:val="000000"/>
                <w:sz w:val="16"/>
                <w:szCs w:val="16"/>
                <w:lang w:val="en-US"/>
              </w:rPr>
              <w:t>Studies</w:t>
            </w:r>
          </w:p>
        </w:tc>
        <w:tc>
          <w:tcPr>
            <w:tcW w:w="456" w:type="dxa"/>
            <w:tcBorders>
              <w:top w:val="single" w:sz="4" w:space="0" w:color="auto"/>
            </w:tcBorders>
            <w:shd w:val="clear" w:color="auto" w:fill="auto"/>
            <w:noWrap/>
          </w:tcPr>
          <w:p w14:paraId="2FD473D9" w14:textId="69899B89" w:rsidR="00B61A3A" w:rsidRPr="00B61A3A" w:rsidRDefault="00B61A3A" w:rsidP="00B61A3A">
            <w:pPr>
              <w:spacing w:before="240" w:line="360" w:lineRule="auto"/>
              <w:rPr>
                <w:rFonts w:ascii="Times New Roman" w:eastAsia="Times New Roman" w:hAnsi="Times New Roman"/>
                <w:sz w:val="16"/>
                <w:szCs w:val="16"/>
                <w:lang w:val="en-US"/>
              </w:rPr>
            </w:pPr>
            <w:r w:rsidRPr="00F72E17">
              <w:rPr>
                <w:rFonts w:ascii="Times New Roman" w:eastAsia="Times New Roman" w:hAnsi="Times New Roman"/>
                <w:b/>
                <w:color w:val="000000"/>
                <w:sz w:val="16"/>
                <w:szCs w:val="16"/>
                <w:lang w:val="en-US"/>
              </w:rPr>
              <w:t>No.</w:t>
            </w:r>
          </w:p>
        </w:tc>
        <w:tc>
          <w:tcPr>
            <w:tcW w:w="1618" w:type="dxa"/>
            <w:tcBorders>
              <w:top w:val="single" w:sz="4" w:space="0" w:color="auto"/>
            </w:tcBorders>
            <w:shd w:val="clear" w:color="auto" w:fill="auto"/>
            <w:noWrap/>
          </w:tcPr>
          <w:p w14:paraId="046D1CC2" w14:textId="5F20B81A" w:rsidR="00B61A3A" w:rsidRPr="00B61A3A"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412" w:type="dxa"/>
            <w:gridSpan w:val="2"/>
            <w:tcBorders>
              <w:top w:val="single" w:sz="4" w:space="0" w:color="auto"/>
            </w:tcBorders>
            <w:shd w:val="clear" w:color="auto" w:fill="auto"/>
            <w:noWrap/>
          </w:tcPr>
          <w:p w14:paraId="0543956A" w14:textId="77777777" w:rsidR="00B61A3A" w:rsidRPr="001F70C0" w:rsidRDefault="00B61A3A" w:rsidP="00B61A3A">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68F4F88B" w14:textId="0CC7C06E" w:rsidR="00B61A3A" w:rsidRPr="00B61A3A" w:rsidRDefault="00B61A3A" w:rsidP="00B61A3A">
            <w:pPr>
              <w:spacing w:before="240" w:line="360" w:lineRule="auto"/>
              <w:jc w:val="right"/>
              <w:rPr>
                <w:rFonts w:ascii="Times New Roman" w:eastAsia="Times New Roman" w:hAnsi="Times New Roman"/>
                <w:color w:val="000000"/>
                <w:sz w:val="16"/>
                <w:szCs w:val="16"/>
                <w:lang w:val="en-US"/>
              </w:rPr>
            </w:pPr>
            <w:r w:rsidRPr="001055DF">
              <w:rPr>
                <w:rFonts w:ascii="Times New Roman" w:eastAsia="Times New Roman" w:hAnsi="Times New Roman"/>
                <w:color w:val="000000"/>
                <w:sz w:val="16"/>
                <w:szCs w:val="16"/>
                <w:lang w:val="en-US"/>
              </w:rPr>
              <w:t>No. (%)</w:t>
            </w:r>
          </w:p>
        </w:tc>
        <w:tc>
          <w:tcPr>
            <w:tcW w:w="1553" w:type="dxa"/>
            <w:tcBorders>
              <w:top w:val="single" w:sz="4" w:space="0" w:color="auto"/>
            </w:tcBorders>
            <w:shd w:val="clear" w:color="auto" w:fill="auto"/>
            <w:noWrap/>
          </w:tcPr>
          <w:p w14:paraId="662DE2EC" w14:textId="77777777" w:rsidR="00B61A3A" w:rsidRPr="001F70C0" w:rsidRDefault="00B61A3A" w:rsidP="00B61A3A">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18EFE3EF" w14:textId="096762F6" w:rsidR="00B61A3A" w:rsidRPr="00B61A3A" w:rsidRDefault="00B61A3A" w:rsidP="00B61A3A">
            <w:pPr>
              <w:spacing w:before="240" w:line="360" w:lineRule="auto"/>
              <w:jc w:val="right"/>
              <w:rPr>
                <w:rFonts w:ascii="Times New Roman" w:eastAsia="Times New Roman" w:hAnsi="Times New Roman"/>
                <w:color w:val="000000"/>
                <w:sz w:val="16"/>
                <w:szCs w:val="16"/>
                <w:lang w:val="en-US"/>
              </w:rPr>
            </w:pPr>
            <w:r w:rsidRPr="001055DF">
              <w:rPr>
                <w:rFonts w:ascii="Times New Roman" w:eastAsia="Times New Roman" w:hAnsi="Times New Roman"/>
                <w:color w:val="000000"/>
                <w:sz w:val="16"/>
                <w:szCs w:val="16"/>
                <w:lang w:val="en-US"/>
              </w:rPr>
              <w:t>Median (range)</w:t>
            </w:r>
          </w:p>
        </w:tc>
        <w:tc>
          <w:tcPr>
            <w:tcW w:w="1449" w:type="dxa"/>
            <w:gridSpan w:val="2"/>
            <w:tcBorders>
              <w:top w:val="single" w:sz="4" w:space="0" w:color="auto"/>
            </w:tcBorders>
            <w:shd w:val="clear" w:color="auto" w:fill="auto"/>
            <w:noWrap/>
          </w:tcPr>
          <w:p w14:paraId="5E4C2812" w14:textId="77777777" w:rsidR="00B61A3A" w:rsidRPr="001F70C0" w:rsidRDefault="00B61A3A" w:rsidP="00B61A3A">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46080FD5" w14:textId="2AAA16ED" w:rsidR="00B61A3A" w:rsidRPr="00B61A3A" w:rsidRDefault="00B61A3A" w:rsidP="00B61A3A">
            <w:pPr>
              <w:spacing w:before="240" w:line="360" w:lineRule="auto"/>
              <w:jc w:val="right"/>
              <w:rPr>
                <w:rFonts w:ascii="Times New Roman" w:eastAsia="Times New Roman" w:hAnsi="Times New Roman"/>
                <w:color w:val="000000"/>
                <w:sz w:val="16"/>
                <w:szCs w:val="16"/>
                <w:lang w:val="en-US"/>
              </w:rPr>
            </w:pPr>
            <w:r w:rsidRPr="001055DF">
              <w:rPr>
                <w:rFonts w:ascii="Times New Roman" w:eastAsia="Times New Roman" w:hAnsi="Times New Roman"/>
                <w:color w:val="000000"/>
                <w:sz w:val="16"/>
                <w:szCs w:val="16"/>
                <w:lang w:val="en-US"/>
              </w:rPr>
              <w:t>No. (%)</w:t>
            </w:r>
          </w:p>
        </w:tc>
        <w:tc>
          <w:tcPr>
            <w:tcW w:w="797" w:type="dxa"/>
            <w:tcBorders>
              <w:top w:val="single" w:sz="4" w:space="0" w:color="auto"/>
            </w:tcBorders>
            <w:shd w:val="clear" w:color="auto" w:fill="auto"/>
            <w:noWrap/>
          </w:tcPr>
          <w:p w14:paraId="5A3E5A83" w14:textId="77777777" w:rsidR="00B61A3A" w:rsidRPr="001F70C0" w:rsidRDefault="00B61A3A" w:rsidP="00B61A3A">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WHO&gt;2 </w:t>
            </w:r>
          </w:p>
          <w:p w14:paraId="3E542736" w14:textId="25233A52" w:rsidR="00B61A3A" w:rsidRPr="00B61A3A" w:rsidRDefault="00B61A3A" w:rsidP="00B61A3A">
            <w:pPr>
              <w:spacing w:before="240" w:line="360" w:lineRule="auto"/>
              <w:jc w:val="right"/>
              <w:rPr>
                <w:rFonts w:ascii="Times New Roman" w:eastAsia="Times New Roman" w:hAnsi="Times New Roman"/>
                <w:color w:val="000000"/>
                <w:sz w:val="16"/>
                <w:szCs w:val="16"/>
                <w:lang w:val="en-US"/>
              </w:rPr>
            </w:pPr>
            <w:r w:rsidRPr="001055DF">
              <w:rPr>
                <w:rFonts w:ascii="Times New Roman" w:eastAsia="Times New Roman" w:hAnsi="Times New Roman"/>
                <w:color w:val="000000"/>
                <w:sz w:val="16"/>
                <w:szCs w:val="16"/>
                <w:lang w:val="en-US"/>
              </w:rPr>
              <w:t>No. (%)</w:t>
            </w:r>
          </w:p>
        </w:tc>
      </w:tr>
      <w:tr w:rsidR="00B61A3A" w:rsidRPr="007D2E2F" w14:paraId="28E2427B" w14:textId="77777777" w:rsidTr="00B61A3A">
        <w:trPr>
          <w:trHeight w:val="255"/>
        </w:trPr>
        <w:tc>
          <w:tcPr>
            <w:tcW w:w="2552" w:type="dxa"/>
            <w:tcBorders>
              <w:top w:val="single" w:sz="4" w:space="0" w:color="auto"/>
            </w:tcBorders>
            <w:shd w:val="clear" w:color="auto" w:fill="auto"/>
            <w:noWrap/>
            <w:hideMark/>
          </w:tcPr>
          <w:p w14:paraId="45B4AF80" w14:textId="53F91198" w:rsidR="00B61A3A" w:rsidRPr="007D2E2F" w:rsidRDefault="00B61A3A" w:rsidP="00B61A3A">
            <w:pPr>
              <w:spacing w:before="240" w:line="360" w:lineRule="auto"/>
              <w:rPr>
                <w:rFonts w:ascii="Times New Roman" w:eastAsia="Times New Roman" w:hAnsi="Times New Roman"/>
                <w:b/>
                <w:color w:val="000000"/>
                <w:sz w:val="16"/>
                <w:szCs w:val="16"/>
              </w:rPr>
            </w:pPr>
            <w:proofErr w:type="spellStart"/>
            <w:r w:rsidRPr="00B61A3A">
              <w:rPr>
                <w:rFonts w:ascii="Times New Roman" w:eastAsia="Times New Roman" w:hAnsi="Times New Roman"/>
                <w:b/>
                <w:color w:val="000000"/>
                <w:sz w:val="16"/>
                <w:szCs w:val="16"/>
                <w:lang w:val="en-US"/>
              </w:rPr>
              <w:t>Shirao</w:t>
            </w:r>
            <w:proofErr w:type="spellEnd"/>
            <w:r w:rsidRPr="00B61A3A">
              <w:rPr>
                <w:rFonts w:ascii="Times New Roman" w:eastAsia="Times New Roman" w:hAnsi="Times New Roman"/>
                <w:b/>
                <w:color w:val="000000"/>
                <w:sz w:val="16"/>
                <w:szCs w:val="16"/>
                <w:lang w:val="en-US"/>
              </w:rPr>
              <w:t xml:space="preserve"> 2013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{"citationItems":[{"id":"ITEM-1","itemData":{"DOI":"10.1093/jjco/hyt114","ISBN":"1465-3621","ISSN":"03682811","PMID":"24014884","abstract":"OBJECTIVE: Owing to the risks of serious and sustained toxicity, anticancer drugs such as cisplatin and irinotecan cannot be readily administered to patients with gastric cancer and severe peritoneal metastasis. Therefore, a standard chemotherapy regimen has yet to be established for these types of patients. This randomized study investigated the utility of sequential methotrexate and 5-fluorouracil therapy vs. 5-fluorouracil continuous infusion for gastric cancer with peritoneal metastasis. METHODS: Eligible patients had radiologically confirmed peritoneal metastasis with intestinal stenosis, peritoneal tumor or ascites. Treatment with 5-fluorouracil continuous infusion (800 mg/m(2)/day, ci, d1-5, q4w) or methotrexate and 5-fluorouracil therapy (methotrexate, 100 mg/m(2), bolus infusion, followed 3 h later by 5-fluorouracil, 600 mg/m(2), bolus infusion, with leucovorin rescue, q1w) was continued until disease progression or unacceptable toxicity. The projected sample size was 236, providing 80% power to detect a 40% increase in median overall survival in methotrexate and 5-fluorouracil therapy with a one-sided alpha of 0.05. RESULTS: All 237 randomized patients were included in the primary analysis. The methotrexate and 5-fluorouracil therapy arm was not superior to the 5-fluorouracil continuous infusion arm (median survival time, 9.4 months in the 5-fluorouracil continuous infusion arm, 10.6 months in the methotrexate and 5-fluorouracil therapy arm; hazard ratio, 0.94; 95% confidence interval, 0.72-1.22; one-sided P = 0.31). Frequencies of Grade 3 or higher neutropenia, Grade 3 or higher anorexia and treatment-related deaths were 0.9, 27.4 and 1.7%, respectively, in the 5-fluorouracil continuous infusion arm, and 31.9, 33.6 and 0.9%, respectively, in the methotrexate and 5-fluorouracil therapy arm. CONCLUSIONS: Methotrexate and 5-fluorouracil therapy is not suitable for use as standard therapy for advanced gastric cancer with peritoneal metastasis.","author":[{"dropping-particle":"","family":"Shirao","given":"Kuniaki","non-dropping-particle":"","parse-names":false,"suffix":""},{"dropping-particle":"","family":"Boku","given":"Narikazu","non-dropping-particle":"","parse-names":false,"suffix":""},{"dropping-particle":"","family":"Yamada","given":"Yasuhide","non-dropping-particle":"","parse-names":false,"suffix":""},{"dropping-particle":"","family":"Yamaguchi","given":"Kensei","non-dropping-particle":"","parse-names":false,"suffix":""},{"dropping-particle":"","family":"Doi","given":"Toshihiko","non-dropping-particle":"","parse-names":false,"suffix":""},{"dropping-particle":"","family":"Goto","given":"Masahiro","non-dropping-particle":"","parse-names":false,"suffix":""},{"dropping-particle":"","family":"Nasu","given":"Junichiro","non-dropping-particle":"","parse-names":false,"suffix":""},{"dropping-particle":"","family":"Denda","given":"Tadamichi","non-dropping-particle":"","parse-names":false,"suffix":""},{"dropping-particle":"","family":"Hamamoto","given":"Yasuo","non-dropping-particle":"","parse-names":false,"suffix":""},{"dropping-particle":"","family":"Takashima","given":"Atsuo","non-dropping-particle":"","parse-names":false,"suffix":""},{"dropping-particle":"","family":"Fukuda","given":"Haruhiko","non-dropping-particle":"","parse-names":false,"suffix":""},{"dropping-particle":"","family":"Ohtsu","given":"Atsushi","non-dropping-particle":"","parse-names":false,"suffix":""}],"container-title":"Japanese Journal of Clinical Oncology","id":"ITEM-1","issue":"10","issued":{"date-parts":[["2013"]]},"page":"972-980","title":"Randomized phase iii study of 5-fluorouracil continuous infusion vs. sequential methotrexate and 5-fluorouracil therapy in far advanced gastric cancer with peritoneal metastasis (jcog0106)","type":"article-journal","volume":"43"},"uris":["http://www.mendeley.com/documents/?uuid=bb805010-e877-4eb3-9524-11803f7d0313"]}],"mendeley":{"formattedCitation":"[11]","plainTextFormattedCitation":"[11]","previouslyFormattedCitation":"[11]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[11]</w:t>
            </w:r>
            <w:r w:rsidRPr="007D2E2F">
              <w:rPr>
                <w:rFonts w:ascii="Times New Roman" w:eastAsia="Times New Roman" w:hAnsi="Times New Roman"/>
                <w:color w:val="000000"/>
                <w:sz w:val="16"/>
                <w:szCs w:val="16"/>
              </w:rPr>
              <w:fldChar w:fldCharType="end"/>
            </w:r>
          </w:p>
        </w:tc>
        <w:tc>
          <w:tcPr>
            <w:tcW w:w="456" w:type="dxa"/>
            <w:tcBorders>
              <w:top w:val="single" w:sz="4" w:space="0" w:color="auto"/>
            </w:tcBorders>
            <w:shd w:val="clear" w:color="auto" w:fill="auto"/>
            <w:noWrap/>
            <w:hideMark/>
          </w:tcPr>
          <w:p w14:paraId="3FBDAA40" w14:textId="77777777" w:rsidR="00B61A3A" w:rsidRPr="007D2E2F" w:rsidRDefault="00B61A3A"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119</w:t>
            </w:r>
          </w:p>
        </w:tc>
        <w:tc>
          <w:tcPr>
            <w:tcW w:w="1618" w:type="dxa"/>
            <w:tcBorders>
              <w:top w:val="single" w:sz="4" w:space="0" w:color="auto"/>
            </w:tcBorders>
            <w:shd w:val="clear" w:color="auto" w:fill="auto"/>
            <w:noWrap/>
            <w:hideMark/>
          </w:tcPr>
          <w:p w14:paraId="6A39308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w:t>
            </w:r>
          </w:p>
        </w:tc>
        <w:tc>
          <w:tcPr>
            <w:tcW w:w="1412" w:type="dxa"/>
            <w:gridSpan w:val="2"/>
            <w:tcBorders>
              <w:top w:val="single" w:sz="4" w:space="0" w:color="auto"/>
            </w:tcBorders>
            <w:shd w:val="clear" w:color="auto" w:fill="auto"/>
            <w:noWrap/>
            <w:hideMark/>
          </w:tcPr>
          <w:p w14:paraId="2F080F6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66 (55)</w:t>
            </w:r>
          </w:p>
        </w:tc>
        <w:tc>
          <w:tcPr>
            <w:tcW w:w="1553" w:type="dxa"/>
            <w:tcBorders>
              <w:top w:val="single" w:sz="4" w:space="0" w:color="auto"/>
            </w:tcBorders>
            <w:shd w:val="clear" w:color="auto" w:fill="auto"/>
            <w:noWrap/>
            <w:hideMark/>
          </w:tcPr>
          <w:p w14:paraId="634494A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61 (31-75)</w:t>
            </w:r>
          </w:p>
        </w:tc>
        <w:tc>
          <w:tcPr>
            <w:tcW w:w="1449" w:type="dxa"/>
            <w:gridSpan w:val="2"/>
            <w:tcBorders>
              <w:top w:val="single" w:sz="4" w:space="0" w:color="auto"/>
            </w:tcBorders>
            <w:shd w:val="clear" w:color="auto" w:fill="auto"/>
            <w:noWrap/>
            <w:hideMark/>
          </w:tcPr>
          <w:p w14:paraId="59078C2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119 (100)</w:t>
            </w:r>
          </w:p>
        </w:tc>
        <w:tc>
          <w:tcPr>
            <w:tcW w:w="797" w:type="dxa"/>
            <w:tcBorders>
              <w:top w:val="single" w:sz="4" w:space="0" w:color="auto"/>
            </w:tcBorders>
            <w:shd w:val="clear" w:color="auto" w:fill="auto"/>
            <w:noWrap/>
            <w:hideMark/>
          </w:tcPr>
          <w:p w14:paraId="1198AAE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(3)</w:t>
            </w:r>
          </w:p>
        </w:tc>
      </w:tr>
      <w:tr w:rsidR="00B61A3A" w:rsidRPr="007D2E2F" w14:paraId="4E2F97C7" w14:textId="77777777" w:rsidTr="00B61A3A">
        <w:trPr>
          <w:trHeight w:val="255"/>
        </w:trPr>
        <w:tc>
          <w:tcPr>
            <w:tcW w:w="4626" w:type="dxa"/>
            <w:gridSpan w:val="3"/>
            <w:shd w:val="clear" w:color="auto" w:fill="auto"/>
            <w:noWrap/>
            <w:hideMark/>
          </w:tcPr>
          <w:p w14:paraId="0B1D303E"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Capecitabine</w:t>
            </w:r>
          </w:p>
        </w:tc>
        <w:tc>
          <w:tcPr>
            <w:tcW w:w="1412" w:type="dxa"/>
            <w:gridSpan w:val="2"/>
            <w:shd w:val="clear" w:color="auto" w:fill="auto"/>
            <w:noWrap/>
            <w:hideMark/>
          </w:tcPr>
          <w:p w14:paraId="79D07FE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553" w:type="dxa"/>
            <w:shd w:val="clear" w:color="auto" w:fill="auto"/>
            <w:noWrap/>
            <w:hideMark/>
          </w:tcPr>
          <w:p w14:paraId="4EC7C8C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449" w:type="dxa"/>
            <w:gridSpan w:val="2"/>
            <w:shd w:val="clear" w:color="auto" w:fill="auto"/>
            <w:noWrap/>
            <w:hideMark/>
          </w:tcPr>
          <w:p w14:paraId="616DC6D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4B7121E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02A65934" w14:textId="77777777" w:rsidTr="00B61A3A">
        <w:trPr>
          <w:trHeight w:val="255"/>
        </w:trPr>
        <w:tc>
          <w:tcPr>
            <w:tcW w:w="2552" w:type="dxa"/>
            <w:shd w:val="clear" w:color="auto" w:fill="auto"/>
            <w:noWrap/>
            <w:hideMark/>
          </w:tcPr>
          <w:p w14:paraId="12DE91DA" w14:textId="3F9432A6"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Hwang 2017</w:t>
            </w:r>
            <w:r w:rsidRPr="007D2E2F">
              <w:rPr>
                <w:rFonts w:ascii="Times New Roman" w:hAnsi="Times New Roman"/>
                <w:b/>
                <w:color w:val="000000"/>
                <w:sz w:val="16"/>
                <w:szCs w:val="16"/>
                <w:lang w:eastAsia="ja-JP"/>
              </w:rPr>
              <w:t xml:space="preserve">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{"citationItems":[{"id":"ITEM-1","itemData":{"DOI":"10.1016/j.jgo.2017.01.002","ISSN":"18794068","PMID":"28119041","abstract":"Objectives More than half of cases of gastric cancer (GC) are diagnosed in elderly patients (≥ 70 years). While doublet combination with fluoropyrimidines and platinum is currently considered standard first-line chemotherapy in advanced GC, the main goal of chemotherapy remains palliation. Materials and Methods In a multi-center phase III trial, patients with chemotherapy-naïve, metastatic GC, aged 70 years or older were randomized 1:1 to receive X monotherapy (capecitabine 1000 mg/m2bid po on days one to fourteen) or XELOX (X plus oxaliplatin 110 mg/m2iv on D1). Treatment was repeated every 21 days until disease progression, unacceptable toxicity, or withdrawal. Primary endpoint was overall survival (OS). Results In total, 50 patients with a median age of 77 (range, 70 to 84) were enrolled (X, n = 26; XELOX, n = 24). No treatment-related serious adverse events or unexpected toxicities were observed. The most frequently observed toxicities were nausea and hand-foot syndrome, with fatigue and peripheral neuropathy more common in XELOX than in X patients. Median OS was 11.1 months for XELOX arm and 6.3 months for X arm (HR 0.58, 95% CI 0.30–1.12, P = 0.108). Although the difference was not significant, on the basis of evidence of superiority of XELOX seen in the first interim analysis, an independent data monitoring committee recommended early stopping of the trial. PFS was significantly longer (HR 0.32, 95% CI 0.17–0.61, P &lt; 0.001) with XELOX (7.1 months) than with X (2.6 months). Conclusion Platinum-based combination chemotherapy was associated with survival benefit, as compared with X monotherapy in elderly patients with GC.","author":[{"dropping-particle":"","family":"Hwang","given":"In Gyu","non-dropping-particle":"","parse-names":false,"suffix":""},{"dropping-particle":"","family":"Ji","given":"Jun Ho","non-dropping-particle":"","parse-names":false,"suffix":""},{"dropping-particle":"","family":"Kang","given":"Jung Hun","non-dropping-particle":"","parse-names":false,"suffix":""},{"dropping-particle":"","family":"Lee","given":"Hyo Rak","non-dropping-particle":"","parse-names":false,"suffix":""},{"dropping-particle":"","family":"Lee","given":"Hui Young","non-dropping-particle":"","parse-names":false,"suffix":""},{"dropping-particle":"","family":"Chi","given":"Kyong Choun","non-dropping-particle":"","parse-names":false,"suffix":""},{"dropping-particle":"","family":"Park","given":"Suk Won","non-dropping-particle":"","parse-names":false,"suffix":""},{"dropping-particle":"","family":"Lee","given":"Su Jin","non-dropping-particle":"","parse-names":false,"suffix":""},{"dropping-particle":"","family":"Kim","given":"Seung Tae","non-dropping-particle":"","parse-names":false,"suffix":""},{"dropping-particle":"","family":"Lee","given":"Jeeyun","non-dropping-particle":"","parse-names":false,"suffix":""},{"dropping-particle":"","family":"Park","given":"Se Hoon","non-dropping-particle":"","parse-names":false,"suffix":""},{"dropping-particle":"","family":"Park","given":"Joon Oh","non-dropping-particle":"","parse-names":false,"suffix":""},{"dropping-particle":"","family":"Park","given":"Young Suk","non-dropping-particle":"","parse-names":false,"suffix":""},{"dropping-particle":"","family":"Lim","given":"Ho Yeong","non-dropping-particle":"","parse-names":false,"suffix":""},{"dropping-particle":"","family":"Kang","given":"Won Ki","non-dropping-particle":"","parse-names":false,"suffix":""}],"container-title":"Journal of Geriatric Oncology","id":"ITEM-1","issue":"3","issued":{"date-parts":[["2017"]]},"page":"170-175","publisher":"Elsevier Ltd","title":"A multi-center, open-label, randomized phase III trial of first-line chemotherapy with capecitabine monotherapy versus capecitabine plus oxaliplatin in elderly patients with advanced gastric cancer","type":"article-journal","volume":"8"},"uris":["http://www.mendeley.com/documents/?uuid=0ee2f7aa-b770-48e7-a8ee-458314916b92"]}],"mendeley":{"formattedCitation":"[12]","plainTextFormattedCitation":"[12]","previouslyFormattedCitation":"[12]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[12]</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F8E028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26</w:t>
            </w:r>
          </w:p>
        </w:tc>
        <w:tc>
          <w:tcPr>
            <w:tcW w:w="1618" w:type="dxa"/>
            <w:shd w:val="clear" w:color="auto" w:fill="auto"/>
            <w:noWrap/>
            <w:hideMark/>
          </w:tcPr>
          <w:p w14:paraId="0603E6F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w:t>
            </w:r>
          </w:p>
        </w:tc>
        <w:tc>
          <w:tcPr>
            <w:tcW w:w="1412" w:type="dxa"/>
            <w:gridSpan w:val="2"/>
            <w:shd w:val="clear" w:color="auto" w:fill="auto"/>
            <w:noWrap/>
            <w:hideMark/>
          </w:tcPr>
          <w:p w14:paraId="5EBF3C4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 (62)</w:t>
            </w:r>
          </w:p>
        </w:tc>
        <w:tc>
          <w:tcPr>
            <w:tcW w:w="1553" w:type="dxa"/>
            <w:shd w:val="clear" w:color="auto" w:fill="auto"/>
            <w:noWrap/>
            <w:hideMark/>
          </w:tcPr>
          <w:p w14:paraId="69779D3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77 (70-83)</w:t>
            </w:r>
          </w:p>
        </w:tc>
        <w:tc>
          <w:tcPr>
            <w:tcW w:w="1449" w:type="dxa"/>
            <w:gridSpan w:val="2"/>
            <w:shd w:val="clear" w:color="auto" w:fill="auto"/>
            <w:noWrap/>
            <w:hideMark/>
          </w:tcPr>
          <w:p w14:paraId="2CD7671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26 (100)</w:t>
            </w:r>
          </w:p>
        </w:tc>
        <w:tc>
          <w:tcPr>
            <w:tcW w:w="797" w:type="dxa"/>
            <w:shd w:val="clear" w:color="auto" w:fill="auto"/>
            <w:noWrap/>
            <w:hideMark/>
          </w:tcPr>
          <w:p w14:paraId="5E9B30A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 (23)</w:t>
            </w:r>
          </w:p>
        </w:tc>
      </w:tr>
      <w:tr w:rsidR="00B61A3A" w:rsidRPr="007D2E2F" w14:paraId="047D7303" w14:textId="77777777" w:rsidTr="00B61A3A">
        <w:trPr>
          <w:trHeight w:val="255"/>
        </w:trPr>
        <w:tc>
          <w:tcPr>
            <w:tcW w:w="2552" w:type="dxa"/>
            <w:shd w:val="clear" w:color="auto" w:fill="auto"/>
            <w:noWrap/>
            <w:hideMark/>
          </w:tcPr>
          <w:p w14:paraId="42B8CDE6" w14:textId="50CAF350"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Lee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{"citationItems":[{"id":"ITEM-1","itemData":{"DOI":"10.1038/sj.bjc.6604536","ISSN":"00070920","abstract":"This randomised multicentre phase II study was conducted to investigate the activity and safety of two oral fluoropyrimidines, capecitabine or S-1, in elderly patients with advanced gastric cancer (AGC). Elderly (&gt;or=65 years) chemo-naive patients with AGC were randomly assigned to receive capecitabine 1250 mg m(-2) two times daily on days 1-14 every 3 weeks or S-1 40-60 mg two times daily according to body surface area on days 1-28 every 6 weeks. Ninety-six patients were enrolled and 91 patients were randomised to capecitabine (N=46) or S-1 (N=45). Overall response rate, the primary end point, was 27.2% (95% CI, 14.1-40.4, 12 of 44 assessable patients) with capecitabine and 28.9% (95% CI, 15.6-42.1, 13 of 45) with S-1. Median times to progression and overall survival in the capecitabine arm (4.7 and 9.5 months, respectively) were similar to those in the S-1 arm (4.2 and 8.2 months, respectively). The incidence of grade 3-4 granulocytopenia was 6.8% with capecitabine and 4.8% with S-1. Grade 3-4 nonhaematologic toxicities were: asthenia (9.1% with capecitabine vs 7.1% with S-1), anorexia (6.8 vs 9.5%), diarrhoea (2.3 vs 0%), and hand-foot syndrome (6.8 vs 0%). Both capecitabine and S-1 monotherapies were active and tolerable as first-line treatment for elderly patients with AGC.","author":[{"dropping-particle":"","family":"Lee","given":"J. L.","non-dropping-particle":"","parse-names":false,"suffix":""},{"dropping-particle":"","family":"Kang","given":"Y. K.","non-dropping-particle":"","parse-names":false,"suffix":""},{"dropping-particle":"","family":"Kang","given":"H. J.","non-dropping-particle":"","parse-names":false,"suffix":""},{"dropping-particle":"","family":"Lee","given":"K. H.","non-dropping-particle":"","parse-names":false,"suffix":""},{"dropping-particle":"","family":"Zang","given":"D. Y.","non-dropping-particle":"","parse-names":false,"suffix":""},{"dropping-particle":"","family":"Ryoo","given":"B. Y.","non-dropping-particle":"","parse-names":false,"suffix":""},{"dropping-particle":"","family":"Kim","given":"J. G.","non-dropping-particle":"","parse-names":false,"suffix":""},{"dropping-particle":"","family":"Park","given":"S. R.","non-dropping-particle":"","parse-names":false,"suffix":""},{"dropping-particle":"","family":"Kang","given":"W. K.","non-dropping-particle":"","parse-names":false,"suffix":""},{"dropping-particle":"","family":"Shin","given":"D. B.","non-dropping-particle":"","parse-names":false,"suffix":""},{"dropping-particle":"","family":"Ryu","given":"M. H.","non-dropping-particle":"","parse-names":false,"suffix":""},{"dropping-particle":"","family":"Chang","given":"H. M.","non-dropping-particle":"","parse-names":false,"suffix":""},{"dropping-particle":"","family":"Kim","given":"T. W.","non-dropping-particle":"","parse-names":false,"suffix":""},{"dropping-particle":"","family":"Baek","given":"J. H.","non-dropping-particle":"","parse-names":false,"suffix":""},{"dropping-particle":"","family":"Min","given":"Y. J.","non-dropping-particle":"","parse-names":false,"suffix":""}],"container-title":"British Journal of Cancer","id":"ITEM-1","issue":"4","issued":{"date-parts":[["2008"]]},"page":"584-590","title":"A randomised multicentre phase II trial of capecitabine vs S-1 as first-line treatment in elderly patients with metastatic or recurrent unresectable gastric cancer","type":"article-journal","volume":"99"},"uris":["http://www.mendeley.com/documents/?uuid=c4602c73-b2f5-428f-a895-f7a68b575042"]}],"mendeley":{"formattedCitation":"[13]","plainTextFormattedCitation":"[13]","previouslyFormattedCitation":"[13]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[13]</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6BFB843"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46</w:t>
            </w:r>
          </w:p>
        </w:tc>
        <w:tc>
          <w:tcPr>
            <w:tcW w:w="1618" w:type="dxa"/>
            <w:shd w:val="clear" w:color="auto" w:fill="auto"/>
            <w:noWrap/>
            <w:hideMark/>
          </w:tcPr>
          <w:p w14:paraId="440CCCA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w:t>
            </w:r>
          </w:p>
        </w:tc>
        <w:tc>
          <w:tcPr>
            <w:tcW w:w="1412" w:type="dxa"/>
            <w:gridSpan w:val="2"/>
            <w:shd w:val="clear" w:color="auto" w:fill="auto"/>
            <w:noWrap/>
            <w:hideMark/>
          </w:tcPr>
          <w:p w14:paraId="3A1465E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 (65)</w:t>
            </w:r>
          </w:p>
        </w:tc>
        <w:tc>
          <w:tcPr>
            <w:tcW w:w="1553" w:type="dxa"/>
            <w:shd w:val="clear" w:color="auto" w:fill="auto"/>
            <w:noWrap/>
            <w:hideMark/>
          </w:tcPr>
          <w:p w14:paraId="3B9742F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71 (66-78)</w:t>
            </w:r>
          </w:p>
        </w:tc>
        <w:tc>
          <w:tcPr>
            <w:tcW w:w="1449" w:type="dxa"/>
            <w:gridSpan w:val="2"/>
            <w:shd w:val="clear" w:color="auto" w:fill="auto"/>
            <w:noWrap/>
            <w:hideMark/>
          </w:tcPr>
          <w:p w14:paraId="34EFC51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46 (100)</w:t>
            </w:r>
          </w:p>
        </w:tc>
        <w:tc>
          <w:tcPr>
            <w:tcW w:w="797" w:type="dxa"/>
            <w:shd w:val="clear" w:color="auto" w:fill="auto"/>
            <w:noWrap/>
            <w:hideMark/>
          </w:tcPr>
          <w:p w14:paraId="6D69876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(8.7)</w:t>
            </w:r>
          </w:p>
        </w:tc>
      </w:tr>
      <w:tr w:rsidR="00B61A3A" w:rsidRPr="00BA62DB" w14:paraId="3B241812" w14:textId="77777777" w:rsidTr="00B61A3A">
        <w:trPr>
          <w:trHeight w:val="255"/>
        </w:trPr>
        <w:tc>
          <w:tcPr>
            <w:tcW w:w="2552" w:type="dxa"/>
            <w:shd w:val="clear" w:color="auto" w:fill="auto"/>
            <w:noWrap/>
            <w:hideMark/>
          </w:tcPr>
          <w:p w14:paraId="5BB1EADE" w14:textId="2433C61F" w:rsidR="00B61A3A" w:rsidRPr="00F72E17"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Hall 2017</w:t>
            </w:r>
            <w:r w:rsidR="00C941C9">
              <w:rPr>
                <w:rFonts w:ascii="Times New Roman" w:eastAsia="Times New Roman" w:hAnsi="Times New Roman"/>
                <w:b/>
                <w:color w:val="000000"/>
                <w:sz w:val="16"/>
                <w:szCs w:val="16"/>
              </w:rPr>
              <w:t xml:space="preserve">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{"citationItems":[{"id":"ITEM-1","itemData":{"DOI":"10.1038/bjc.2016.442","ISSN":"15321827","PMID":"28095397","abstract":"Background: Elderly patients are commonly under-represented in cancer\nclinical trials. The 321GO was undertaken in preparation for a\ndefinitive phase three trial assessing different chemotherapy regimens\nin a frail and/or elderly population with advanced gastroesophageal (GO)\ncancer.\nMethods: Patients with advanced GO cancer considered unfit for\nconventional dose chemotherapy were randomly assigned in a 1 : 1 : 1\nratio to: epirubicin, oxaliplatin and capecitabine (EOX); oxaliplatin\nand capecitabine (OX); and capecitabine alone (X) (all 80% of full dose\nand unblinded). The primary end point was patient recruitment over an\n18-month period. A registration study recorded treatment choice for all\npatients with advanced GO cancer at trial centres.\nResults: A total of 313 patients were considered for palliative\nchemotherapy for GO cancer over the 18-month period: 115 received full\ndose treatment, 89 less than standard treatment or entered 321GO and 111\nno treatment. Within 321GO, 55 patients were randomly assigned (19 to OX\nand X; 17 to EOX). Progression-free survival (PFS) for all patients was\n4.4 months and by arm 5.4, 5.6 and 3.0 months for EOX, OX and X,\nrespectively. The number of patients with a good overall treatment\nutility (OTU), a novel patient-centred endpoint, at 12 weeks was 3\n(18%), 6 (32%) and 1 (6%) for EOX, OX and X, respectively. At 6\nweeks, 22 patients (41%) had experienced a non-haematologic toxicity &gt;=\ngrade 3, most commonly lethargy or diarrhoea. The OTU was prognostic for\noverall survival in patients alive at week 12 (logrank test P = 0.0001).\nConclusions: It is feasible to recruit elderly and/or frail patients\nwith advanced GO cancer to a randomised clinical trial. The OX is the\npreferred regimen for further study. Overall treatment utility shows\npromise as a comparator between treatment regimens for feasibility and\nrandomised trials in the elderly and/or frail GO cancer population.","author":[{"dropping-particle":"","family":"Hall","given":"P. S.","non-dropping-particle":"","parse-names":false,"suffix":""},{"dropping-particle":"","family":"Lord","given":"S. R.","non-dropping-particle":"","parse-names":false,"suffix":""},{"dropping-particle":"","family":"Collinson","given":"M.","non-dropping-particle":"","parse-names":false,"suffix":""},{"dropping-particle":"","family":"Marshall","given":"H.","non-dropping-particle":"","parse-names":false,"suffix":""},{"dropping-particle":"","family":"Jones","given":"M.","non-dropping-particle":"","parse-names":false,"suffix":""},{"dropping-particle":"","family":"Lowe","given":"C.","non-dropping-particle":"","parse-names":false,"suffix":""},{"dropping-particle":"","family":"Howard","given":"H.","non-dropping-particle":"","parse-names":false,"suffix":""},{"dropping-particle":"","family":"Swinson","given":"D.","non-dropping-particle":"","parse-names":false,"suffix":""},{"dropping-particle":"","family":"Velikova","given":"G.","non-dropping-particle":"","parse-names":false,"suffix":""},{"dropping-particle":"","family":"Anthoney","given":"A.","non-dropping-particle":"","parse-names":false,"suffix":""},{"dropping-particle":"","family":"Roy","given":"R.","non-dropping-particle":"","parse-names":false,"suffix":""},{"dropping-particle":"","family":"Dent","given":"J.","non-dropping-particle":"","parse-names":false,"suffix":""},{"dropping-particle":"","family":"Cheeseman","given":"S.","non-dropping-particle":"","parse-names":false,"suffix":""},{"dropping-particle":"","family":"Last","given":"K.","non-dropping-particle":"","parse-names":false,"suffix":""},{"dropping-particle":"","family":"Seymour","given":"M. T.","non-dropping-particle":"","parse-names":false,"suffix":""}],"container-title":"British Journal of Cancer","id":"ITEM-1","issue":"4","issued":{"date-parts":[["2017"]]},"page":"472-478","publisher":"Nature Publishing Group","title":"A randomised phase II trial and feasibility study of palliative chemotherapy in frail or elderly patients with advanced gastroesophageal cancer (321GO)","type":"article-journal","volume":"116"},"uris":["http://www.mendeley.com/documents/?uuid=6f6e9c16-0f6e-42e6-80a7-035e667b17c1"]}],"mendeley":{"formattedCitation":"[14]","plainTextFormattedCitation":"[14]","previouslyFormattedCitation":"[14]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[14]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38C2A01"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19</w:t>
            </w:r>
          </w:p>
        </w:tc>
        <w:tc>
          <w:tcPr>
            <w:tcW w:w="1618" w:type="dxa"/>
            <w:shd w:val="clear" w:color="auto" w:fill="auto"/>
            <w:noWrap/>
            <w:hideMark/>
          </w:tcPr>
          <w:p w14:paraId="43343CA8"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Cap</w:t>
            </w:r>
          </w:p>
        </w:tc>
        <w:tc>
          <w:tcPr>
            <w:tcW w:w="1412" w:type="dxa"/>
            <w:gridSpan w:val="2"/>
            <w:shd w:val="clear" w:color="auto" w:fill="auto"/>
            <w:noWrap/>
            <w:hideMark/>
          </w:tcPr>
          <w:p w14:paraId="4607E022"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15 (79)</w:t>
            </w:r>
          </w:p>
        </w:tc>
        <w:tc>
          <w:tcPr>
            <w:tcW w:w="1553" w:type="dxa"/>
            <w:shd w:val="clear" w:color="auto" w:fill="auto"/>
            <w:noWrap/>
            <w:hideMark/>
          </w:tcPr>
          <w:p w14:paraId="372E4FCB"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75 (57-87)</w:t>
            </w:r>
          </w:p>
        </w:tc>
        <w:tc>
          <w:tcPr>
            <w:tcW w:w="1449" w:type="dxa"/>
            <w:gridSpan w:val="2"/>
            <w:shd w:val="clear" w:color="auto" w:fill="auto"/>
            <w:noWrap/>
            <w:hideMark/>
          </w:tcPr>
          <w:p w14:paraId="06B7F79D"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18 (95)</w:t>
            </w:r>
          </w:p>
        </w:tc>
        <w:tc>
          <w:tcPr>
            <w:tcW w:w="797" w:type="dxa"/>
            <w:shd w:val="clear" w:color="auto" w:fill="auto"/>
            <w:noWrap/>
            <w:hideMark/>
          </w:tcPr>
          <w:p w14:paraId="5AA305D8"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7 (37)</w:t>
            </w:r>
          </w:p>
        </w:tc>
      </w:tr>
      <w:tr w:rsidR="00B61A3A" w:rsidRPr="00BA62DB" w14:paraId="41839FCB" w14:textId="77777777" w:rsidTr="00B61A3A">
        <w:trPr>
          <w:trHeight w:val="255"/>
        </w:trPr>
        <w:tc>
          <w:tcPr>
            <w:tcW w:w="4626" w:type="dxa"/>
            <w:gridSpan w:val="3"/>
            <w:shd w:val="clear" w:color="auto" w:fill="auto"/>
            <w:noWrap/>
            <w:hideMark/>
          </w:tcPr>
          <w:p w14:paraId="72BC33E4" w14:textId="07C2BFC1" w:rsidR="00B61A3A" w:rsidRPr="00B61A3A" w:rsidRDefault="00B61A3A" w:rsidP="00B61A3A">
            <w:pPr>
              <w:tabs>
                <w:tab w:val="left" w:pos="916"/>
              </w:tabs>
              <w:spacing w:before="240" w:line="360" w:lineRule="auto"/>
              <w:rPr>
                <w:rFonts w:ascii="Times New Roman" w:eastAsia="Times New Roman" w:hAnsi="Times New Roman"/>
                <w:color w:val="000000"/>
                <w:sz w:val="16"/>
                <w:szCs w:val="16"/>
                <w:u w:val="single"/>
                <w:lang w:val="en-US"/>
              </w:rPr>
            </w:pPr>
            <w:r w:rsidRPr="00B61A3A">
              <w:rPr>
                <w:rFonts w:ascii="Times New Roman" w:eastAsia="Times New Roman" w:hAnsi="Times New Roman"/>
                <w:color w:val="000000"/>
                <w:sz w:val="16"/>
                <w:szCs w:val="16"/>
                <w:u w:val="single"/>
                <w:lang w:val="en-US"/>
              </w:rPr>
              <w:t>S-1</w:t>
            </w:r>
          </w:p>
        </w:tc>
        <w:tc>
          <w:tcPr>
            <w:tcW w:w="1412" w:type="dxa"/>
            <w:gridSpan w:val="2"/>
            <w:shd w:val="clear" w:color="auto" w:fill="auto"/>
            <w:noWrap/>
            <w:hideMark/>
          </w:tcPr>
          <w:p w14:paraId="391FAB5D"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553" w:type="dxa"/>
            <w:shd w:val="clear" w:color="auto" w:fill="auto"/>
            <w:noWrap/>
            <w:hideMark/>
          </w:tcPr>
          <w:p w14:paraId="0EFDDA3E"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449" w:type="dxa"/>
            <w:gridSpan w:val="2"/>
            <w:shd w:val="clear" w:color="auto" w:fill="auto"/>
            <w:noWrap/>
            <w:hideMark/>
          </w:tcPr>
          <w:p w14:paraId="3BAA2CA1"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797" w:type="dxa"/>
            <w:shd w:val="clear" w:color="auto" w:fill="auto"/>
            <w:noWrap/>
            <w:hideMark/>
          </w:tcPr>
          <w:p w14:paraId="0A7EE77F"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r>
      <w:tr w:rsidR="00B61A3A" w:rsidRPr="007D2E2F" w14:paraId="14653B99" w14:textId="77777777" w:rsidTr="00B61A3A">
        <w:trPr>
          <w:trHeight w:val="255"/>
        </w:trPr>
        <w:tc>
          <w:tcPr>
            <w:tcW w:w="2552" w:type="dxa"/>
            <w:shd w:val="clear" w:color="auto" w:fill="auto"/>
            <w:noWrap/>
            <w:hideMark/>
          </w:tcPr>
          <w:p w14:paraId="71961279" w14:textId="616CAB34" w:rsidR="00B61A3A" w:rsidRPr="007D2E2F" w:rsidRDefault="00B61A3A" w:rsidP="00B61A3A">
            <w:pPr>
              <w:spacing w:before="240" w:line="360" w:lineRule="auto"/>
              <w:rPr>
                <w:rFonts w:ascii="Times New Roman" w:eastAsia="Times New Roman" w:hAnsi="Times New Roman"/>
                <w:b/>
                <w:color w:val="000000"/>
                <w:sz w:val="16"/>
                <w:szCs w:val="16"/>
              </w:rPr>
            </w:pPr>
            <w:proofErr w:type="spellStart"/>
            <w:r w:rsidRPr="00F72E17">
              <w:rPr>
                <w:rFonts w:ascii="Times New Roman" w:eastAsia="Times New Roman" w:hAnsi="Times New Roman"/>
                <w:b/>
                <w:color w:val="000000"/>
                <w:sz w:val="16"/>
                <w:szCs w:val="16"/>
                <w:lang w:val="en-US"/>
              </w:rPr>
              <w:t>Jin</w:t>
            </w:r>
            <w:proofErr w:type="spellEnd"/>
            <w:r w:rsidRPr="00F72E17">
              <w:rPr>
                <w:rFonts w:ascii="Times New Roman" w:eastAsia="Times New Roman" w:hAnsi="Times New Roman"/>
                <w:b/>
                <w:color w:val="000000"/>
                <w:sz w:val="16"/>
                <w:szCs w:val="16"/>
                <w:lang w:val="en-US"/>
              </w:rPr>
              <w:t xml:space="preserve">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{"citationItems":[{"id":"ITEM-1","itemData":{"DOI":"10.1200/jco.2008.26.15_suppl.4533","ISSN":"0732-183X","abstract":"4533 Background: SP has been widely used against AGC in Japan. To further evaluate the efficacy and safety for SP in Chinese, we conducted a 3-arm study to investigate superiority of SP to S-1 and FP in pts with AGC. The primary endpoint was response rate (RR) and secondary endpoints were time to treatment failure (TTF), overall survival (OS) and safety. Methods: Treatments with Arm A (S-1 montherapy: S-1 80 mg/m2/d, d1?28, q6w); Arm B (SP: S-1 80 mg/m2/d, d1?21, plus CDDP 60 mg/m2 iv d8, q5w); Arm C (FP: 5-FU 600 mg/m2/d, civ, plus CDDP 20 mg/m2/d, iv 30 minutes, d1?d5, q4w) were continued until disease progression or unacceptable toxicities. Eligibility criteria included unresectable/recurrent AGC, age≥18 years, and no prior chemotherapy. With 60 pts per arm, the trial was designed to have 80% power to detect an improvement of Arm B in RR (2 sided significance level p=0.025). CMH test was applied to RR. Log-rank test and Kaplan-Meier estimation were applied to TTF and OS. Used IRC (Independent Review Committee) evaluation as RR results. Arm C patients could switch to S-1 after treatment failure. Results: From July 2005 to Oct 2006, 230 pts (Arm A/B/C, 80/76/74) were randomized. The FAS were 224 patients (Arm A/B/C, 77/74/73). Median age was 57/56.5/58 yrs. RR(%) of Arm A/B/C were 24.7/37.8/19.2. The RR of Arm B was superior to Arm C (CMH p=0.021, odd ratio: 0.387, 95%CI:0.177?0.847). The MST (days) were 267 (95%CI:202?323)/433 (95%CI:365-)/309 (95%CI:238-) at the time of analysis (Jan 15, 2007) when 42% of pts were dead. The OS of Arm B was superior to Arm C (Log-rank p=0.038) and Arm A (Log-rank p&lt;0.001). The TTF (days) were 126 (95%CI: 92?152)/159 (95%CI:146?220)/85 (95%CI:66?106). The TTF of Arm B was superior to Arm C (Log-rank p&lt;0.001) and Arm A (Log-rank p=0.008). 41 pts in Arm C switched to S-1 with the RR 14.6%. The most common grade 3/4 toxicities in Arm A/B/C (%) were: anemia, 2.5/5.3/5.4; leucopenia, 1.3/13.2/9.5; neutropenia, 3.8/17.1/16.2; PLT decreased, 0/6.6/12.2; nausea, 0/2.6/5.4; vomiting, 1.3/6.6/12.2; diarrhea, 3.8/6.6/0. No new drug- related SAE was observed. Conclusions: Both S-1 and SP regimen were found to be effective and well tolerated. Furthermore SP could be one of the standard regimens in Chinese pts with AGC. No significant financial relationships to disclose.","author":[{"dropping-particle":"","family":"Jin","given":"M","non-dropping-particle":"","parse-names":false,"suffix":""},{"dropping-particle":"","family":"Lu","given":"H","non-dropping-particle":"","parse-names":false,"suffix":""},{"dropping-particle":"","family":"Li","given":"J","non-dropping-particle":"","parse-names":false,"suffix":""},{"dropping-particle":"","family":"Shen","given":"L","non-dropping-particle":"","parse-names":false,"suffix":""},{"dropping-particle":"","family":"Chen","given":"Z","non-dropping-particle":"","parse-names":false,"suffix":""},{"dropping-particle":"","family":"Shi","given":"Y","non-dropping-particle":"","parse-names":false,"suffix":""},{"dropping-particle":"","family":"Song","given":"S","non-dropping-particle":"","parse-names":false,"suffix":""},{"dropping-particle":"","family":"Qin","given":"S","non-dropping-particle":"","parse-names":false,"suffix":""},{"dropping-particle":"","family":"Liu","given":"J","non-dropping-particle":"","parse-names":false,"suffix":""},{"dropping-particle":"","family":"Ouyang","given":"X","non-dropping-particle":"","parse-names":false,"suffix":""}],"container-title":"Journal of Clinical Oncology","id":"ITEM-1","issue":"15_suppl","issued":{"date-parts":[["2008","5","20"]]},"note":"doi: 10.1200/jco.2008.26.15_suppl.4533","page":"4533","publisher":"American Society of Clinical Oncology","title":"Ramdomized 3-armed phase III study of S-1 monotherapy versus S-1/CDDP (SP) versus 5-FU/CDDP (FP) in patients (pts) with advanced gastric cancer (AGC): SC-101 study","type":"article-journal","volume":"26"},"uris":["http://www.mendeley.com/documents/?uuid=22acd657-1ef0-494c-9fb3-f46a9f69e010","http://www.mendeley.com/documents/?uuid=72f480dc-f4c8-43be-bb94-b50a6d6d79b7"]}],"mendeley":{"formattedCitation":"[15]","plainTextFormattedCitation":"[15]","previouslyFormattedCitation":"[15]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54FA31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77</w:t>
            </w:r>
          </w:p>
        </w:tc>
        <w:tc>
          <w:tcPr>
            <w:tcW w:w="1618" w:type="dxa"/>
            <w:shd w:val="clear" w:color="auto" w:fill="auto"/>
            <w:noWrap/>
            <w:hideMark/>
          </w:tcPr>
          <w:p w14:paraId="7B30A25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w:t>
            </w:r>
          </w:p>
        </w:tc>
        <w:tc>
          <w:tcPr>
            <w:tcW w:w="1412" w:type="dxa"/>
            <w:gridSpan w:val="2"/>
            <w:shd w:val="clear" w:color="auto" w:fill="auto"/>
            <w:noWrap/>
            <w:hideMark/>
          </w:tcPr>
          <w:p w14:paraId="13D1B10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(73)</w:t>
            </w:r>
          </w:p>
        </w:tc>
        <w:tc>
          <w:tcPr>
            <w:tcW w:w="1553" w:type="dxa"/>
            <w:shd w:val="clear" w:color="auto" w:fill="auto"/>
            <w:noWrap/>
            <w:hideMark/>
          </w:tcPr>
          <w:p w14:paraId="6E818BC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57 (32-82)</w:t>
            </w:r>
          </w:p>
        </w:tc>
        <w:tc>
          <w:tcPr>
            <w:tcW w:w="1449" w:type="dxa"/>
            <w:gridSpan w:val="2"/>
            <w:shd w:val="clear" w:color="auto" w:fill="auto"/>
            <w:noWrap/>
            <w:hideMark/>
          </w:tcPr>
          <w:p w14:paraId="7ADCEFA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77 (100)</w:t>
            </w:r>
          </w:p>
        </w:tc>
        <w:tc>
          <w:tcPr>
            <w:tcW w:w="797" w:type="dxa"/>
            <w:shd w:val="clear" w:color="auto" w:fill="auto"/>
            <w:noWrap/>
            <w:hideMark/>
          </w:tcPr>
          <w:p w14:paraId="08E355F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 (16)</w:t>
            </w:r>
          </w:p>
        </w:tc>
      </w:tr>
      <w:tr w:rsidR="00B61A3A" w:rsidRPr="007D2E2F" w14:paraId="2F43B7A4" w14:textId="77777777" w:rsidTr="00B61A3A">
        <w:trPr>
          <w:trHeight w:val="255"/>
        </w:trPr>
        <w:tc>
          <w:tcPr>
            <w:tcW w:w="2552" w:type="dxa"/>
            <w:shd w:val="clear" w:color="auto" w:fill="auto"/>
            <w:noWrap/>
            <w:hideMark/>
          </w:tcPr>
          <w:p w14:paraId="0AAC1AC7" w14:textId="46D1B31C"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Koizumi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{"citationItems":[{"id":"ITEM-1","itemData":{"DOI":"10.1016/S1470-2045(08)70035-4","ISBN":"1474-5488 (Electronic)\\n1470-2045 (Linking)","ISSN":"14702045","PMID":"18282805","abstract":"Background: Phase I/II clinical trials of S-1 plus cisplatin for advanced gastric cancer have yielded good responses and the treatment was well tolerated. In this S-1 Plus cisplatin versus S-1 In RCT In the Treatment for Stomach cancer (SPIRITS) trial, we aimed to verify that overall survival was better in patients with advanced gastric cancer treated with S-1 plus cisplatin than with S-1 alone. Methods: In this phase III trial, chemotherapy-naive patients with advanced gastric cancer were enrolled betweeen March 26, 2002, and Nov 30, 2004, at 38 centres in Japan, and randomly assigned to S-1 plus cisplatin or S-1 alone. In patients assigned to S-1 plus cisplatin, S-1 (40-60 mg depending on patient's body surface area) was given orally, twice daily for 3 consecutive weeks, and 60 mg/m2 cisplatin was given intravenously on day 8, followed by a 2-week rest period, within a 5-week cycle. Those assigned to S-1 alone received the same dose of S-1 twice daily for 4 consecutive weeks, followed by a 2-week rest period, within a 6-week cycle. The primary endpoint was overall survival. Secondary endpoints were progression-free survival, proportions of responders, and safety. Analysis was by intention to treat. This trial is registered with ClinicalTrials.gov, number NCT00150670. Findings: 305 patients were enrolled; seven patients were ineligible or withdrew consent, therefore, 148 patients were assigned to S-1 plus cisplatin and 150 patients were assigned to S-1 alone. Median overall survival was significantly longer in patients assigned to S-1 plus cisplatin (13·0 months [IQR 7·6-21·9]) than in those assigned to S-1 alone (11·0 months [5·6-19·8]; hazard ratio for death, 0·77; 95% CI 0·61-0·98; p=0·04). Progression-free survival was significantly longer in patients assigned to S-1 plus cisplatin than in those assigned to S-1 alone (median progression-free survival 6·0 months [3·3-12·9] vs 4·0 months [2·1-6·8]; p&lt;0·0001). Additionally, of 87 patients assigned S-1 plus cisplatin who had target tumours, one patient had a complete response and 46 patients had partial responses, ie, a total of 54% (range 43-65). Of 106 patients assigned S-1 alone who had target tumours, one patient had a complete response and 32 had partial responses, ie, a total of 31% (23-41). We recorded more grade 3 or 4 adverse events including leucopenia, neutropenia, anaemia, nausea, and anorexia, in the group assigned to S-1 plus cisplatin than in the group assigned to S-1 alone. There were n…","author":[{"dropping-particle":"","family":"Koizumi","given":"Wasaburo","non-dropping-particle":"","parse-names":false,"suffix":""},{"dropping-particle":"","family":"Narahara","given":"Hiroyuki","non-dropping-particle":"","parse-names":false,"suffix":""},{"dropping-particle":"","family":"Hara","given":"Takuo","non-dropping-particle":"","parse-names":false,"suffix":""},{"dropping-particle":"","family":"Takagane","given":"Akinori","non-dropping-particle":"","parse-names":false,"suffix":""},{"dropping-particle":"","family":"Akiya","given":"Toshikazu","non-dropping-particle":"","parse-names":false,"suffix":""},{"dropping-particle":"","family":"Takagi","given":"Masakazu","non-dropping-particle":"","parse-names":false,"suffix":""},{"dropping-particle":"","family":"Miyashita","given":"Kosei","non-dropping-particle":"","parse-names":false,"suffix":""},{"dropping-particle":"","family":"Nishizaki","given":"Takashi","non-dropping-particle":"","parse-names":false,"suffix":""},{"dropping-particle":"","family":"Kobayashi","given":"Osamu","non-dropping-particle":"","parse-names":false,"suffix":""},{"dropping-particle":"","family":"Takiyama","given":"Wataru","non-dropping-particle":"","parse-names":false,"suffix":""},{"dropping-particle":"","family":"Toh","given":"Yasushi","non-dropping-particle":"","parse-names":false,"suffix":""},{"dropping-particle":"","family":"Nagaie","given":"Takashi","non-dropping-particle":"","parse-names":false,"suffix":""},{"dropping-particle":"","family":"Takagi","given":"Seiichi","non-dropping-particle":"","parse-names":false,"suffix":""},{"dropping-particle":"","family":"Yamamura","given":"Yoshitaka","non-dropping-particle":"","parse-names":false,"suffix":""},{"dropping-particle":"","family":"Yanaoka","given":"Kimihiko","non-dropping-particle":"","parse-names":false,"suffix":""},{"dropping-particle":"","family":"Orita","given":"Hiroyuki","non-dropping-particle":"","parse-names":false,"suffix":""},{"dropping-particle":"","family":"Takeuchi","given":"Masahiro","non-dropping-particle":"","parse-names":false,"suffix":""}],"container-title":"The Lancet Oncology","id":"ITEM-1","issue":"3","issued":{"date-parts":[["2008"]]},"page":"215-221","title":"S-1 plus cisplatin versus S-1 alone for first-line treatment of advanced gastric cancer (SPIRITS trial): a phase III trial","type":"article-journal","volume":"9"},"uris":["http://www.mendeley.com/documents/?uuid=84c56869-12d8-45c3-b4bb-6c170d323742"]}],"mendeley":{"formattedCitation":"[16]","plainTextFormattedCitation":"[16]","previouslyFormattedCitation":"[16]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78BEEA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150</w:t>
            </w:r>
          </w:p>
        </w:tc>
        <w:tc>
          <w:tcPr>
            <w:tcW w:w="1618" w:type="dxa"/>
            <w:shd w:val="clear" w:color="auto" w:fill="auto"/>
            <w:noWrap/>
            <w:hideMark/>
          </w:tcPr>
          <w:p w14:paraId="1E4E620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w:t>
            </w:r>
          </w:p>
        </w:tc>
        <w:tc>
          <w:tcPr>
            <w:tcW w:w="1412" w:type="dxa"/>
            <w:gridSpan w:val="2"/>
            <w:shd w:val="clear" w:color="auto" w:fill="auto"/>
            <w:noWrap/>
            <w:hideMark/>
          </w:tcPr>
          <w:p w14:paraId="401310E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116 (71)</w:t>
            </w:r>
          </w:p>
        </w:tc>
        <w:tc>
          <w:tcPr>
            <w:tcW w:w="1553" w:type="dxa"/>
            <w:shd w:val="clear" w:color="auto" w:fill="auto"/>
            <w:noWrap/>
            <w:hideMark/>
          </w:tcPr>
          <w:p w14:paraId="367BC1B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(28-74)</w:t>
            </w:r>
          </w:p>
        </w:tc>
        <w:tc>
          <w:tcPr>
            <w:tcW w:w="1449" w:type="dxa"/>
            <w:gridSpan w:val="2"/>
            <w:shd w:val="clear" w:color="auto" w:fill="auto"/>
            <w:noWrap/>
            <w:hideMark/>
          </w:tcPr>
          <w:p w14:paraId="44C3368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150 (100)</w:t>
            </w:r>
          </w:p>
        </w:tc>
        <w:tc>
          <w:tcPr>
            <w:tcW w:w="797" w:type="dxa"/>
            <w:shd w:val="clear" w:color="auto" w:fill="auto"/>
            <w:noWrap/>
            <w:hideMark/>
          </w:tcPr>
          <w:p w14:paraId="100F1FC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 (3)</w:t>
            </w:r>
          </w:p>
        </w:tc>
      </w:tr>
      <w:tr w:rsidR="00B61A3A" w:rsidRPr="007D2E2F" w14:paraId="0CCBF3CD" w14:textId="77777777" w:rsidTr="00B61A3A">
        <w:trPr>
          <w:trHeight w:val="255"/>
        </w:trPr>
        <w:tc>
          <w:tcPr>
            <w:tcW w:w="2552" w:type="dxa"/>
            <w:shd w:val="clear" w:color="auto" w:fill="auto"/>
            <w:noWrap/>
            <w:hideMark/>
          </w:tcPr>
          <w:p w14:paraId="53E8E2F2" w14:textId="2E7F69EB"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Lu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{"citationItems":[{"id":"ITEM-1","itemData":{"DOI":"10.1179/1973947813Y.0000000128","ISSN":"1120-009X","abstract":"AbstractThis randomized phase II study was performed to compare the efficacy and safety of oxaliplatin combined with S-1 (OXS regimen) with S-1 alone in the management of advanced gastric cancer (AGC). Ninety-four patients were 1:1 randomly assigned to S-1 on days 1–14 of a 3-week cycle or S-1 on days 1–14 plus oxaliplatin (130 mg/m2 i.v.) on day 1 of the 3-week cycle. S-1 was orally administered in a fixed quantity according to body surface area. The median survival time with OXS versus S-1 monotherapy was 14·0 versus 11·0 months (P = 0·03), progression-free survival was 6·5 versus 4·0 months (P = 0·02), and the 1-year survival rate was 63·8% versus 48·9%, respectively. The response rate was significantly higher for OXS than for S-1 monotherapy (51·1% vs. 27·7%, P = 0·03). OXS was well tolerated with no treatment-related death. In conclusion, the OXS regimen evidenced a relatively high efficacy and was well tolerated as a first-line therapy for AGC patients.","author":[{"dropping-particle":"","family":"Lu","given":"Yiming;","non-dropping-particle":"","parse-names":false,"suffix":""},{"dropping-particle":"","family":"Liu","given":"Zanchao","non-dropping-particle":"","parse-names":false,"suffix":""},{"dropping-particle":"","family":"Zhang","given":"Jun","non-dropping-particle":"","parse-names":false,"suffix":""}],"container-title":"Journal of Chemotherapy","id":"ITEM-1","issue":"3","issued":{"date-parts":[["2014"]]},"page":"159-164","title":"S-1 plus oxaliplatin vs. S-1 as first-line treatment in patients with previously untreated advanced gastric cancer: a randomized phase II study","type":"article-journal","volume":"26"},"uris":["http://www.mendeley.com/documents/?uuid=bfeddd77-0868-451e-bad5-554148908544"]}],"mendeley":{"formattedCitation":"[17]","plainTextFormattedCitation":"[17]","previouslyFormattedCitation":"[17]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8574BF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47</w:t>
            </w:r>
          </w:p>
        </w:tc>
        <w:tc>
          <w:tcPr>
            <w:tcW w:w="1618" w:type="dxa"/>
            <w:shd w:val="clear" w:color="auto" w:fill="auto"/>
            <w:noWrap/>
            <w:hideMark/>
          </w:tcPr>
          <w:p w14:paraId="380AD5D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w:t>
            </w:r>
          </w:p>
        </w:tc>
        <w:tc>
          <w:tcPr>
            <w:tcW w:w="1412" w:type="dxa"/>
            <w:gridSpan w:val="2"/>
            <w:shd w:val="clear" w:color="auto" w:fill="auto"/>
            <w:noWrap/>
            <w:hideMark/>
          </w:tcPr>
          <w:p w14:paraId="12BB7EE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33 (70)</w:t>
            </w:r>
          </w:p>
        </w:tc>
        <w:tc>
          <w:tcPr>
            <w:tcW w:w="1553" w:type="dxa"/>
            <w:shd w:val="clear" w:color="auto" w:fill="auto"/>
            <w:noWrap/>
            <w:hideMark/>
          </w:tcPr>
          <w:p w14:paraId="3DFFB11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(34-74)</w:t>
            </w:r>
          </w:p>
        </w:tc>
        <w:tc>
          <w:tcPr>
            <w:tcW w:w="1449" w:type="dxa"/>
            <w:gridSpan w:val="2"/>
            <w:shd w:val="clear" w:color="auto" w:fill="auto"/>
            <w:noWrap/>
            <w:hideMark/>
          </w:tcPr>
          <w:p w14:paraId="153A9FE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47 (100)</w:t>
            </w:r>
          </w:p>
        </w:tc>
        <w:tc>
          <w:tcPr>
            <w:tcW w:w="797" w:type="dxa"/>
            <w:shd w:val="clear" w:color="auto" w:fill="auto"/>
            <w:noWrap/>
            <w:hideMark/>
          </w:tcPr>
          <w:p w14:paraId="0514DF6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(9)</w:t>
            </w:r>
          </w:p>
        </w:tc>
      </w:tr>
      <w:tr w:rsidR="00B61A3A" w:rsidRPr="007D2E2F" w14:paraId="4E996DBF" w14:textId="77777777" w:rsidTr="00B61A3A">
        <w:trPr>
          <w:trHeight w:val="255"/>
        </w:trPr>
        <w:tc>
          <w:tcPr>
            <w:tcW w:w="2552" w:type="dxa"/>
            <w:shd w:val="clear" w:color="auto" w:fill="auto"/>
            <w:noWrap/>
            <w:hideMark/>
          </w:tcPr>
          <w:p w14:paraId="0754B07B" w14:textId="114B7DE5" w:rsidR="00B61A3A" w:rsidRPr="007D2E2F" w:rsidRDefault="00B61A3A" w:rsidP="00B61A3A">
            <w:pPr>
              <w:tabs>
                <w:tab w:val="right" w:pos="2070"/>
              </w:tabs>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Koizumi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10.1038/bjc.2014.550","ISSN":"15321827","author":[{"dropping-particle":"","family":"Koizumi","given":"W.","non-dropping-particle":"","parse-names":false,"suffix":""},{"dropping-particle":"","family":"Yamaguchi","given":"K.","non-dropping-particle":"","parse-names":false,"suffix":""},{"dropping-particle":"","family":"Hosaka","given":"H.","non-dropping-particle":"","parse-names":false,"suffix":""},{"dropping-particle":"","family":"Takinishi","given":"Y.","non-dropping-particle":"","parse-names":false,"suffix":""},{"dropping-particle":"","family":"Nakayama","given":"N.","non-dropping-particle":"","parse-names":false,"suffix":""},{"dropping-particle":"","family":"Hara","given":"T.","non-dropping-particle":"","parse-names":false,"suffix":""},{"dropping-particle":"","family":"Muro","given":"K.","non-dropping-particle":"","parse-names":false,"suffix":""},{"dropping-particle":"","family":"Baba","given":"H.","non-dropping-particle":"","parse-names":false,"suffix":""},{"dropping-particle":"","family":"Sasaki","given":"Y.","non-dropping-particle":"","parse-names":false,"suffix":""},{"dropping-particle":"","family":"Nishina","given":"T.","non-dropping-particle":"","parse-names":false,"suffix":""},{"dropping-particle":"","family":"Fuse","given":"N.","non-dropping-particle":"","parse-names":false,"suffix":""},{"dropping-particle":"","family":"Esaki","given":"T.","non-dropping-particle":"","parse-names":false,"suffix":""},{"dropping-particle":"","family":"Takagi","given":"M.","non-dropping-particle":"","parse-names":false,"suffix":""},{"dropping-particle":"","family":"Gotoh","given":"M.","non-dropping-particle":"","parse-names":false,"suffix":""},{"dropping-particle":"","family":"Sasaki","given":"T.","non-dropping-particle":"","parse-names":false,"suffix":""}],"container-title":"British Journal of Cancer","id":"ITEM-1","issue":"12","issued":{"date-parts":[["2014"]]},"page":"2382","publisher":"Nature Publishing Group","title":"Erratum: Randomised phase II study of S-1/cisplatin plus TSU-68 vs S-1/cisplatin in patients with advanced gastric cancer (British Journal of Cancer (2013) 109 (2079-2086) DOI: 10.1038/bjc.2013.555)","type":"article-journal","volume":"111"},"uris":["http://www.mendeley.com/documents/?uuid=05651120-8ce1-4307-8945-31ae5ed0ef5c"]}],"mendeley":{"formattedCitation":"[18]","plainTextFormattedCitation":"[18]","previouslyFormattedCitation":"[18]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[18]</w:t>
            </w:r>
            <w:r w:rsidRPr="007D2E2F">
              <w:rPr>
                <w:rFonts w:ascii="Times New Roman" w:eastAsia="Times New Roman" w:hAnsi="Times New Roman"/>
                <w:color w:val="000000"/>
                <w:sz w:val="16"/>
                <w:szCs w:val="16"/>
              </w:rPr>
              <w:fldChar w:fldCharType="end"/>
            </w:r>
            <w:r w:rsidRPr="007D2E2F">
              <w:rPr>
                <w:rFonts w:ascii="Times New Roman" w:eastAsia="Times New Roman" w:hAnsi="Times New Roman"/>
                <w:color w:val="000000"/>
                <w:sz w:val="16"/>
                <w:szCs w:val="16"/>
              </w:rPr>
              <w:tab/>
            </w:r>
          </w:p>
        </w:tc>
        <w:tc>
          <w:tcPr>
            <w:tcW w:w="456" w:type="dxa"/>
            <w:shd w:val="clear" w:color="auto" w:fill="auto"/>
            <w:noWrap/>
            <w:hideMark/>
          </w:tcPr>
          <w:p w14:paraId="57030A37" w14:textId="77777777" w:rsidR="00B61A3A" w:rsidRPr="007D2E2F" w:rsidRDefault="00B61A3A"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321</w:t>
            </w:r>
          </w:p>
        </w:tc>
        <w:tc>
          <w:tcPr>
            <w:tcW w:w="1708" w:type="dxa"/>
            <w:gridSpan w:val="2"/>
            <w:shd w:val="clear" w:color="auto" w:fill="auto"/>
            <w:noWrap/>
            <w:hideMark/>
          </w:tcPr>
          <w:p w14:paraId="2AABCE4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w:t>
            </w:r>
          </w:p>
        </w:tc>
        <w:tc>
          <w:tcPr>
            <w:tcW w:w="1322" w:type="dxa"/>
            <w:shd w:val="clear" w:color="auto" w:fill="auto"/>
            <w:noWrap/>
            <w:hideMark/>
          </w:tcPr>
          <w:p w14:paraId="1C153BA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229 (71)</w:t>
            </w:r>
          </w:p>
        </w:tc>
        <w:tc>
          <w:tcPr>
            <w:tcW w:w="1623" w:type="dxa"/>
            <w:gridSpan w:val="2"/>
            <w:shd w:val="clear" w:color="auto" w:fill="auto"/>
            <w:noWrap/>
            <w:hideMark/>
          </w:tcPr>
          <w:p w14:paraId="759E68E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(27-79)</w:t>
            </w:r>
          </w:p>
        </w:tc>
        <w:tc>
          <w:tcPr>
            <w:tcW w:w="1379" w:type="dxa"/>
            <w:shd w:val="clear" w:color="auto" w:fill="auto"/>
            <w:noWrap/>
            <w:hideMark/>
          </w:tcPr>
          <w:p w14:paraId="592B740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321 (100)</w:t>
            </w:r>
          </w:p>
        </w:tc>
        <w:tc>
          <w:tcPr>
            <w:tcW w:w="797" w:type="dxa"/>
            <w:shd w:val="clear" w:color="auto" w:fill="auto"/>
            <w:noWrap/>
            <w:hideMark/>
          </w:tcPr>
          <w:p w14:paraId="73102CF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23624F39" w14:textId="77777777" w:rsidTr="00B61A3A">
        <w:trPr>
          <w:trHeight w:val="255"/>
        </w:trPr>
        <w:tc>
          <w:tcPr>
            <w:tcW w:w="2552" w:type="dxa"/>
            <w:shd w:val="clear" w:color="auto" w:fill="auto"/>
            <w:noWrap/>
            <w:hideMark/>
          </w:tcPr>
          <w:p w14:paraId="6F1421CF" w14:textId="4C00D480"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Wang 2013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{"citationItems":[{"id":"ITEM-1","itemData":{"DOI":"10.1007/s12094-013-1012-6","ISSN":"1699048X","abstract":"Purpose: This randomized phase II study was conducted to compare the efficacy and safety of paclitaxel with S-1 (PS) vs. S-1 in patients with advanced gastric cancer (AGC). Methods: Eighty-two (82) patients were 1:1 randomly assigned to oral S-1 (daily for 2 weeks, every 4 weeks' cycle) or S-1 (daily for 2 weeks, every 4 weeks' cycle) plus paclitaxel (on day 1, 8 and 15 of a 4 weeks' cycle). S-1 was orally administered with a fixed quantity according to body surface area (BSA), while paclitaxel was given 60 mg/m2 i.v. daily through an implanted catheter. The primary endpoint was overall survival (OS). Secondary endpoints included progression-free survival (PFS), overall responsible rates and safety. Results: The median OS with PS versus S-1 monotherapy was 14.0 versus 11.0 months (P = 0.02), survival at 12 months was 61.0 % in the PS group and 46.3 % in the S-1 group. Median PFS was also significantly longer in the PS group (6.0 months) than in the S-1 group (4.0 months). The overall response rate was determined in 82 evaluable patients, and was significantly higher (P = 0.04) with PS (19 patients, 46.3 %) than with S-1 monotherapy (10 patients, 24.4 %). PS was well tolerated with no treatment-related deaths, all were grade 3-4 gastrointestinal toxicities, including anorexia, nausea, and diarrhea developed in less than 10 % of the patients. Conclusions: Combination chemotherapy of paclitaxel with S-1 is well tolerated and active in AGC patients. Further investigation with comparative trials is needed for confirmation. © 2013 Federación de Sociedades Españolas de Oncología (FESEO).","author":[{"dropping-particle":"","family":"Wang","given":"X.","non-dropping-particle":"","parse-names":false,"suffix":""},{"dropping-particle":"","family":"Wang","given":"M. L.","non-dropping-particle":"","parse-names":false,"suffix":""},{"dropping-particle":"","family":"Zhou","given":"L. Y.","non-dropping-particle":"","parse-names":false,"suffix":""},{"dropping-particle":"","family":"Lu","given":"X. Y.","non-dropping-particle":"","parse-names":false,"suffix":""},{"dropping-particle":"","family":"Yang","given":"J. F.","non-dropping-particle":"","parse-names":false,"suffix":""},{"dropping-particle":"","family":"Yu","given":"H. G.","non-dropping-particle":"","parse-names":false,"suffix":""}],"container-title":"Clinical and Translational Oncology","id":"ITEM-1","issue":"10","issued":{"date-parts":[["2013"]]},"page":"836-842","title":"Randomized phase II study comparing paclitaxel with S-1 vs. S-1 as first-line treatment in patients with advanced gastric cancer","type":"article-journal","volume":"15"},"uris":["http://www.mendeley.com/documents/?uuid=482a2bfe-f781-4274-bf80-620e5fbdb0de"]}],"mendeley":{"formattedCitation":"[19]","plainTextFormattedCitation":"[19]","previouslyFormattedCitation":"[19]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261F1D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41</w:t>
            </w:r>
          </w:p>
        </w:tc>
        <w:tc>
          <w:tcPr>
            <w:tcW w:w="1708" w:type="dxa"/>
            <w:gridSpan w:val="2"/>
            <w:shd w:val="clear" w:color="auto" w:fill="auto"/>
            <w:noWrap/>
            <w:hideMark/>
          </w:tcPr>
          <w:p w14:paraId="3287B7D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w:t>
            </w:r>
          </w:p>
        </w:tc>
        <w:tc>
          <w:tcPr>
            <w:tcW w:w="1322" w:type="dxa"/>
            <w:shd w:val="clear" w:color="auto" w:fill="auto"/>
            <w:noWrap/>
            <w:hideMark/>
          </w:tcPr>
          <w:p w14:paraId="1BA3D0B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 (73)</w:t>
            </w:r>
          </w:p>
        </w:tc>
        <w:tc>
          <w:tcPr>
            <w:tcW w:w="1623" w:type="dxa"/>
            <w:gridSpan w:val="2"/>
            <w:shd w:val="clear" w:color="auto" w:fill="auto"/>
            <w:noWrap/>
            <w:hideMark/>
          </w:tcPr>
          <w:p w14:paraId="768B367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61 (31-73)</w:t>
            </w:r>
          </w:p>
        </w:tc>
        <w:tc>
          <w:tcPr>
            <w:tcW w:w="1379" w:type="dxa"/>
            <w:shd w:val="clear" w:color="auto" w:fill="auto"/>
            <w:noWrap/>
            <w:hideMark/>
          </w:tcPr>
          <w:p w14:paraId="55B4D38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41 (100)</w:t>
            </w:r>
          </w:p>
        </w:tc>
        <w:tc>
          <w:tcPr>
            <w:tcW w:w="797" w:type="dxa"/>
            <w:shd w:val="clear" w:color="auto" w:fill="auto"/>
            <w:noWrap/>
            <w:hideMark/>
          </w:tcPr>
          <w:p w14:paraId="15240F0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(7)</w:t>
            </w:r>
          </w:p>
        </w:tc>
      </w:tr>
      <w:tr w:rsidR="00B61A3A" w:rsidRPr="007D2E2F" w14:paraId="07FEB11B" w14:textId="77777777" w:rsidTr="00B61A3A">
        <w:trPr>
          <w:trHeight w:val="255"/>
        </w:trPr>
        <w:tc>
          <w:tcPr>
            <w:tcW w:w="2552" w:type="dxa"/>
            <w:shd w:val="clear" w:color="auto" w:fill="auto"/>
            <w:noWrap/>
            <w:hideMark/>
          </w:tcPr>
          <w:p w14:paraId="0D860DF5" w14:textId="3B978552"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Boku 2009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{"citationItems":[{"id":"ITEM-1","itemData":{"DOI":"10.1016/S1470-2045(09)70259-1","ISSN":"1474-5488","PMID":"19818685","abstract":"BACKGROUND: The best chemotherapy regimen for metastatic gastric cancer is uncertain, but promising findings have been reported with irinotecan plus cisplatin and S-1 (tegafur, 5-chloro-2,4-dihydropyrimidine, and potassium oxonate). We aimed to investigate the superiority of irinotecan plus cisplatin and non-inferiority of S-1 compared with fluorouracil, with respect to overall survival, in patients with metastatic gastric cancer.\n\nMETHODS: We undertook a phase 3 open label randomised trial in 34 institutions in Japan. We enrolled patients aged 20-75 years or younger, who had histologically proven gastric adenocarcinoma, and randomly assigned them by minimisation to receive either: a continuous infusion of fluorouracil (800 mg/m(2) per day, on days 1-5) every 4 weeks (n=234); intravenous irinotecan (70 mg/m(2), on days 1 and 15) and cisplatin (80 mg/m(2), on day 1) every 4 weeks (n=236); or oral S-1 (40 mg/m(2), twice a day, on days 1-28) every 6 weeks (n=234). The primary endpoint was overall survival. Analyses were done by intention to treat. This study is registered with Clinicaltrials.gov, number NCT00142350, and with UMIN-CTR, number C000000062.\n\nFINDINGS: All randomised patients were included in the primary analysis. Median overall survival was 10.8 months (IQR 5.7-17.8) for individuals assigned fluorouracil, 12.3 months (8.1-19.5) for those allocated irinotecan plus cisplatin (hazard ratio 0.85 [95% CI 0.70-1.04]; p=0.0552), and 11.4 months (6.4-21.3) for those assigned S-1 (0.83 [0.68-1.01]; p=0.0005 for non-inferiority). Three treatment-related deaths occurred in the irinotecan plus cisplatin group and one was recorded in the S-1 group.\n\nINTERPRETATION: S-1 is non-inferior to fluorouracil and, in view of the convenience of an oral administration, could replace intravenous fluorouracil for treatment of unresectable or recurrent gastric cancer, at least in Asia. Irinotecan plus cisplatin is not superior to fluorouracil in this setting.","author":[{"dropping-particle":"","family":"Boku","given":"Narikazu","non-dropping-particle":"","parse-names":false,"suffix":""},{"dropping-particle":"","family":"Yamamoto","given":"Seiichiro","non-dropping-particle":"","parse-names":false,"suffix":""},{"dropping-particle":"","family":"Fukuda","given":"Haruhiko","non-dropping-particle":"","parse-names":false,"suffix":""},{"dropping-particle":"","family":"Shirao","given":"Kuniaki","non-dropping-particle":"","parse-names":false,"suffix":""},{"dropping-particle":"","family":"Doi","given":"Toshihiko","non-dropping-particle":"","parse-names":false,"suffix":""},{"dropping-particle":"","family":"Sawaki","given":"Akira","non-dropping-particle":"","parse-names":false,"suffix":""},{"dropping-particle":"","family":"Koizumi","given":"Wasaburo","non-dropping-particle":"","parse-names":false,"suffix":""},{"dropping-particle":"","family":"Saito","given":"Hiroshi","non-dropping-particle":"","parse-names":false,"suffix":""},{"dropping-particle":"","family":"Yamaguchi","given":"Kensei","non-dropping-particle":"","parse-names":false,"suffix":""},{"dropping-particle":"","family":"Takiuchi","given":"Hiroya","non-dropping-particle":"","parse-names":false,"suffix":""},{"dropping-particle":"","family":"Nasu","given":"Junichiro","non-dropping-particle":"","parse-names":false,"suffix":""},{"dropping-particle":"","family":"Ohtsu","given":"Atsushi","non-dropping-particle":"","parse-names":false,"suffix":""}],"container-title":"The Lancet. Oncology","id":"ITEM-1","issue":"11","issued":{"date-parts":[["2009","11"]]},"page":"1063-9","publisher":"Elsevier Ltd","title":"Fluorouracil versus combination of irinotecan plus cisplatin versus S-1 in metastatic gastric cancer: a randomised phase 3 study.","type":"article-journal","volume":"10"},"uris":["http://www.mendeley.com/documents/?uuid=6efc4023-7536-4615-beef-a1b3de84a06f"]}],"mendeley":{"formattedCitation":"[5]","plainTextFormattedCitation":"[5]","previouslyFormattedCitation":"[5]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6AD2381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219</w:t>
            </w:r>
          </w:p>
        </w:tc>
        <w:tc>
          <w:tcPr>
            <w:tcW w:w="1708" w:type="dxa"/>
            <w:gridSpan w:val="2"/>
            <w:shd w:val="clear" w:color="auto" w:fill="auto"/>
            <w:noWrap/>
            <w:hideMark/>
          </w:tcPr>
          <w:p w14:paraId="1DBE73CB"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w:t>
            </w:r>
          </w:p>
        </w:tc>
        <w:tc>
          <w:tcPr>
            <w:tcW w:w="1322" w:type="dxa"/>
            <w:shd w:val="clear" w:color="auto" w:fill="auto"/>
            <w:noWrap/>
            <w:hideMark/>
          </w:tcPr>
          <w:p w14:paraId="2E6CF77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162 (74)</w:t>
            </w:r>
          </w:p>
        </w:tc>
        <w:tc>
          <w:tcPr>
            <w:tcW w:w="1623" w:type="dxa"/>
            <w:gridSpan w:val="2"/>
            <w:shd w:val="clear" w:color="auto" w:fill="auto"/>
            <w:noWrap/>
            <w:hideMark/>
          </w:tcPr>
          <w:p w14:paraId="255E0CA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(39-75)</w:t>
            </w:r>
          </w:p>
        </w:tc>
        <w:tc>
          <w:tcPr>
            <w:tcW w:w="1379" w:type="dxa"/>
            <w:shd w:val="clear" w:color="auto" w:fill="auto"/>
            <w:noWrap/>
            <w:hideMark/>
          </w:tcPr>
          <w:p w14:paraId="2417877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35B5515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(1)</w:t>
            </w:r>
          </w:p>
        </w:tc>
      </w:tr>
      <w:tr w:rsidR="00B61A3A" w:rsidRPr="007D2E2F" w14:paraId="15E7D399" w14:textId="77777777" w:rsidTr="00B61A3A">
        <w:trPr>
          <w:trHeight w:val="255"/>
        </w:trPr>
        <w:tc>
          <w:tcPr>
            <w:tcW w:w="2552" w:type="dxa"/>
            <w:shd w:val="clear" w:color="auto" w:fill="auto"/>
            <w:noWrap/>
            <w:hideMark/>
          </w:tcPr>
          <w:p w14:paraId="50DD1041" w14:textId="562BA160"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Yoshino 2016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{"citationItems":[{"id":"ITEM-1","itemData":{"DOI":"10.1016/j.ejca.2016.06.012","ISBN":"0959-8049","ISSN":"18790852","PMID":"27501505","abstract":"Background Lentinan (LNT) is a purified β-1, 3-glucan that augments immune responses. The present study was conducted to assess the efficacy of LNT in combination with S-1 as a first-line treatment for unresectable or recurrent gastric cancer. Patients and methods Eligible patients were randomly assigned to receive S-1 alone or S-1 plus LNT. The primary end-point was overall survival (OS). Secondary end-points were time-to-treatment failure (TTF), overall response rate (ORR), safety, quality of life (QOL), and biomarker. The percentages of LNT-binding monocytes in peripheral blood prior to treatment were analysed for the biomarker assessment. Results One hundred and fifty-four and 155 patients were randomly assigned to receive S-1 alone or S-1 plus LNT, respectively. The median OS was 13.8 and 9.9 months (P = 0.208), the median TTF was 4.3 and 2.6 months (P &lt; 0.001), the ORR was 22.3% and 18.7% for the S-1 and S-1 plus LNT groups, respectively. The incidences of haematologic and non-haematologic adverse events were similar, and no significant changes in QOL scores were observed during the treatment in both groups. In a subpopulation of patients with LNT-binding monocytes ≥2%, patients who received more than two cycles of chemotherapy showed a longer survival time in the S-1 plus LNT group. Conclusions OS did not improve and TTF was significantly worse in the S-1 plus LNT group as compared with the S-1-only group. This study showed no efficacy of LNT when combined with S-1 treatment in patients with unresectable or recurrent gastric cancer. Clinical trial registration ID number UMIN 000000574.","author":[{"dropping-particle":"","family":"Yoshino","given":"Shigefumi","non-dropping-particle":"","parse-names":false,"suffix":""},{"dropping-particle":"","family":"Nishikawa","given":"Kazuhiro","non-dropping-particle":"","parse-names":false,"suffix":""},{"dropping-particle":"","family":"Morita","given":"Satoshi","non-dropping-particle":"","parse-names":false,"suffix":""},{"dropping-particle":"","family":"Takahashi","given":"Tsuyoshi","non-dropping-particle":"","parse-names":false,"suffix":""},{"dropping-particle":"","family":"Sakata","given":"Koichiro","non-dropping-particle":"","parse-names":false,"suffix":""},{"dropping-particle":"","family":"Nagao","given":"Jiro","non-dropping-particle":"","parse-names":false,"suffix":""},{"dropping-particle":"","family":"Nemoto","given":"Hiroshi","non-dropping-particle":"","parse-names":false,"suffix":""},{"dropping-particle":"","family":"Murakami","given":"Nozomu","non-dropping-particle":"","parse-names":false,"suffix":""},{"dropping-particle":"","family":"Matsuda","given":"Takeru","non-dropping-particle":"","parse-names":false,"suffix":""},{"dropping-particle":"","family":"Hasegawa","given":"Hiroyasu","non-dropping-particle":"","parse-names":false,"suffix":""},{"dropping-particle":"","family":"Shimizu","given":"Ryoichi","non-dropping-particle":"","parse-names":false,"suffix":""},{"dropping-particle":"","family":"Yoshikawa","given":"Takaki","non-dropping-particle":"","parse-names":false,"suffix":""},{"dropping-particle":"","family":"Osanai","given":"Hiroyuki","non-dropping-particle":"","parse-names":false,"suffix":""},{"dropping-particle":"","family":"Imano","given":"Motohiro","non-dropping-particle":"","parse-names":false,"suffix":""},{"dropping-particle":"","family":"Naitoh","given":"Hiroshi","non-dropping-particle":"","parse-names":false,"suffix":""},{"dropping-particle":"","family":"Tanaka","given":"Akiyoshi","non-dropping-particle":"","parse-names":false,"suffix":""},{"dropping-particle":"","family":"Tajiri","given":"Takashi","non-dropping-particle":"","parse-names":false,"suffix":""},{"dropping-particle":"","family":"Gochi","given":"Akira","non-dropping-particle":"","parse-names":false,"suffix":""},{"dropping-particle":"","family":"Suzuki","given":"Michinari","non-dropping-particle":"","parse-names":false,"suffix":""},{"dropping-particle":"","family":"Sakamoto","given":"Junichi","non-dropping-particle":"","parse-names":false,"suffix":""},{"dropping-particle":"","family":"Saji","given":"Shigetoyo","non-dropping-particle":"","parse-names":false,"suffix":""},{"dropping-particle":"","family":"Oka","given":"Masaaki","non-dropping-particle":"","parse-names":false,"suffix":""}],"container-title":"European Journal of Cancer","id":"ITEM-1","issued":{"date-parts":[["2016"]]},"page":"164-171","publisher":"Elsevier Ltd","title":"Randomised phase III study of S-1 alone versus S-1 plus lentinan for unresectable or recurrent gastric cancer (JFMC36-0701)","type":"article-journal","volume":"65"},"uris":["http://www.mendeley.com/documents/?uuid=496f792e-d6eb-45a6-a99f-d5f392725f15"]}],"mendeley":{"formattedCitation":"[20]","plainTextFormattedCitation":"[20]","previouslyFormattedCitation":"[20]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[20]</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BC5775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146</w:t>
            </w:r>
          </w:p>
        </w:tc>
        <w:tc>
          <w:tcPr>
            <w:tcW w:w="1708" w:type="dxa"/>
            <w:gridSpan w:val="2"/>
            <w:shd w:val="clear" w:color="auto" w:fill="auto"/>
            <w:noWrap/>
            <w:hideMark/>
          </w:tcPr>
          <w:p w14:paraId="7180036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w:t>
            </w:r>
          </w:p>
        </w:tc>
        <w:tc>
          <w:tcPr>
            <w:tcW w:w="1322" w:type="dxa"/>
            <w:shd w:val="clear" w:color="auto" w:fill="auto"/>
            <w:noWrap/>
            <w:hideMark/>
          </w:tcPr>
          <w:p w14:paraId="570F1BC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107 (73)</w:t>
            </w:r>
          </w:p>
        </w:tc>
        <w:tc>
          <w:tcPr>
            <w:tcW w:w="1623" w:type="dxa"/>
            <w:gridSpan w:val="2"/>
            <w:shd w:val="clear" w:color="auto" w:fill="auto"/>
            <w:noWrap/>
            <w:hideMark/>
          </w:tcPr>
          <w:p w14:paraId="79A94BE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74 (32-94)</w:t>
            </w:r>
          </w:p>
        </w:tc>
        <w:tc>
          <w:tcPr>
            <w:tcW w:w="1379" w:type="dxa"/>
            <w:shd w:val="clear" w:color="auto" w:fill="auto"/>
            <w:noWrap/>
            <w:hideMark/>
          </w:tcPr>
          <w:p w14:paraId="6ED2AA7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22E3BD7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 (3)</w:t>
            </w:r>
          </w:p>
        </w:tc>
      </w:tr>
      <w:tr w:rsidR="00B61A3A" w:rsidRPr="007D2E2F" w14:paraId="00D4F9FC" w14:textId="77777777" w:rsidTr="00B61A3A">
        <w:trPr>
          <w:trHeight w:val="255"/>
        </w:trPr>
        <w:tc>
          <w:tcPr>
            <w:tcW w:w="2552" w:type="dxa"/>
            <w:shd w:val="clear" w:color="auto" w:fill="auto"/>
            <w:noWrap/>
            <w:hideMark/>
          </w:tcPr>
          <w:p w14:paraId="79AD60DB" w14:textId="52AF37F8"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Hironaka 2016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{"citationItems":[{"id":"ITEM-1","itemData":{"DOI":"10.1016/S1470-2045(15)00410-6","ISSN":"14745488","PMID":"26640036","abstract":"Background: Although leucovorin enhances the efficacy of fluorouracil, the anti-tumour activity of S-1 and leucovorin and their combination with oxaliplatin for patients with advanced gastric cancer is unknown. We compared the activity and safety of S-1 plus leucovorin, S-1 plus leucovorin and oxaliplatin, and S-1 plus cisplatin as first-line chemotherapy for advanced gastric cancer. Methods: In this multicentre, randomised, open-label, phase 2 trial, we recruited chemotherapy-naive patients with unresectable or recurrent gastric cancer with measurable lesions aged 20 years or older from 25 general hospitals and specialist centres in Japan. Patients were randomly assigned (1:1:1) centrally to receive S-1 plus leucovorin (S-1 40-60 mg orally plus oral leucovorin 25 mg twice a day for 1 week, every 2 weeks), S-1 plus leucovorin and oxaliplatin (S-1 plus leucovorin and intravenous oxaliplatin 85 mg/m2on day 1, every 2 weeks), or S-1 plus cisplatin (S-1 40-60 mg orally twice a day for 3 weeks, plus intravenous cisplatin 60 mg/m2on day 8, every 5 weeks). Randomisation was done with the minimisation method using performance status (0 vs 1) and tumour stage (stage IV vs recurrent) as stratification factors. The primary endpoint was independently reviewed overall response in the full analysis set. This trial is registered with Japic CTI, number 111635. Findings: Between Oct 20, 2011, and Dec 17, 2012, we enrolled and randomly assigned 145 patients: 49 patients were assigned to S-1 plus leucovorin, 47 to S-1 plus leucovorin and oxaliplatin, and 49 to S-1 plus cisplatin. An objective response assessed by the independent review committee was achieved in 20 (43% [95% CI 28·3-57·8]) of the 47 patients in the S-1 plus leucovorin group, 31 (66% [50·7-79·1]) of the 47 patients in the S-1 plus leucovorin and oxaliplatin group, and 22 (46% [31·4-60·8]) of the 48 patients in the S-1 plus cisplatin group (Fisher's exact test, p=0·84 for S-1 plus leucovorin vs S-1 plus cisplatin, p=0·063 for S-1 plus leucovorin and oxaliplatin vs S-1 plus cisplatin, and p=0·038 for S-1 plus leucovorin and oxaliplatin vs S-1 plus leucovorin). The most common grade 3-4 adverse events were neutropenia (three [6%] of 48 patients in the S-1 plus leucovorin group vs 12 [26%] of 47 patients in the S-1 plus leucovorin and oxaliplatin group vs 17 [35%] of 49 patients in the S-1 plus cisplatin group), decreased appetite (six [13%] vs 14 [30%] vs 12 [24%]), anaemia (five [10%] vs seven [15%] vs 13 [27…","author":[{"dropping-particle":"","family":"Hironaka","given":"Shuichi","non-dropping-particle":"","parse-names":false,"suffix":""},{"dropping-particle":"","family":"Sugimoto","given":"Naotoshi","non-dropping-particle":"","parse-names":false,"suffix":""},{"dropping-particle":"","family":"Yamaguchi","given":"Kensei","non-dropping-particle":"","parse-names":false,"suffix":""},{"dropping-particle":"","family":"Moriwaki","given":"Toshikazu","non-dropping-particle":"","parse-names":false,"suffix":""},{"dropping-particle":"","family":"Komatsu","given":"Yoshito","non-dropping-particle":"","parse-names":false,"suffix":""},{"dropping-particle":"","family":"Nishina","given":"Tomohiro","non-dropping-particle":"","parse-names":false,"suffix":""},{"dropping-particle":"","family":"Tsuji","given":"Akihito","non-dropping-particle":"","parse-names":false,"suffix":""},{"dropping-particle":"","family":"Nakajima","given":"Takako Eguchi","non-dropping-particle":"","parse-names":false,"suffix":""},{"dropping-particle":"","family":"Gotoh","given":"Masahiro","non-dropping-particle":"","parse-names":false,"suffix":""},{"dropping-particle":"","family":"Machida","given":"Nozomu","non-dropping-particle":"","parse-names":false,"suffix":""},{"dropping-particle":"","family":"Bando","given":"Hideaki","non-dropping-particle":"","parse-names":false,"suffix":""},{"dropping-particle":"","family":"Esaki","given":"Taito","non-dropping-particle":"","parse-names":false,"suffix":""},{"dropping-particle":"","family":"Emi","given":"Yasunori","non-dropping-particle":"","parse-names":false,"suffix":""},{"dropping-particle":"","family":"Sekikawa","given":"Takashi","non-dropping-particle":"","parse-names":false,"suffix":""},{"dropping-particle":"","family":"Matsumoto","given":"Shigemi","non-dropping-particle":"","parse-names":false,"suffix":""},{"dropping-particle":"","family":"Takeuchi","given":"Masahiro","non-dropping-particle":"","parse-names":false,"suffix":""},{"dropping-particle":"","family":"Boku","given":"Narikazu","non-dropping-particle":"","parse-names":false,"suffix":""},{"dropping-particle":"","family":"Baba","given":"Hideo","non-dropping-particle":"","parse-names":false,"suffix":""},{"dropping-particle":"","family":"Hyodo","given":"Ichinosuke","non-dropping-particle":"","parse-names":false,"suffix":""}],"container-title":"The Lancet Oncology","id":"ITEM-1","issue":"1","issued":{"date-parts":[["2016"]]},"page":"99-108","publisher":"Elsevier Ltd","title":"S-1 plus leucovorin versus S-1 plus leucovorin and oxaliplatin versus S-1 plus cisplatin in patients with advanced gastric cancer: A randomised, multicentre, open-label, phase 2 trial","type":"article-journal","volume":"17"},"uris":["http://www.mendeley.com/documents/?uuid=7c7ea529-4795-4acd-9b93-bba2e1901429"]}],"mendeley":{"formattedCitation":"[21]","plainTextFormattedCitation":"[21]","previouslyFormattedCitation":"[21]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B69AE5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48</w:t>
            </w:r>
          </w:p>
        </w:tc>
        <w:tc>
          <w:tcPr>
            <w:tcW w:w="1708" w:type="dxa"/>
            <w:gridSpan w:val="2"/>
            <w:shd w:val="clear" w:color="auto" w:fill="auto"/>
            <w:noWrap/>
            <w:hideMark/>
          </w:tcPr>
          <w:p w14:paraId="70511D8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S-1/LV</w:t>
            </w:r>
          </w:p>
        </w:tc>
        <w:tc>
          <w:tcPr>
            <w:tcW w:w="1322" w:type="dxa"/>
            <w:shd w:val="clear" w:color="auto" w:fill="auto"/>
            <w:noWrap/>
            <w:hideMark/>
          </w:tcPr>
          <w:p w14:paraId="72E6EEE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33 (70)</w:t>
            </w:r>
          </w:p>
        </w:tc>
        <w:tc>
          <w:tcPr>
            <w:tcW w:w="1623" w:type="dxa"/>
            <w:gridSpan w:val="2"/>
            <w:shd w:val="clear" w:color="auto" w:fill="auto"/>
            <w:noWrap/>
            <w:hideMark/>
          </w:tcPr>
          <w:p w14:paraId="20670CF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(60–70)</w:t>
            </w:r>
          </w:p>
        </w:tc>
        <w:tc>
          <w:tcPr>
            <w:tcW w:w="1379" w:type="dxa"/>
            <w:shd w:val="clear" w:color="auto" w:fill="auto"/>
            <w:noWrap/>
            <w:hideMark/>
          </w:tcPr>
          <w:p w14:paraId="2C69813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47 (100)</w:t>
            </w:r>
          </w:p>
        </w:tc>
        <w:tc>
          <w:tcPr>
            <w:tcW w:w="797" w:type="dxa"/>
            <w:shd w:val="clear" w:color="auto" w:fill="auto"/>
            <w:noWrap/>
            <w:hideMark/>
          </w:tcPr>
          <w:p w14:paraId="668E6C1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2B149945" w14:textId="77777777" w:rsidTr="00DF4D7C">
        <w:trPr>
          <w:trHeight w:val="255"/>
        </w:trPr>
        <w:tc>
          <w:tcPr>
            <w:tcW w:w="2552" w:type="dxa"/>
            <w:shd w:val="clear" w:color="auto" w:fill="auto"/>
            <w:noWrap/>
            <w:hideMark/>
          </w:tcPr>
          <w:p w14:paraId="0586ED4D" w14:textId="0F367F67"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Sawaki 2009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1359-6349(09)71231-5","ISSN":"13596349","author":[{"dropping-particle":"","family":"Sawaki","given":"a.","non-dropping-particle":"","parse-names":false,"suffix":""},{"dropping-particle":"","family":"Yamaguchi","given":"K.","non-dropping-particle":"","parse-names":false,"suffix":""},{"dropping-particle":"","family":"Nabeya","given":"Y.","non-dropping-particle":"","parse-names":false,"suffix":""},{"dropping-particle":"","family":"Sakai","given":"Y.","non-dropping-particle":"","parse-names":false,"suffix":""},{"dropping-particle":"","family":"Osanai","given":"H.","non-dropping-particle":"","parse-names":false,"suffix":""},{"dropping-particle":"","family":"Denda","given":"T.","non-dropping-particle":"","parse-names":false,"suffix":""},{"dropping-particle":"","family":"Furue","given":"H.","non-dropping-particle":"","parse-names":false,"suffix":""},{"dropping-particle":"","family":"Kurihara","given":"M.","non-dropping-particle":"","parse-names":false,"suffix":""}],"container-title":"European Journal of Cancer Supplements","id":"ITEM-1","issue":"2","issued":{"date-parts":[["2009","9"]]},"page":"364","publisher":"Elsevier Ltd","title":"5-FU/l-LV (RPMI) versus S-1 as first-line therapy in patients with advanced gastric cancer: a randomized phase III non-inferiority trial. (ISO-5FU10 Study Group trial)","type":"article-journal","volume":"7"},"uris":["http://www.mendeley.com/documents/?uuid=16fe644a-b857-450d-b159-a36075fa7e2f"]}],"mendeley":{"formattedCitation":"[8]","plainTextFormattedCitation":"[8]","previouslyFormattedCitation":"[8]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44A51A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88</w:t>
            </w:r>
          </w:p>
        </w:tc>
        <w:tc>
          <w:tcPr>
            <w:tcW w:w="1708" w:type="dxa"/>
            <w:gridSpan w:val="2"/>
            <w:shd w:val="clear" w:color="auto" w:fill="auto"/>
            <w:noWrap/>
            <w:hideMark/>
          </w:tcPr>
          <w:p w14:paraId="522B5F3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w:t>
            </w:r>
          </w:p>
        </w:tc>
        <w:tc>
          <w:tcPr>
            <w:tcW w:w="1322" w:type="dxa"/>
            <w:shd w:val="clear" w:color="auto" w:fill="auto"/>
            <w:noWrap/>
            <w:hideMark/>
          </w:tcPr>
          <w:p w14:paraId="64F0E94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66 (75)</w:t>
            </w:r>
          </w:p>
        </w:tc>
        <w:tc>
          <w:tcPr>
            <w:tcW w:w="1623" w:type="dxa"/>
            <w:gridSpan w:val="2"/>
            <w:shd w:val="clear" w:color="auto" w:fill="auto"/>
            <w:noWrap/>
            <w:hideMark/>
          </w:tcPr>
          <w:p w14:paraId="0933448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63 (32-77)</w:t>
            </w:r>
          </w:p>
        </w:tc>
        <w:tc>
          <w:tcPr>
            <w:tcW w:w="1379" w:type="dxa"/>
            <w:shd w:val="clear" w:color="auto" w:fill="auto"/>
            <w:noWrap/>
            <w:hideMark/>
          </w:tcPr>
          <w:p w14:paraId="0ED8DE2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68 (77)</w:t>
            </w:r>
          </w:p>
        </w:tc>
        <w:tc>
          <w:tcPr>
            <w:tcW w:w="797" w:type="dxa"/>
            <w:shd w:val="clear" w:color="auto" w:fill="auto"/>
            <w:noWrap/>
            <w:hideMark/>
          </w:tcPr>
          <w:p w14:paraId="30CFB30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(3)</w:t>
            </w:r>
          </w:p>
        </w:tc>
      </w:tr>
      <w:tr w:rsidR="00B61A3A" w:rsidRPr="007D2E2F" w14:paraId="387238CC" w14:textId="77777777" w:rsidTr="00DF4D7C">
        <w:trPr>
          <w:trHeight w:val="255"/>
        </w:trPr>
        <w:tc>
          <w:tcPr>
            <w:tcW w:w="2552" w:type="dxa"/>
            <w:tcBorders>
              <w:bottom w:val="single" w:sz="4" w:space="0" w:color="auto"/>
            </w:tcBorders>
            <w:shd w:val="clear" w:color="auto" w:fill="auto"/>
            <w:noWrap/>
            <w:hideMark/>
          </w:tcPr>
          <w:p w14:paraId="175AC5AA" w14:textId="70916B45"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Komatsu 2011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{"citationItems":[{"id":"ITEM-1","itemData":{"DOI":"10.1097/CAD.0b013e328345b509","ISBN":"1473-5741","ISSN":"09594973","PMID":"21512394","abstract":"The pharmacokinetics of irinotecan vary markedly between individuals. This study sought to compare tailored irinotecan and S-1 therapy with S-1 monotherapy for the treatment of patients with advanced/recurrent gastric cancer. Patients with advanced/recurrent gastric cancer were randomized to receive tailored irinotecan and S-1 (arm A) therapy or S-1 therapy alone (arm B). Arm A received S-1 (80-120 mg/m(2)/day) for 14 days, with irinotecan on days 1 and 15. The initial irinotecan dose of 75 mg/m(2) (level 0) was adjusted for toxicity during an earlier course. In arm B, S-1 (80-120 mg/day) was administered alone for 28 days, followed by 14 days without therapy. Ninety-five patients were randomized (48 patients to arm A and 47 patients to arm B). The response rate of the primary tumor (Japanese criteria) was 25.0% in arm A (12 of 48 patients) and 14.9% in arm B (seven of 47 patients), whereas the response rates according to Response Evaluation Criteria In Solid Tumors were 27.8% (10 of 36) versus 21.9% (seven of 32). Hematological toxicity, anorexia, and diarrhea were significantly more common in arm A, but both arms had similar grades 3-4 toxicities. These findings suggest the usefulness of tailored irinotecan and S-1 therapy for gastric cancer.","author":[{"dropping-particle":"","family":"Komatsu","given":"Yoshito","non-dropping-particle":"","parse-names":false,"suffix":""},{"dropping-particle":"","family":"Takahashi","given":"Yutaka","non-dropping-particle":"","parse-names":false,"suffix":""},{"dropping-particle":"","family":"Kimura","given":"Yutaka","non-dropping-particle":"","parse-names":false,"suffix":""},{"dropping-particle":"","family":"Oda","given":"Hisashi","non-dropping-particle":"","parse-names":false,"suffix":""},{"dropping-particle":"","family":"Tajima","given":"Yusuke","non-dropping-particle":"","parse-names":false,"suffix":""},{"dropping-particle":"","family":"Tamura","given":"Shigeyuki","non-dropping-particle":"","parse-names":false,"suffix":""},{"dropping-particle":"","family":"Sakurai","given":"Jo","non-dropping-particle":"","parse-names":false,"suffix":""},{"dropping-particle":"","family":"Wakasugi","given":"Takehiro","non-dropping-particle":"","parse-names":false,"suffix":""},{"dropping-particle":"","family":"Tatebe","given":"Shigeru","non-dropping-particle":"","parse-names":false,"suffix":""},{"dropping-particle":"","family":"Takahashi","given":"Masahiro","non-dropping-particle":"","parse-names":false,"suffix":""},{"dropping-particle":"","family":"Sakata","given":"Yuh","non-dropping-particle":"","parse-names":false,"suffix":""},{"dropping-particle":"","family":"Kitajima","given":"Masaki","non-dropping-particle":"","parse-names":false,"suffix":""},{"dropping-particle":"","family":"Sakamoto","given":"Junichi","non-dropping-particle":"","parse-names":false,"suffix":""},{"dropping-particle":"","family":"Saji","given":"Shigetoyo","non-dropping-particle":"","parse-names":false,"suffix":""}],"container-title":"Anti-Cancer Drugs","id":"ITEM-1","issue":"6","issued":{"date-parts":[["2011"]]},"page":"576-583","title":"Randomized phase II trial of first-line treatment with tailored irinotecan and S-1 therapy versus S-1 monotherapy for advanced or recurrent gastric carcinoma (JFMC31-0301)","type":"article-journal","volume":"22"},"uris":["http://www.mendeley.com/documents/?uuid=96127549-c582-422c-bfd3-dc49db82e9ba"]}],"mendeley":{"formattedCitation":"[22]","plainTextFormattedCitation":"[22]","previouslyFormattedCitation":"[22]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[22]</w:t>
            </w:r>
            <w:r w:rsidRPr="007D2E2F">
              <w:rPr>
                <w:rFonts w:ascii="Times New Roman" w:eastAsia="Times New Roman" w:hAnsi="Times New Roman"/>
                <w:color w:val="000000"/>
                <w:sz w:val="16"/>
                <w:szCs w:val="16"/>
              </w:rPr>
              <w:fldChar w:fldCharType="end"/>
            </w:r>
          </w:p>
        </w:tc>
        <w:tc>
          <w:tcPr>
            <w:tcW w:w="456" w:type="dxa"/>
            <w:tcBorders>
              <w:bottom w:val="single" w:sz="4" w:space="0" w:color="auto"/>
            </w:tcBorders>
            <w:shd w:val="clear" w:color="auto" w:fill="auto"/>
            <w:noWrap/>
            <w:hideMark/>
          </w:tcPr>
          <w:p w14:paraId="105DCF0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47</w:t>
            </w:r>
          </w:p>
        </w:tc>
        <w:tc>
          <w:tcPr>
            <w:tcW w:w="1708" w:type="dxa"/>
            <w:gridSpan w:val="2"/>
            <w:tcBorders>
              <w:bottom w:val="single" w:sz="4" w:space="0" w:color="auto"/>
            </w:tcBorders>
            <w:shd w:val="clear" w:color="auto" w:fill="auto"/>
            <w:noWrap/>
            <w:hideMark/>
          </w:tcPr>
          <w:p w14:paraId="79DBB87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w:t>
            </w:r>
          </w:p>
        </w:tc>
        <w:tc>
          <w:tcPr>
            <w:tcW w:w="1322" w:type="dxa"/>
            <w:tcBorders>
              <w:bottom w:val="single" w:sz="4" w:space="0" w:color="auto"/>
            </w:tcBorders>
            <w:shd w:val="clear" w:color="auto" w:fill="auto"/>
            <w:noWrap/>
            <w:hideMark/>
          </w:tcPr>
          <w:p w14:paraId="7D41DD7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37 (79)</w:t>
            </w:r>
          </w:p>
        </w:tc>
        <w:tc>
          <w:tcPr>
            <w:tcW w:w="1623" w:type="dxa"/>
            <w:gridSpan w:val="2"/>
            <w:tcBorders>
              <w:bottom w:val="single" w:sz="4" w:space="0" w:color="auto"/>
            </w:tcBorders>
            <w:shd w:val="clear" w:color="auto" w:fill="auto"/>
            <w:noWrap/>
            <w:hideMark/>
          </w:tcPr>
          <w:p w14:paraId="62DB004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63 (24-76)</w:t>
            </w:r>
          </w:p>
        </w:tc>
        <w:tc>
          <w:tcPr>
            <w:tcW w:w="1379" w:type="dxa"/>
            <w:tcBorders>
              <w:bottom w:val="single" w:sz="4" w:space="0" w:color="auto"/>
            </w:tcBorders>
            <w:shd w:val="clear" w:color="auto" w:fill="auto"/>
            <w:noWrap/>
            <w:hideMark/>
          </w:tcPr>
          <w:p w14:paraId="06A6144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tcBorders>
              <w:bottom w:val="single" w:sz="4" w:space="0" w:color="auto"/>
            </w:tcBorders>
            <w:shd w:val="clear" w:color="auto" w:fill="auto"/>
            <w:noWrap/>
            <w:hideMark/>
          </w:tcPr>
          <w:p w14:paraId="2C64F75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16E7956E" w14:textId="77777777" w:rsidTr="00DF4D7C">
        <w:trPr>
          <w:trHeight w:val="255"/>
        </w:trPr>
        <w:tc>
          <w:tcPr>
            <w:tcW w:w="2552" w:type="dxa"/>
            <w:tcBorders>
              <w:top w:val="single" w:sz="4" w:space="0" w:color="auto"/>
            </w:tcBorders>
            <w:shd w:val="clear" w:color="auto" w:fill="auto"/>
            <w:noWrap/>
            <w:hideMark/>
          </w:tcPr>
          <w:p w14:paraId="10F9C2AE" w14:textId="1DDCBF54"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lastRenderedPageBreak/>
              <w:t xml:space="preserve">Lee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{"citationItems":[{"id":"ITEM-1","itemData":{"DOI":"10.1038/sj.bjc.6604536","ISSN":"00070920","abstract":"This randomised multicentre phase II study was conducted to investigate the activity and safety of two oral fluoropyrimidines, capecitabine or S-1, in elderly patients with advanced gastric cancer (AGC). Elderly (&gt;or=65 years) chemo-naive patients with AGC were randomly assigned to receive capecitabine 1250 mg m(-2) two times daily on days 1-14 every 3 weeks or S-1 40-60 mg two times daily according to body surface area on days 1-28 every 6 weeks. Ninety-six patients were enrolled and 91 patients were randomised to capecitabine (N=46) or S-1 (N=45). Overall response rate, the primary end point, was 27.2% (95% CI, 14.1-40.4, 12 of 44 assessable patients) with capecitabine and 28.9% (95% CI, 15.6-42.1, 13 of 45) with S-1. Median times to progression and overall survival in the capecitabine arm (4.7 and 9.5 months, respectively) were similar to those in the S-1 arm (4.2 and 8.2 months, respectively). The incidence of grade 3-4 granulocytopenia was 6.8% with capecitabine and 4.8% with S-1. Grade 3-4 nonhaematologic toxicities were: asthenia (9.1% with capecitabine vs 7.1% with S-1), anorexia (6.8 vs 9.5%), diarrhoea (2.3 vs 0%), and hand-foot syndrome (6.8 vs 0%). Both capecitabine and S-1 monotherapies were active and tolerable as first-line treatment for elderly patients with AGC.","author":[{"dropping-particle":"","family":"Lee","given":"J. L.","non-dropping-particle":"","parse-names":false,"suffix":""},{"dropping-particle":"","family":"Kang","given":"Y. K.","non-dropping-particle":"","parse-names":false,"suffix":""},{"dropping-particle":"","family":"Kang","given":"H. J.","non-dropping-particle":"","parse-names":false,"suffix":""},{"dropping-particle":"","family":"Lee","given":"K. H.","non-dropping-particle":"","parse-names":false,"suffix":""},{"dropping-particle":"","family":"Zang","given":"D. Y.","non-dropping-particle":"","parse-names":false,"suffix":""},{"dropping-particle":"","family":"Ryoo","given":"B. Y.","non-dropping-particle":"","parse-names":false,"suffix":""},{"dropping-particle":"","family":"Kim","given":"J. G.","non-dropping-particle":"","parse-names":false,"suffix":""},{"dropping-particle":"","family":"Park","given":"S. R.","non-dropping-particle":"","parse-names":false,"suffix":""},{"dropping-particle":"","family":"Kang","given":"W. K.","non-dropping-particle":"","parse-names":false,"suffix":""},{"dropping-particle":"","family":"Shin","given":"D. B.","non-dropping-particle":"","parse-names":false,"suffix":""},{"dropping-particle":"","family":"Ryu","given":"M. H.","non-dropping-particle":"","parse-names":false,"suffix":""},{"dropping-particle":"","family":"Chang","given":"H. M.","non-dropping-particle":"","parse-names":false,"suffix":""},{"dropping-particle":"","family":"Kim","given":"T. W.","non-dropping-particle":"","parse-names":false,"suffix":""},{"dropping-particle":"","family":"Baek","given":"J. H.","non-dropping-particle":"","parse-names":false,"suffix":""},{"dropping-particle":"","family":"Min","given":"Y. J.","non-dropping-particle":"","parse-names":false,"suffix":""}],"container-title":"British Journal of Cancer","id":"ITEM-1","issue":"4","issued":{"date-parts":[["2008"]]},"page":"584-590","title":"A randomised multicentre phase II trial of capecitabine vs S-1 as first-line treatment in elderly patients with metastatic or recurrent unresectable gastric cancer","type":"article-journal","volume":"99"},"uris":["http://www.mendeley.com/documents/?uuid=c4602c73-b2f5-428f-a895-f7a68b575042"]}],"mendeley":{"formattedCitation":"[13]","plainTextFormattedCitation":"[13]","previouslyFormattedCitation":"[13]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[13]</w:t>
            </w:r>
            <w:r w:rsidRPr="007D2E2F">
              <w:rPr>
                <w:rFonts w:ascii="Times New Roman" w:eastAsia="Times New Roman" w:hAnsi="Times New Roman"/>
                <w:color w:val="000000"/>
                <w:sz w:val="16"/>
                <w:szCs w:val="16"/>
              </w:rPr>
              <w:fldChar w:fldCharType="end"/>
            </w:r>
          </w:p>
        </w:tc>
        <w:tc>
          <w:tcPr>
            <w:tcW w:w="456" w:type="dxa"/>
            <w:tcBorders>
              <w:top w:val="single" w:sz="4" w:space="0" w:color="auto"/>
            </w:tcBorders>
            <w:shd w:val="clear" w:color="auto" w:fill="auto"/>
            <w:noWrap/>
            <w:hideMark/>
          </w:tcPr>
          <w:p w14:paraId="58AE352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w:t>
            </w:r>
          </w:p>
        </w:tc>
        <w:tc>
          <w:tcPr>
            <w:tcW w:w="1708" w:type="dxa"/>
            <w:gridSpan w:val="2"/>
            <w:tcBorders>
              <w:top w:val="single" w:sz="4" w:space="0" w:color="auto"/>
            </w:tcBorders>
            <w:shd w:val="clear" w:color="auto" w:fill="auto"/>
            <w:noWrap/>
            <w:hideMark/>
          </w:tcPr>
          <w:p w14:paraId="2E39C58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w:t>
            </w:r>
          </w:p>
        </w:tc>
        <w:tc>
          <w:tcPr>
            <w:tcW w:w="1322" w:type="dxa"/>
            <w:tcBorders>
              <w:top w:val="single" w:sz="4" w:space="0" w:color="auto"/>
            </w:tcBorders>
            <w:shd w:val="clear" w:color="auto" w:fill="auto"/>
            <w:noWrap/>
            <w:hideMark/>
          </w:tcPr>
          <w:p w14:paraId="795B93E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37 (82)</w:t>
            </w:r>
          </w:p>
        </w:tc>
        <w:tc>
          <w:tcPr>
            <w:tcW w:w="1623" w:type="dxa"/>
            <w:gridSpan w:val="2"/>
            <w:tcBorders>
              <w:top w:val="single" w:sz="4" w:space="0" w:color="auto"/>
            </w:tcBorders>
            <w:shd w:val="clear" w:color="auto" w:fill="auto"/>
            <w:noWrap/>
            <w:hideMark/>
          </w:tcPr>
          <w:p w14:paraId="4945BFD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71 (65-82)</w:t>
            </w:r>
          </w:p>
        </w:tc>
        <w:tc>
          <w:tcPr>
            <w:tcW w:w="1379" w:type="dxa"/>
            <w:tcBorders>
              <w:top w:val="single" w:sz="4" w:space="0" w:color="auto"/>
            </w:tcBorders>
            <w:shd w:val="clear" w:color="auto" w:fill="auto"/>
            <w:noWrap/>
            <w:hideMark/>
          </w:tcPr>
          <w:p w14:paraId="13DC5FB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 (100)</w:t>
            </w:r>
          </w:p>
        </w:tc>
        <w:tc>
          <w:tcPr>
            <w:tcW w:w="797" w:type="dxa"/>
            <w:tcBorders>
              <w:top w:val="single" w:sz="4" w:space="0" w:color="auto"/>
            </w:tcBorders>
            <w:shd w:val="clear" w:color="auto" w:fill="auto"/>
            <w:noWrap/>
            <w:hideMark/>
          </w:tcPr>
          <w:p w14:paraId="0850981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 (4)</w:t>
            </w:r>
          </w:p>
        </w:tc>
      </w:tr>
      <w:tr w:rsidR="00B61A3A" w:rsidRPr="007D2E2F" w14:paraId="7B05E84D" w14:textId="77777777" w:rsidTr="00B61A3A">
        <w:trPr>
          <w:trHeight w:val="255"/>
        </w:trPr>
        <w:tc>
          <w:tcPr>
            <w:tcW w:w="4716" w:type="dxa"/>
            <w:gridSpan w:val="4"/>
            <w:shd w:val="clear" w:color="auto" w:fill="auto"/>
            <w:noWrap/>
            <w:hideMark/>
          </w:tcPr>
          <w:p w14:paraId="4D5C661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Cisplatin-containing doublet</w:t>
            </w:r>
          </w:p>
        </w:tc>
        <w:tc>
          <w:tcPr>
            <w:tcW w:w="1322" w:type="dxa"/>
            <w:shd w:val="clear" w:color="auto" w:fill="auto"/>
            <w:noWrap/>
            <w:hideMark/>
          </w:tcPr>
          <w:p w14:paraId="6CC564F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6BBFEF3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3D48D88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2EA7EB9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292F201E" w14:textId="77777777" w:rsidTr="00B61A3A">
        <w:trPr>
          <w:trHeight w:val="255"/>
        </w:trPr>
        <w:tc>
          <w:tcPr>
            <w:tcW w:w="4716" w:type="dxa"/>
            <w:gridSpan w:val="4"/>
            <w:shd w:val="clear" w:color="auto" w:fill="auto"/>
            <w:noWrap/>
            <w:hideMark/>
          </w:tcPr>
          <w:p w14:paraId="2CADDA1E" w14:textId="77777777" w:rsidR="00B61A3A" w:rsidRPr="007D2E2F" w:rsidRDefault="00B61A3A" w:rsidP="00B61A3A">
            <w:pPr>
              <w:tabs>
                <w:tab w:val="left" w:pos="2751"/>
              </w:tabs>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Cisplatin+5-FU</w:t>
            </w:r>
            <w:r w:rsidRPr="007D2E2F">
              <w:rPr>
                <w:rFonts w:ascii="Times New Roman" w:eastAsia="Times New Roman" w:hAnsi="Times New Roman"/>
                <w:color w:val="000000"/>
                <w:sz w:val="16"/>
                <w:szCs w:val="16"/>
              </w:rPr>
              <w:tab/>
            </w:r>
            <w:r w:rsidRPr="007D2E2F">
              <w:rPr>
                <w:rFonts w:ascii="Times New Roman" w:eastAsia="Times New Roman" w:hAnsi="Times New Roman"/>
                <w:color w:val="000000"/>
                <w:sz w:val="16"/>
                <w:szCs w:val="16"/>
                <w:u w:val="single"/>
              </w:rPr>
              <w:t>CF</w:t>
            </w:r>
          </w:p>
        </w:tc>
        <w:tc>
          <w:tcPr>
            <w:tcW w:w="1322" w:type="dxa"/>
            <w:shd w:val="clear" w:color="auto" w:fill="auto"/>
            <w:noWrap/>
            <w:hideMark/>
          </w:tcPr>
          <w:p w14:paraId="24958C6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1837837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24BC1DD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5FD27DC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1FD3B529" w14:textId="77777777" w:rsidTr="00B61A3A">
        <w:trPr>
          <w:trHeight w:val="277"/>
        </w:trPr>
        <w:tc>
          <w:tcPr>
            <w:tcW w:w="2552" w:type="dxa"/>
            <w:shd w:val="clear" w:color="auto" w:fill="auto"/>
            <w:noWrap/>
            <w:hideMark/>
          </w:tcPr>
          <w:p w14:paraId="0FEFF1EC" w14:textId="0DEDB8D6"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KRGCGC 1992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{"citationItems":[{"id":"ITEM-1","itemData":{"ISBN":"0250-7005","ISSN":"02507005","PMID":"1295444","abstract":"Sixty patients with inoperable or recurrent gastric cancers were randomly assigned into 2 treatment regimens: the FP regimen, consisting of cisplatin (CDDP, 50 mg/body, d1) + 5-fluorouracil (5-FU, 250 mg/body, d2-d5), or the FPEPIR regimen, CDDP+5-FU (FP) + 4'-epirubicin (EPIR, 30 mg/m2, d2), administered intravenously every 2 weeks. The objective responses were evaluated in 43 patients (FP: 21; FPEPIR: 22). The response rates were 24% (5PR/21) for FP and 27% (6PR/22) for FPEPIR. Objective responses were seen in 1 primary lesion and 4 metastatic lesions in patients on the FP regimen, and in 3 primary lesions and 4 metastatic lesions in patients on the FPEPIR regimen. The 6 month and 1 year survival rates were 34% and 13% for FP, and 55% and 27% for FPEPIR, respectively (not significant). Significantly higher survival rates were demonstrated in those patients with recurrent cancers (p &lt; 0.01) and those who responded to the FPEPIR regimen (p &lt; 0.05). Drug toxicities were assessed in 56 patients, and were in general mild and well tolerated. However, the FP regimen induced significantly less neutropenia (p &lt; 0.01) and less complete alopecia (p &lt; 0.01) than the did FPEPIR regimen. These results suggest that FPEPIR may be a more beneficial regimen for the treatment of gastric cancer than FP, and may be indicated for further clinical trials.","author":[{"dropping-particle":"","family":"Nio","given":"Y.","non-dropping-particle":"","parse-names":false,"suffix":""}],"container-title":"Anticancer Research","id":"ITEM-1","issue":"6 B","issued":{"date-parts":[["1992"]]},"page":"1983-1988","title":"A randomized, comparative study of combination chemotherapies in advanced gastric cancer: 5-Fluorouracil and cisplatin (FP) versus 5-Fluorouracil, cisplatin, and 4'-Epirubicin (FPEPIR)","type":"article-journal","volume":"12"},"uris":["http://www.mendeley.com/documents/?uuid=70bc610f-e4ce-45fa-86d0-0eb6893db458"]}],"mendeley":{"formattedCitation":"[23]","plainTextFormattedCitation":"[23]","previouslyFormattedCitation":"[23]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[23]</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320A81B"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26</w:t>
            </w:r>
          </w:p>
        </w:tc>
        <w:tc>
          <w:tcPr>
            <w:tcW w:w="1708" w:type="dxa"/>
            <w:gridSpan w:val="2"/>
            <w:shd w:val="clear" w:color="auto" w:fill="auto"/>
            <w:noWrap/>
            <w:hideMark/>
          </w:tcPr>
          <w:p w14:paraId="16DDBE3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shd w:val="clear" w:color="auto" w:fill="auto"/>
            <w:noWrap/>
            <w:hideMark/>
          </w:tcPr>
          <w:p w14:paraId="53D73CD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14 (54)</w:t>
            </w:r>
          </w:p>
        </w:tc>
        <w:tc>
          <w:tcPr>
            <w:tcW w:w="1623" w:type="dxa"/>
            <w:gridSpan w:val="2"/>
            <w:shd w:val="clear" w:color="auto" w:fill="auto"/>
            <w:noWrap/>
            <w:hideMark/>
          </w:tcPr>
          <w:p w14:paraId="0345F46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379" w:type="dxa"/>
            <w:shd w:val="clear" w:color="auto" w:fill="auto"/>
            <w:noWrap/>
            <w:hideMark/>
          </w:tcPr>
          <w:p w14:paraId="2DBEB7C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089D911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 (38)</w:t>
            </w:r>
          </w:p>
        </w:tc>
      </w:tr>
      <w:tr w:rsidR="00B61A3A" w:rsidRPr="007D2E2F" w14:paraId="137F9C72" w14:textId="77777777" w:rsidTr="00B61A3A">
        <w:trPr>
          <w:trHeight w:val="255"/>
        </w:trPr>
        <w:tc>
          <w:tcPr>
            <w:tcW w:w="2552" w:type="dxa"/>
            <w:shd w:val="clear" w:color="auto" w:fill="auto"/>
            <w:noWrap/>
            <w:hideMark/>
          </w:tcPr>
          <w:p w14:paraId="17D9BA44" w14:textId="5A3E070B"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Van Cutsem 2006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{"citationItems":[{"id":"ITEM-1","itemData":{"DOI":"10.1200/JCO.2006.06.8429","ISBN":"1527-7755 (Electronic)\\r0732-183X (Linking)","ISSN":"0732-183X","PMID":"17075117","abstract":"PURPOSE: In the randomized, multinational phase II/III trial (V325) of untreated advanced gastric cancer patients, the phase II part selected docetaxel, cisplatin, and fluorouracil (DCF) over docetaxel and cisplatin for comparison against cisplatin and fluorouracil (CF; reference regimen) in the phase III part. PATIENTS AND METHODS: Advanced gastric cancer patients were randomly assigned to docetaxel 75 mg/m2 and cisplatin 75 mg/m2 (day 1) plus fluorouracil 750 mg/m2/d (days 1 to 5) every 3 weeks or cisplatin 100 mg/m2 (day 1) plus fluorouracil 1,000 mg/m2/d (days 1 to 5) every 4 weeks. The primary end point was time-to-progression (TTP). RESULTS: In 445 randomly assigned and treated patients (DCF = 221; CF = 224), TTP was longer with DCF versus CF (32% risk reduction; log-rank P &lt; .001). Overall survival was longer with DCF versus CF (23% risk reduction; log-rank P = .02). Two-year survival rate was 18% with DCF and 9% with CF. Overall response rate was higher with DCF (chi2 P = .01). Grade 3 to 4 treatment-related adverse events occurred in 69% (DCF) v 59% (CF) of patients. Frequent grade 3 to 4 toxicities for DCF v CF were: neutropenia (82% v 57%), stomatitis (21% v 27%), diarrhea (19% v 8%), lethargy (19% v 14%). Complicated neutropenia was more frequent with DCF than CF (29% v 12%). CONCLUSION: Adding docetaxel to CF significantly improved TTP, survival, and response rate in gastric cancer patients, but resulted in some increase in toxicity. Incorporation of docetaxel, as in DCF or with other active drug(s), is a new therapy option for patients with untreated advanced gastric cancer.","author":[{"dropping-particle":"","family":"Cutsem","given":"Eric","non-dropping-particle":"Van","parse-names":false,"suffix":""},{"dropping-particle":"","family":"Moiseyenko","given":"Vladimir M.","non-dropping-particle":"","parse-names":false,"suffix":""},{"dropping-particle":"","family":"Tjulandin","given":"Sergei","non-dropping-particle":"","parse-names":false,"suffix":""},{"dropping-particle":"","family":"Majlis","given":"Alejandro","non-dropping-particle":"","parse-names":false,"suffix":""},{"dropping-particle":"","family":"Constenla","given":"Manuel","non-dropping-particle":"","parse-names":false,"suffix":""},{"dropping-particle":"","family":"Boni","given":"Corrado","non-dropping-particle":"","parse-names":false,"suffix":""},{"dropping-particle":"","family":"Rodrigues","given":"Adriano","non-dropping-particle":"","parse-names":false,"suffix":""},{"dropping-particle":"","family":"Fodor","given":"Miguel","non-dropping-particle":"","parse-names":false,"suffix":""},{"dropping-particle":"","family":"Chao","given":"Yee","non-dropping-particle":"","parse-names":false,"suffix":""},{"dropping-particle":"","family":"Voznyi","given":"Edouard","non-dropping-particle":"","parse-names":false,"suffix":""},{"dropping-particle":"","family":"Risse","given":"Marie-Laure","non-dropping-particle":"","parse-names":false,"suffix":""},{"dropping-particle":"","family":"Ajani","given":"Jaffer A.","non-dropping-particle":"","parse-names":false,"suffix":""}],"container-title":"Journal of Clinical Oncology","id":"ITEM-1","issue":"31","issued":{"date-parts":[["2006"]]},"page":"4991-4997","title":"Phase III Study of Docetaxel and Cisplatin Plus Fluorouracil Compared With Cisplatin and Fluorouracil As First-Line Therapy for Advanced Gastric Cancer: A Report of the V325 Study Group","type":"article-journal","volume":"24"},"uris":["http://www.mendeley.com/documents/?uuid=41907dbd-1f07-4b10-a074-bcd55963b7e1"]}],"mendeley":{"formattedCitation":"[24]","plainTextFormattedCitation":"[24]","previouslyFormattedCitation":"[24]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6CB8A6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224</w:t>
            </w:r>
          </w:p>
        </w:tc>
        <w:tc>
          <w:tcPr>
            <w:tcW w:w="1708" w:type="dxa"/>
            <w:gridSpan w:val="2"/>
            <w:shd w:val="clear" w:color="auto" w:fill="auto"/>
            <w:noWrap/>
            <w:hideMark/>
          </w:tcPr>
          <w:p w14:paraId="1989B17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shd w:val="clear" w:color="auto" w:fill="auto"/>
            <w:noWrap/>
            <w:hideMark/>
          </w:tcPr>
          <w:p w14:paraId="5269FB7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158 (71)</w:t>
            </w:r>
          </w:p>
        </w:tc>
        <w:tc>
          <w:tcPr>
            <w:tcW w:w="1623" w:type="dxa"/>
            <w:gridSpan w:val="2"/>
            <w:shd w:val="clear" w:color="auto" w:fill="auto"/>
            <w:noWrap/>
            <w:hideMark/>
          </w:tcPr>
          <w:p w14:paraId="46E1113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55 (25-76)</w:t>
            </w:r>
          </w:p>
        </w:tc>
        <w:tc>
          <w:tcPr>
            <w:tcW w:w="1379" w:type="dxa"/>
            <w:shd w:val="clear" w:color="auto" w:fill="auto"/>
            <w:noWrap/>
            <w:hideMark/>
          </w:tcPr>
          <w:p w14:paraId="435F71E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217 (97)</w:t>
            </w:r>
          </w:p>
        </w:tc>
        <w:tc>
          <w:tcPr>
            <w:tcW w:w="797" w:type="dxa"/>
            <w:shd w:val="clear" w:color="auto" w:fill="auto"/>
            <w:noWrap/>
            <w:hideMark/>
          </w:tcPr>
          <w:p w14:paraId="3FA0B65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(1)</w:t>
            </w:r>
          </w:p>
        </w:tc>
      </w:tr>
      <w:tr w:rsidR="00B61A3A" w:rsidRPr="007D2E2F" w14:paraId="383BD5A6" w14:textId="77777777" w:rsidTr="00B61A3A">
        <w:trPr>
          <w:trHeight w:val="255"/>
        </w:trPr>
        <w:tc>
          <w:tcPr>
            <w:tcW w:w="2552" w:type="dxa"/>
            <w:shd w:val="clear" w:color="auto" w:fill="auto"/>
            <w:noWrap/>
            <w:hideMark/>
          </w:tcPr>
          <w:p w14:paraId="21A1726B" w14:textId="07A8F723"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Wang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{"citationItems":[{"id":"ITEM-1","itemData":{"DOI":"10.1007/s10120-015-0457-4","ISBN":"1012001504","ISSN":"14363305","abstract":"Background: The V325 study showed that docetaxel, cisplatin, and fluorouracil (DCF) prolonged overall survival (OS) of patients with advanced gastric cancer, but with a high incidence of dose-limiting toxicities. We investigated the efficacy and safety of a modified DCF (mDCF) regimen for Chinese patients with advanced gastric cancer. Methods: Untreated advanced gastric cancer patients randomly received docetaxel and cisplatin at 60 mg/m (day 1) followed by fluorouracil at 600 mg/m/day (days 1-5; mDCF regimen) or cisplatin at 75 mg/m (day 1) followed by fluorouracil at 600 mg/m/day (days 1-5; CF) every 3 weeks. The primary end point was progression-free survival (PFS). The secondary end points were OS, overall response rate (ORR), time-to-treatment failure (TTF), and safety. Results: In total, 243 patients were randomized to treatment (mDCF regimen 121; CF 122). Compared with CF, the mDCF regimen significantly improved PFS and OS: the median PFS was 7.2 and 4.9 months, respectively [hazard ratio (HR) 0.58, log-rank P = 0.0008], and the median OS was 10.2 and 8.5 months, respectively (HR = 0.71, P = 0.0319). Additionally, the mDCF regimen improved the parameters used as secondary objectives: the ORR was 48.7 % with the mDCF regimen versus 33.9 % with CF ( P = 0.0244); the median TTF was 3.4 months with the mDCF regimen and 2.4 months with CF (HR = 0.67, P = 0.0027). Grade 3 and grade 4 treatment-related adverse events occurred in 77.3 % of patients who received the mDCF regimen versus 46.1 % of patients who received CF ( P &lt; 0.001). Conclusions: The mDCF regimen, compared with CF, significantly prolonged PFS and OS and enhanced ORR of Chinese patients with advanced gastric cancer. The mDCF regimen achieved efficacy comparable to that of DCF but with fewer toxicities, which is appropriate for the Chinese population. [ABSTRACT FROM AUTHOR]","author":[{"dropping-particle":"","family":"Wang","given":"Jinwan","non-dropping-particle":"","parse-names":false,"suffix":""},{"dropping-particle":"","family":"Xu","given":"Ruihua","non-dropping-particle":"","parse-names":false,"suffix":""},{"dropping-particle":"","family":"Li","given":"Jian","non-dropping-particle":"","parse-names":false,"suffix":""},{"dropping-particle":"","family":"Bai","given":"Yuxian","non-dropping-particle":"","parse-names":false,"suffix":""},{"dropping-particle":"","family":"Liu","given":"Tianshu","non-dropping-particle":"","parse-names":false,"suffix":""},{"dropping-particle":"","family":"Jiao","given":"Shunchang","non-dropping-particle":"","parse-names":false,"suffix":""},{"dropping-particle":"","family":"Dai","given":"Guanghai","non-dropping-particle":"","parse-names":false,"suffix":""},{"dropping-particle":"","family":"Xu","given":"Jianming","non-dropping-particle":"","parse-names":false,"suffix":""},{"dropping-particle":"","family":"Liu","given":"Yunpeng","non-dropping-particle":"","parse-names":false,"suffix":""},{"dropping-particle":"","family":"Fan","given":"Nanfeng","non-dropping-particle":"","parse-names":false,"suffix":""},{"dropping-particle":"","family":"Shu","given":"Yongqian","non-dropping-particle":"","parse-names":false,"suffix":""},{"dropping-particle":"","family":"Ba","given":"Yi","non-dropping-particle":"","parse-names":false,"suffix":""},{"dropping-particle":"","family":"Ma","given":"Dong","non-dropping-particle":"","parse-names":false,"suffix":""},{"dropping-particle":"","family":"Qin","given":"Shukui","non-dropping-particle":"","parse-names":false,"suffix":""},{"dropping-particle":"","family":"Zheng","given":"Leizhen","non-dropping-particle":"","parse-names":false,"suffix":""},{"dropping-particle":"","family":"Chen","given":"Weichang","non-dropping-particle":"","parse-names":false,"suffix":""},{"dropping-particle":"","family":"Shen","given":"Lin","non-dropping-particle":"","parse-names":false,"suffix":""}],"container-title":"Gastric Cancer","id":"ITEM-1","issue":"1","issued":{"date-parts":[["2015"]]},"page":"234-244","title":"Randomized multicenter phase III study of a modified docetaxel and cisplatin plus fluorouracil regimen compared with cisplatin and fluorouracil as first-line therapy for advanced or locally recurrent gastric cancer","type":"article-journal","volume":"19"},"uris":["http://www.mendeley.com/documents/?uuid=8fbe78c5-bf2d-4584-8dad-ed36857cca95"]}],"mendeley":{"formattedCitation":"[25]","plainTextFormattedCitation":"[25]","previouslyFormattedCitation":"[25]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9AF44C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115</w:t>
            </w:r>
          </w:p>
        </w:tc>
        <w:tc>
          <w:tcPr>
            <w:tcW w:w="1708" w:type="dxa"/>
            <w:gridSpan w:val="2"/>
            <w:shd w:val="clear" w:color="auto" w:fill="auto"/>
            <w:noWrap/>
            <w:hideMark/>
          </w:tcPr>
          <w:p w14:paraId="63EE017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shd w:val="clear" w:color="auto" w:fill="auto"/>
            <w:noWrap/>
            <w:hideMark/>
          </w:tcPr>
          <w:p w14:paraId="3CBC4D5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88 (77)</w:t>
            </w:r>
          </w:p>
        </w:tc>
        <w:tc>
          <w:tcPr>
            <w:tcW w:w="1623" w:type="dxa"/>
            <w:gridSpan w:val="2"/>
            <w:shd w:val="clear" w:color="auto" w:fill="auto"/>
            <w:noWrap/>
            <w:hideMark/>
          </w:tcPr>
          <w:p w14:paraId="1EF0B5A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(33-74)</w:t>
            </w:r>
          </w:p>
        </w:tc>
        <w:tc>
          <w:tcPr>
            <w:tcW w:w="1379" w:type="dxa"/>
            <w:shd w:val="clear" w:color="auto" w:fill="auto"/>
            <w:noWrap/>
            <w:hideMark/>
          </w:tcPr>
          <w:p w14:paraId="1375FC2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115 (100)</w:t>
            </w:r>
          </w:p>
        </w:tc>
        <w:tc>
          <w:tcPr>
            <w:tcW w:w="797" w:type="dxa"/>
            <w:shd w:val="clear" w:color="auto" w:fill="auto"/>
            <w:noWrap/>
            <w:hideMark/>
          </w:tcPr>
          <w:p w14:paraId="3057ED6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 (6)</w:t>
            </w:r>
          </w:p>
        </w:tc>
      </w:tr>
      <w:tr w:rsidR="00B61A3A" w:rsidRPr="007D2E2F" w14:paraId="1C13A097" w14:textId="77777777" w:rsidTr="00B61A3A">
        <w:trPr>
          <w:trHeight w:val="417"/>
        </w:trPr>
        <w:tc>
          <w:tcPr>
            <w:tcW w:w="2552" w:type="dxa"/>
            <w:shd w:val="clear" w:color="auto" w:fill="auto"/>
            <w:noWrap/>
            <w:hideMark/>
          </w:tcPr>
          <w:p w14:paraId="6A80087C" w14:textId="7EB2E1B3"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Lutz 2007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{"citationItems":[{"id":"ITEM-1","itemData":{"DOI":"10.1200/JCO.2007.11.1666","ISBN":"0732-183X","ISSN":"0732183X","PMID":"17577037","abstract":"PURPOSE: This multicentric, randomized, two-stage phase II trial evaluated three simplified weekly infusional regimens of fluorouracil (FU) or FU plus folinic acid (FA) and cisplatin (Cis) with the aim to select a regimen for future phase III trials. PATIENTS AND METHODS: A total of 145 patients with advanced gastric cancer where randomly assigned to weekly FU 3,000 mg/m2/24 hours (HD-FU), FU 2,600 mg/m2/24 hours plus dl-FA 500 mg/m2 or l-FA 250 mg/m2 (HD-FU/FA), or FU 2000 mg/m2/24 hours plus FA plus biweekly Cis 50 mg/m2, each administered for 6 weeks with a 1-week rest. The primary end point was the response rate. RESULTS: Confirmed responses were observed in 6.1% (two of 33) of the eligible patients treated with HD-FU, in 25% (12 of 48, including one complete remission [CR]) with HD-FU/FA, and in 45.7% (21 of 46, including four CRs) with HD-FU/FA/Cis. The HD-FU arm was closed after stage 1 because the required minimum number of responses was not met. The median progression-free survival of all patients in the HD-FU, HD-FU/FA, and HD-FU/FA/Cis arm was 1.9, 4.0, and 6.1 months, respectively. The median overall survival was 7.1, 8.9, and 9.7 months, and the survival rate at 1 year was 24.3%, 30.3%, and 45.3%, respectively. Grade 4 toxicities were rare. The most relevant grade 3/4 toxicities were neutropenia in 1.9%, 5.4%, and 19.6%, and diarrhea in 2.7%, 1.9%, and 3.9% of the cycles in the HD-FU, HD-FU/FA, and HD-/FU/Cis arms, respectively. CONCLUSION: Weekly infusional FU/FA plus biweekly Cis is effective and safe in patients with gastric cancer.","author":[{"dropping-particle":"","family":"Lutz","given":"Manfred P.","non-dropping-particle":"","parse-names":false,"suffix":""},{"dropping-particle":"","family":"Wilke","given":"Hansjochen","non-dropping-particle":"","parse-names":false,"suffix":""},{"dropping-particle":"","family":"Wagener","given":"D. J Theo","non-dropping-particle":"","parse-names":false,"suffix":""},{"dropping-particle":"","family":"Vanhoefer","given":"Udo","non-dropping-particle":"","parse-names":false,"suffix":""},{"dropping-particle":"","family":"Jeziorski","given":"Krzysztof","non-dropping-particle":"","parse-names":false,"suffix":""},{"dropping-particle":"","family":"Hegewisch-Becker","given":"Susanna","non-dropping-particle":"","parse-names":false,"suffix":""},{"dropping-particle":"","family":"Balleisen","given":"Leopold","non-dropping-particle":"","parse-names":false,"suffix":""},{"dropping-particle":"","family":"Joossens","given":"Eric","non-dropping-particle":"","parse-names":false,"suffix":""},{"dropping-particle":"","family":"Jansen","given":"Rob L.","non-dropping-particle":"","parse-names":false,"suffix":""},{"dropping-particle":"","family":"Debois","given":"Muriel","non-dropping-particle":"","parse-names":false,"suffix":""},{"dropping-particle":"","family":"Bethe","given":"Ullrich","non-dropping-particle":"","parse-names":false,"suffix":""},{"dropping-particle":"","family":"Praet","given":"Michel","non-dropping-particle":"","parse-names":false,"suffix":""},{"dropping-particle":"","family":"Wils","given":"Jacques","non-dropping-particle":"","parse-names":false,"suffix":""},{"dropping-particle":"","family":"Cutsem","given":"Eric","non-dropping-particle":"Van","parse-names":false,"suffix":""}],"container-title":"Journal of Clinical Oncology","id":"ITEM-1","issue":"18","issued":{"date-parts":[["2007"]]},"page":"2580-2585","title":"Weekly infusional high-dose fluorouracil (HD-FU), HD-FU plus folinic acid (HD-FU/FA), or HD-FU/FA plus biweekly cisplatin in advanced gastric cancer: Randomized phase II trial 40953 of the European organisation for research and treatment of cancer gastroi","type":"article-journal","volume":"25"},"uris":["http://www.mendeley.com/documents/?uuid=b9b1feb6-46c2-4497-84ea-ffd1ad8e7c1b"]}],"mendeley":{"formattedCitation":"[6]","plainTextFormattedCitation":"[6]","previouslyFormattedCitation":"[6]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CD26C5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51</w:t>
            </w:r>
          </w:p>
        </w:tc>
        <w:tc>
          <w:tcPr>
            <w:tcW w:w="1708" w:type="dxa"/>
            <w:gridSpan w:val="2"/>
            <w:shd w:val="clear" w:color="auto" w:fill="auto"/>
            <w:noWrap/>
            <w:hideMark/>
          </w:tcPr>
          <w:p w14:paraId="3F922F2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Cis+HD-5-FU/LV</w:t>
            </w:r>
          </w:p>
        </w:tc>
        <w:tc>
          <w:tcPr>
            <w:tcW w:w="1322" w:type="dxa"/>
            <w:shd w:val="clear" w:color="auto" w:fill="auto"/>
            <w:noWrap/>
            <w:hideMark/>
          </w:tcPr>
          <w:p w14:paraId="6627A8D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40 (78)</w:t>
            </w:r>
          </w:p>
        </w:tc>
        <w:tc>
          <w:tcPr>
            <w:tcW w:w="1623" w:type="dxa"/>
            <w:gridSpan w:val="2"/>
            <w:shd w:val="clear" w:color="auto" w:fill="auto"/>
            <w:noWrap/>
            <w:hideMark/>
          </w:tcPr>
          <w:p w14:paraId="1A84E00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(39-75)</w:t>
            </w:r>
          </w:p>
        </w:tc>
        <w:tc>
          <w:tcPr>
            <w:tcW w:w="1379" w:type="dxa"/>
            <w:shd w:val="clear" w:color="auto" w:fill="auto"/>
            <w:noWrap/>
            <w:hideMark/>
          </w:tcPr>
          <w:p w14:paraId="76932E8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51 (100)</w:t>
            </w:r>
          </w:p>
        </w:tc>
        <w:tc>
          <w:tcPr>
            <w:tcW w:w="797" w:type="dxa"/>
            <w:shd w:val="clear" w:color="auto" w:fill="auto"/>
            <w:noWrap/>
            <w:hideMark/>
          </w:tcPr>
          <w:p w14:paraId="076DD86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 (4)</w:t>
            </w:r>
          </w:p>
        </w:tc>
      </w:tr>
      <w:tr w:rsidR="00B61A3A" w:rsidRPr="007D2E2F" w14:paraId="71419F13" w14:textId="77777777" w:rsidTr="00B61A3A">
        <w:trPr>
          <w:trHeight w:val="255"/>
        </w:trPr>
        <w:tc>
          <w:tcPr>
            <w:tcW w:w="2552" w:type="dxa"/>
            <w:shd w:val="clear" w:color="auto" w:fill="auto"/>
            <w:noWrap/>
            <w:hideMark/>
          </w:tcPr>
          <w:p w14:paraId="38048B09" w14:textId="62C9D72E"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Ohtsu 2003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{"citationItems":[{"id":"ITEM-1","itemData":{"DOI":"10.1200/JCO.2003.04.130","ISBN":"0732-183X","ISSN":"15277755","PMID":"12506170","abstract":"PURPOSE: To compare fluorouracil (FU) alone with FU plus cisplatin (FP) and with uracil and tegafur plus mitomycin (UFTM) for patients with advanced gastric cancer in a prospective, randomized, controlled trial.\\n\\nPATIENTS AND METHODS: A total of 280 patients with advanced gastric cancer were randomly allocated and analyzed for survival, response, and toxicity. The survival curves were compared between groups by log-rank test on an intent-to-treat basis.\\n\\nRESULTS: At the interim analysis, the UFTM arm showed a significantly inferior survival with higher incidences of hematologic toxic effects than did control arm FU alone, and the registration to UFTM was terminated. Both investigational regimens, FP and UFTM, had a significantly higher incidence of hematologic toxic effects than FU alone, although the effects were manageable. The overall response rates of the FU-alone, FP, and UFTM arms were 11%, 34%, and 9%, respectively. The median progression-free survival was 1.9 months with FU alone, 3.9 months with FP, and 2.4 months with UFTM, respectively. Although FP demonstrated a higher response rate (P &lt;.001) and longer progression-free survival than did FU alone (P &lt;.001), no differences in overall survival were observed between the arms. The median survival times and 1-year survival rates were 7.1 months and 28% with FU, 7.3 months and 29% with FP, and 6.0 months and 16% with UFTM, respectively.\\n\\nCONCLUSION: Neither investigational regimen, FP nor UFTM, showed a survival advantage as compared with FU alone. FU alone will remain a reference arm in our future trial for advanced gastric cancer.","author":[{"dropping-particle":"","family":"Ohtsu","given":"Atsushi","non-dropping-particle":"","parse-names":false,"suffix":""},{"dropping-particle":"","family":"Shimada","given":"Yasuhiro","non-dropping-particle":"","parse-names":false,"suffix":""},{"dropping-particle":"","family":"Shirao","given":"Kuniaki","non-dropping-particle":"","parse-names":false,"suffix":""},{"dropping-particle":"","family":"Boku","given":"Narikazu","non-dropping-particle":"","parse-names":false,"suffix":""},{"dropping-particle":"","family":"Hyodo","given":"Ichinosuke","non-dropping-particle":"","parse-names":false,"suffix":""},{"dropping-particle":"","family":"Saito","given":"Hiroshi","non-dropping-particle":"","parse-names":false,"suffix":""},{"dropping-particle":"","family":"Yamamichi","given":"Noboru","non-dropping-particle":"","parse-names":false,"suffix":""},{"dropping-particle":"","family":"Miyata","given":"Yoshinori","non-dropping-particle":"","parse-names":false,"suffix":""},{"dropping-particle":"","family":"Ikeda","given":"Nobumasa","non-dropping-particle":"","parse-names":false,"suffix":""},{"dropping-particle":"","family":"Yamamoto","given":"Seiichiro","non-dropping-particle":"","parse-names":false,"suffix":""},{"dropping-particle":"","family":"Fukuda","given":"Haruhiko","non-dropping-particle":"","parse-names":false,"suffix":""},{"dropping-particle":"","family":"Yoshida","given":"Shigeaki","non-dropping-particle":"","parse-names":false,"suffix":""}],"container-title":"Journal of Clinical Oncology","id":"ITEM-1","issue":"1","issued":{"date-parts":[["2003"]]},"page":"54-59","title":"Randomized phase III trial of fluorouracil alone versus fluorouracil plus cisplatin versus uracil and tegafur plus mitomycin in patients with unresectable, advanced gastric cancer: The Japan clinical oncology group study (JCOG9205)","type":"article-journal","volume":"21"},"uris":["http://www.mendeley.com/documents/?uuid=434322f7-fdc5-4c41-86e5-b63b9476e8d6"]}],"mendeley":{"formattedCitation":"[7]","plainTextFormattedCitation":"[7]","previouslyFormattedCitation":"[7]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156AB5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102</w:t>
            </w:r>
          </w:p>
        </w:tc>
        <w:tc>
          <w:tcPr>
            <w:tcW w:w="1708" w:type="dxa"/>
            <w:gridSpan w:val="2"/>
            <w:shd w:val="clear" w:color="auto" w:fill="auto"/>
            <w:noWrap/>
            <w:hideMark/>
          </w:tcPr>
          <w:p w14:paraId="14F8F97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shd w:val="clear" w:color="auto" w:fill="auto"/>
            <w:noWrap/>
            <w:hideMark/>
          </w:tcPr>
          <w:p w14:paraId="2E87D6B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77 (75)</w:t>
            </w:r>
          </w:p>
        </w:tc>
        <w:tc>
          <w:tcPr>
            <w:tcW w:w="1623" w:type="dxa"/>
            <w:gridSpan w:val="2"/>
            <w:shd w:val="clear" w:color="auto" w:fill="auto"/>
            <w:noWrap/>
            <w:hideMark/>
          </w:tcPr>
          <w:p w14:paraId="2C4463E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63 (19-75)</w:t>
            </w:r>
          </w:p>
        </w:tc>
        <w:tc>
          <w:tcPr>
            <w:tcW w:w="1379" w:type="dxa"/>
            <w:shd w:val="clear" w:color="auto" w:fill="auto"/>
            <w:noWrap/>
            <w:hideMark/>
          </w:tcPr>
          <w:p w14:paraId="56B9445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90 (86)</w:t>
            </w:r>
          </w:p>
        </w:tc>
        <w:tc>
          <w:tcPr>
            <w:tcW w:w="797" w:type="dxa"/>
            <w:shd w:val="clear" w:color="auto" w:fill="auto"/>
            <w:noWrap/>
            <w:hideMark/>
          </w:tcPr>
          <w:p w14:paraId="1C7FE35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 (10)</w:t>
            </w:r>
          </w:p>
        </w:tc>
      </w:tr>
      <w:tr w:rsidR="00B61A3A" w:rsidRPr="007D2E2F" w14:paraId="770CD825" w14:textId="77777777" w:rsidTr="00B61A3A">
        <w:trPr>
          <w:trHeight w:val="255"/>
        </w:trPr>
        <w:tc>
          <w:tcPr>
            <w:tcW w:w="2552" w:type="dxa"/>
            <w:shd w:val="clear" w:color="auto" w:fill="auto"/>
            <w:noWrap/>
            <w:hideMark/>
          </w:tcPr>
          <w:p w14:paraId="7D80A29F" w14:textId="6D60CD2F"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Bouché 2004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2004.01.140","ISSN":"0732183X","author":[{"dropping-particle":"","family":"Bouché","given":"Olivier","non-dropping-particle":"","parse-names":false,"suffix":""},{"dropping-particle":"","family":"Raoul","given":"Jean Luc","non-dropping-particle":"","parse-names":false,"suffix":""},{"dropping-particle":"","family":"Bonnetain","given":"Franck","non-dropping-particle":"","parse-names":false,"suffix":""},{"dropping-particle":"","family":"Giovannini","given":"Marc","non-dropping-particle":"","parse-names":false,"suffix":""},{"dropping-particle":"","family":"Etienne","given":"Pierre Luc","non-dropping-particle":"","parse-names":false,"suffix":""},{"dropping-particle":"","family":"Lledo","given":"Gérard","non-dropping-particle":"","parse-names":false,"suffix":""},{"dropping-particle":"","family":"Arsène","given":"Dominique","non-dropping-particle":"","parse-names":false,"suffix":""},{"dropping-particle":"","family":"Paitel","given":"Jean Francois","non-dropping-particle":"","parse-names":false,"suffix":""},{"dropping-particle":"","family":"Guérin-Meyer","given":"Véronique","non-dropping-particle":"","parse-names":false,"suffix":""},{"dropping-particle":"","family":"Mitry","given":"Emmanuel","non-dropping-particle":"","parse-names":false,"suffix":""},{"dropping-particle":"","family":"Buecher","given":"Bruno","non-dropping-particle":"","parse-names":false,"suffix":""},{"dropping-particle":"","family":"Kaminsky","given":"Marie Christine","non-dropping-particle":"","parse-names":false,"suffix":""},{"dropping-particle":"","family":"Seitz","given":"Jean François","non-dropping-particle":"","parse-names":false,"suffix":""},{"dropping-particle":"","family":"Rangier","given":"Philippe","non-dropping-particle":"","parse-names":false,"suffix":""},{"dropping-particle":"","family":"Bedenne","given":"Laurent","non-dropping-particle":"","parse-names":false,"suffix":""},{"dropping-particle":"","family":"Milan","given":"Chantal","non-dropping-particle":"","parse-names":false,"suffix":""}],"container-title":"Journal of Clinical Oncology","id":"ITEM-1","issue":"21","issued":{"date-parts":[["2004"]]},"page":"4319-4328","title":"Randomized multicenter phase II trial of a biweekly regimen of fluorouracil and leucovorin (LV5FU2), LV5FU2 plus cisplatin, or LV5FU2 plus irinotecan in patients with previously untreated metastatic gastric cancer: A Fédération Francophone de Cancérologie","type":"article-journal","volume":"22"},"uris":["http://www.mendeley.com/documents/?uuid=012e2b10-1da7-44c8-9339-80f65d3cf38f"]}],"mendeley":{"formattedCitation":"[4]","plainTextFormattedCitation":"[4]","previouslyFormattedCitation":"[4]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AEB9E6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44</w:t>
            </w:r>
          </w:p>
        </w:tc>
        <w:tc>
          <w:tcPr>
            <w:tcW w:w="1708" w:type="dxa"/>
            <w:gridSpan w:val="2"/>
            <w:shd w:val="clear" w:color="auto" w:fill="auto"/>
            <w:noWrap/>
            <w:hideMark/>
          </w:tcPr>
          <w:p w14:paraId="4C27C96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Cis+5-FU/LV</w:t>
            </w:r>
          </w:p>
        </w:tc>
        <w:tc>
          <w:tcPr>
            <w:tcW w:w="1322" w:type="dxa"/>
            <w:shd w:val="clear" w:color="auto" w:fill="auto"/>
            <w:noWrap/>
            <w:hideMark/>
          </w:tcPr>
          <w:p w14:paraId="2D65556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35 (80)</w:t>
            </w:r>
          </w:p>
        </w:tc>
        <w:tc>
          <w:tcPr>
            <w:tcW w:w="1623" w:type="dxa"/>
            <w:gridSpan w:val="2"/>
            <w:shd w:val="clear" w:color="auto" w:fill="auto"/>
            <w:noWrap/>
            <w:hideMark/>
          </w:tcPr>
          <w:p w14:paraId="238AD92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(43-76)</w:t>
            </w:r>
          </w:p>
        </w:tc>
        <w:tc>
          <w:tcPr>
            <w:tcW w:w="1379" w:type="dxa"/>
            <w:shd w:val="clear" w:color="auto" w:fill="auto"/>
            <w:noWrap/>
            <w:hideMark/>
          </w:tcPr>
          <w:p w14:paraId="20B909C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44 (100)</w:t>
            </w:r>
          </w:p>
        </w:tc>
        <w:tc>
          <w:tcPr>
            <w:tcW w:w="797" w:type="dxa"/>
            <w:shd w:val="clear" w:color="auto" w:fill="auto"/>
            <w:noWrap/>
            <w:hideMark/>
          </w:tcPr>
          <w:p w14:paraId="75B9E18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 (25)</w:t>
            </w:r>
          </w:p>
        </w:tc>
      </w:tr>
      <w:tr w:rsidR="00B61A3A" w:rsidRPr="007D2E2F" w14:paraId="2F690199" w14:textId="77777777" w:rsidTr="00B61A3A">
        <w:trPr>
          <w:trHeight w:val="255"/>
        </w:trPr>
        <w:tc>
          <w:tcPr>
            <w:tcW w:w="2552" w:type="dxa"/>
            <w:shd w:val="clear" w:color="auto" w:fill="auto"/>
            <w:noWrap/>
            <w:hideMark/>
          </w:tcPr>
          <w:p w14:paraId="42CCEBF7" w14:textId="4B1AF3D6"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Dank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{"citationItems":[{"id":"ITEM-1","itemData":{"DOI":"10.1093/annonc/mdn166","ISBN":"0923-7534","ISSN":"09237534","PMID":"18558665","abstract":"BACKGROUND: We aimed to establish the superiority (or noninferiority if superiority was not achieved) in terms of time to progression (TTP) of irinotecan/5-fluorouracil (IF) over cisplatin/5-fluorouracil (CF) in chemonaive patients with adenocarcinoma of the stomach/esophagogastric junction.\\n\\nPATIENTS AND METHODS: Patients received either IF: i.v. irinotecan 80 mg/m(2) 30 min, folinic acid 500 mg/m(2) 2 h, 5-fluorouracil (5-FU) 2000 mg/m(2) 22 h, for 6/7 weeks or CF: cisplatin 100 mg/m(2) 1-3 h, with 5-FU 1000 mg/m(2)/day 24 h, days 1-5, every 4 weeks.\\n\\nRESULTS: In all, 333 patients were randomized and treated (IF 170, CF 163). Patient characteristics were balanced except more IF patients had Karnofsky performance status 100%. TTP for IF was 5.0 months [95% confidence interval (CI) 3.8-5.8] and 4.2 months (95% CI 3.7-5.5) for CF (P = 0.088). Overall survival (OS) was 9.0 versus 8.7 months, response rate 31.8% versus 25.8%, time to treatment failure (TTF) 4.0 versus 3.4 months for IF and CF, respectively. The difference in TTF was statistically significant (P = 0.018). IF was better in terms of toxic deaths (0.6% versus 3%), discontinuation for toxicity (10.0% versus 21.5%), severe neutropenia, thrombocytopenia and stomatitis, but not diarrhea.\\n\\nCONCLUSION: IF did not yield a significant TTP or OS superiority over CF, and the results of noninferiority of IF were borderline. However, IF may provide a viable, platinum-free front-line treatment alternative for metastatic gastric cancer.","author":[{"dropping-particle":"","family":"Dank","given":"M.","non-dropping-particle":"","parse-names":false,"suffix":""},{"dropping-particle":"","family":"Zaluski","given":"J.","non-dropping-particle":"","parse-names":false,"suffix":""},{"dropping-particle":"","family":"Barone","given":"C.","non-dropping-particle":"","parse-names":false,"suffix":""},{"dropping-particle":"","family":"Valvere","given":"V.","non-dropping-particle":"","parse-names":false,"suffix":""},{"dropping-particle":"","family":"Yalcin","given":"S.","non-dropping-particle":"","parse-names":false,"suffix":""},{"dropping-particle":"","family":"Peschel","given":"C.","non-dropping-particle":"","parse-names":false,"suffix":""},{"dropping-particle":"","family":"Wenczl","given":"M.","non-dropping-particle":"","parse-names":false,"suffix":""},{"dropping-particle":"","family":"Goker","given":"E.","non-dropping-particle":"","parse-names":false,"suffix":""},{"dropping-particle":"","family":"Cisar","given":"L.","non-dropping-particle":"","parse-names":false,"suffix":""},{"dropping-particle":"","family":"Wang","given":"K.","non-dropping-particle":"","parse-names":false,"suffix":""},{"dropping-particle":"","family":"Bugat","given":"Ronald","non-dropping-particle":"","parse-names":false,"suffix":""}],"container-title":"Annals of Oncology","id":"ITEM-1","issue":"8","issued":{"date-parts":[["2008"]]},"page":"1450-1457","title":"Randomized phase III study comparing irinotecan combined with 5-fluorouracil and folinic acid to cisplatin combined with 5-fluorouracil in chemotherapy naive patients with advanced adenocarcinoma of the stomach or esophagogastric junction","type":"article-journal","volume":"19"},"uris":["http://www.mendeley.com/documents/?uuid=facbddd4-4150-425f-9ecb-3704e3150e19"]}],"mendeley":{"formattedCitation":"[26]","plainTextFormattedCitation":"[26]","previouslyFormattedCitation":"[26]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A854B8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163</w:t>
            </w:r>
          </w:p>
        </w:tc>
        <w:tc>
          <w:tcPr>
            <w:tcW w:w="1708" w:type="dxa"/>
            <w:gridSpan w:val="2"/>
            <w:shd w:val="clear" w:color="auto" w:fill="auto"/>
            <w:noWrap/>
            <w:hideMark/>
          </w:tcPr>
          <w:p w14:paraId="76B064D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shd w:val="clear" w:color="auto" w:fill="auto"/>
            <w:noWrap/>
            <w:hideMark/>
          </w:tcPr>
          <w:p w14:paraId="68199FA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108 (66)</w:t>
            </w:r>
          </w:p>
        </w:tc>
        <w:tc>
          <w:tcPr>
            <w:tcW w:w="1623" w:type="dxa"/>
            <w:gridSpan w:val="2"/>
            <w:shd w:val="clear" w:color="auto" w:fill="auto"/>
            <w:noWrap/>
            <w:hideMark/>
          </w:tcPr>
          <w:p w14:paraId="3A0E231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59 (28-77)</w:t>
            </w:r>
          </w:p>
        </w:tc>
        <w:tc>
          <w:tcPr>
            <w:tcW w:w="1379" w:type="dxa"/>
            <w:shd w:val="clear" w:color="auto" w:fill="auto"/>
            <w:noWrap/>
            <w:hideMark/>
          </w:tcPr>
          <w:p w14:paraId="4B64A19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155 (95)</w:t>
            </w:r>
          </w:p>
        </w:tc>
        <w:tc>
          <w:tcPr>
            <w:tcW w:w="797" w:type="dxa"/>
            <w:shd w:val="clear" w:color="auto" w:fill="auto"/>
            <w:noWrap/>
            <w:hideMark/>
          </w:tcPr>
          <w:p w14:paraId="6E96EF5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 (1)</w:t>
            </w:r>
          </w:p>
        </w:tc>
      </w:tr>
      <w:tr w:rsidR="00B61A3A" w:rsidRPr="007D2E2F" w14:paraId="5E8F6330" w14:textId="77777777" w:rsidTr="00B61A3A">
        <w:trPr>
          <w:trHeight w:val="255"/>
        </w:trPr>
        <w:tc>
          <w:tcPr>
            <w:tcW w:w="2552" w:type="dxa"/>
            <w:shd w:val="clear" w:color="auto" w:fill="auto"/>
            <w:noWrap/>
            <w:hideMark/>
          </w:tcPr>
          <w:p w14:paraId="6A6F2385" w14:textId="69E7FE6F"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Al-Batran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{"citationItems":[{"id":"ITEM-1","itemData":{"DOI":"10.1200/JCO.2007.13.9378","ISBN":"1527-7755 (Electronic)\\r0732-183X (Linking)","ISSN":"0732-183X","PMID":"18349393","abstract":"PURPOSE: This study was designed to compare fluorouracil, leucovorin, and oxaliplatin with fluorouracil, leucovorin, and cisplatin in patients with advanced gastric cancer. PATIENTS AND METHODS: Patients with previously untreated advanced adenocarcinoma of the stomach or esophagogastric junction were randomly assigned to receive either fluorouracil 2,600 mg/m(2) via 24-hour infusion, leucovorin 200 mg/m(2), and oxaliplatin 85 mg/m(2) (FLO) every 2 weeks or fluorouracil 2,000 mg/m(2) via 24-hour infusion, leucovorin 200 mg/m(2) weekly, and cisplatin 50 mg/m(2) every 2 weeks (FLP). The primary end point was progression-free survival (PFS). RESULTS: Two hundred twenty patients (median age, 64 years; metastatic, 94%) were randomly assigned. FLO was associated with significantly less (any grade) anemia (54% v 72%), nausea (53% v 70%), vomiting (31% v 52%), alopecia (22% v 39%), fatigue (19% v 34%), renal toxicity (11% v 34%), thromboembolic events (0.9% v 7.8%), and serious adverse events related to the treatment (9% v 19%). FLP was associated with significantly less peripheral neuropathy (22% v 63%). There was a trend toward improved median PFS with FLO versus FLP (5.8 v 3.9 months, respectively; P = .077) and no significant difference in median overall survival (10.7 v 8.8 months, respectively). However, in patients older than 65 years (n = 94), treatment with FLO resulted in significantly superior response rates (41.3% v 16.7%; P = .012), time to treatment failure (5.4 v 2.3 months; P &lt; .001), and PFS (6.0 v 3.1 month; P = .029) and an improved OS (13.9 v 7.2 months) as compared with FLP, respectively. CONCLUSION: FLO reduced toxicity as compared with FLP. In older adult patients, FLO also seemed to be associated with improved efficacy.","author":[{"dropping-particle":"","family":"Al-Batran","given":"Salah-Eddin","non-dropping-particle":"","parse-names":false,"suffix":""},{"dropping-particle":"","family":"Hartmann","given":"Joerg Thomas","non-dropping-particle":"","parse-names":false,"suffix":""},{"dropping-particle":"","family":"Probst","given":"Stephan","non-dropping-particle":"","parse-names":false,"suffix":""},{"dropping-particle":"","family":"Schmalenberg","given":"Harald","non-dropping-particle":"","parse-names":false,"suffix":""},{"dropping-particle":"","family":"Hollerbach","given":"Stephan","non-dropping-particle":"","parse-names":false,"suffix":""},{"dropping-particle":"","family":"Hofheinz","given":"Ralf","non-dropping-particle":"","parse-names":false,"suffix":""},{"dropping-particle":"","family":"Rethwisch","given":"Volker","non-dropping-particle":"","parse-names":false,"suffix":""},{"dropping-particle":"","family":"Seipelt","given":"Gernot","non-dropping-particle":"","parse-names":false,"suffix":""},{"dropping-particle":"","family":"Homann","given":"Nils","non-dropping-particle":"","parse-names":false,"suffix":""},{"dropping-particle":"","family":"Wilhelm","given":"Gerhard","non-dropping-particle":"","parse-names":false,"suffix":""},{"dropping-particle":"","family":"Schuch","given":"Gunter","non-dropping-particle":"","parse-names":false,"suffix":""},{"dropping-particle":"","family":"Stoehlmacher","given":"Jan","non-dropping-particle":"","parse-names":false,"suffix":""},{"dropping-particle":"","family":"Derigs","given":"Hans Günter","non-dropping-particle":"","parse-names":false,"suffix":""},{"dropping-particle":"","family":"Hegewisch-Becker","given":"Susanna","non-dropping-particle":"","parse-names":false,"suffix":""},{"dropping-particle":"","family":"Grossmann","given":"Johannes","non-dropping-particle":"","parse-names":false,"suffix":""},{"dropping-particle":"","family":"Pauligk","given":"Claudia","non-dropping-particle":"","parse-names":false,"suffix":""},{"dropping-particle":"","family":"Atmaca","given":"Akin","non-dropping-particle":"","parse-names":false,"suffix":""},{"dropping-particle":"","family":"Bokemeyer","given":"Carsten","non-dropping-particle":"","parse-names":false,"suffix":""},{"dropping-particle":"","family":"Knuth","given":"Alexander","non-dropping-particle":"","parse-names":false,"suffix":""},{"dropping-particle":"","family":"Jäger","given":"Elke","non-dropping-particle":"","parse-names":false,"suffix":""}],"container-title":"Journal of Clinical Oncology","id":"ITEM-1","issue":"9","issued":{"date-parts":[["2008","3","20"]]},"page":"1435-1442","title":"Phase III Trial in Metastatic Gastroesophageal Adenocarcinoma with Fluorouracil, Leucovorin Plus Either Oxaliplatin or Cisplatin: A Study of the Arbeitsgemeinschaft Internistische Onkologie","type":"article-journal","volume":"26"},"uris":["http://www.mendeley.com/documents/?uuid=5cdf9334-8aac-4fd8-b085-f8912e6cd9a6"]}],"mendeley":{"formattedCitation":"[27]","plainTextFormattedCitation":"[27]","previouslyFormattedCitation":"[27]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4B2967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108</w:t>
            </w:r>
          </w:p>
        </w:tc>
        <w:tc>
          <w:tcPr>
            <w:tcW w:w="1708" w:type="dxa"/>
            <w:gridSpan w:val="2"/>
            <w:shd w:val="clear" w:color="auto" w:fill="auto"/>
            <w:noWrap/>
            <w:hideMark/>
          </w:tcPr>
          <w:p w14:paraId="1242EAF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Cis+5-FU/LV</w:t>
            </w:r>
          </w:p>
        </w:tc>
        <w:tc>
          <w:tcPr>
            <w:tcW w:w="1322" w:type="dxa"/>
            <w:shd w:val="clear" w:color="auto" w:fill="auto"/>
            <w:noWrap/>
            <w:hideMark/>
          </w:tcPr>
          <w:p w14:paraId="2C3D8F4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81 (75)</w:t>
            </w:r>
          </w:p>
        </w:tc>
        <w:tc>
          <w:tcPr>
            <w:tcW w:w="1623" w:type="dxa"/>
            <w:gridSpan w:val="2"/>
            <w:shd w:val="clear" w:color="auto" w:fill="auto"/>
            <w:noWrap/>
            <w:hideMark/>
          </w:tcPr>
          <w:p w14:paraId="50AE667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(27-85)</w:t>
            </w:r>
          </w:p>
        </w:tc>
        <w:tc>
          <w:tcPr>
            <w:tcW w:w="1379" w:type="dxa"/>
            <w:shd w:val="clear" w:color="auto" w:fill="auto"/>
            <w:noWrap/>
            <w:hideMark/>
          </w:tcPr>
          <w:p w14:paraId="4D9CDA1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98 (91)</w:t>
            </w:r>
          </w:p>
        </w:tc>
        <w:tc>
          <w:tcPr>
            <w:tcW w:w="797" w:type="dxa"/>
            <w:shd w:val="clear" w:color="auto" w:fill="auto"/>
            <w:noWrap/>
            <w:hideMark/>
          </w:tcPr>
          <w:p w14:paraId="156854F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 (10)</w:t>
            </w:r>
          </w:p>
        </w:tc>
      </w:tr>
      <w:tr w:rsidR="00B61A3A" w:rsidRPr="007D2E2F" w14:paraId="5A2A4BF2" w14:textId="77777777" w:rsidTr="00B61A3A">
        <w:trPr>
          <w:trHeight w:val="255"/>
        </w:trPr>
        <w:tc>
          <w:tcPr>
            <w:tcW w:w="2552" w:type="dxa"/>
            <w:shd w:val="clear" w:color="auto" w:fill="auto"/>
            <w:noWrap/>
            <w:hideMark/>
          </w:tcPr>
          <w:p w14:paraId="3DDD06C6" w14:textId="6BB7B449"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Ikeda 2009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{"citationItems":[{"id":"ITEM-1","itemData":{"DOI":"10.1200/jco.2009.27.15s.4595","ISSN":"0732-183X","abstract":"4595 Background: Our previous single arm phase II trial demonstrated that the combination of DS-1 was one of the most powerful candidates to become a standard regimen for metastatic gastric cancer (K. Yoshida, et al: Clin Cancer Res 2006). This trial evaluated DS-1 and FUP in advanced or recurrent gastric cancer, and the primary objective of the phase II part was to evaluate activity and safety of the 2 regimens. Methods: Patients with advanced or recurrent gastric cancer, who had not received any chemotherapy except one regimen (not including taxanes), were eligible for this trial. Patients were randomized to either: DS-1, intravenous administration of 40 mg/m2 docetaxel on Day1 and oral administration of 80?120 mg/m2/day S-1 on Days 1 to 14 every 3 weeks, or FUP, intravenous continuous administration of 800 mg/m2/day 5-FU on Day 1 to 5 and intravenous administration of 80 mg/m2/day CDDP on Day 2 every 4 weeks. Results: Between June 2005 and August 2008, forty-nine of 54 patients (ECOG PS 0?2) were randomized to DS-1 (n=24) or FUP (n=25). Response rates (CR+PR) assessed by RECIST were 88.3% (CI;62.6?95.3) vs 52.0% (CI; 31.3?72.2, P=0.032), median times to treatment failure (TTF) were 122 days (CI; 75.2?168.8) vs 85 days (CI;67.9?102.1, P=0.003), median progression free survivals (PFS) were 198 days (CI;117.8?278.4) vs 105 days (CI;90.3?119.7, P=0.066). Median overall survival times (MSTs) were 369 days (CI; 359.6?378.4) vs 371 days (CI; 297.2- 444.8, P=0.281), but as of today, 14 pts (8 in DS-1 and 6 in FUP) are still alive. Grade 3/4 adverse events assessed by CTCAE v3.0 occurring in ≥20% patients, were neutropenia (58.3% vs 28.0%), nausea (4.2% vs 20.0%), leucopenia (33.0% vs 4.0%), fatigue (0% vs 20.0%) and anorexia (8.3% vs 32.0%). All treatment-related adverse events were resolved and no toxic death was reported. Conclusions: DS-1 significantly improved the RR and TTF in advanced or recurrent gastric cancer patients. To clarify the survival benefit, a phase III continuation of the study is in preparation. No significant financial relationships to disclose.","author":[{"dropping-particle":"","family":"Ikeda","given":"R","non-dropping-particle":"","parse-names":false,"suffix":""},{"dropping-particle":"","family":"Yoshida","given":"K","non-dropping-particle":"","parse-names":false,"suffix":""},{"dropping-particle":"","family":"Satou","given":"Y","non-dropping-particle":"","parse-names":false,"suffix":""},{"dropping-particle":"","family":"Takahashi","given":"M","non-dropping-particle":"","parse-names":false,"suffix":""},{"dropping-particle":"","family":"Une","given":"Y","non-dropping-particle":"","parse-names":false,"suffix":""},{"dropping-particle":"","family":"Yamamoto","given":"W","non-dropping-particle":"","parse-names":false,"suffix":""},{"dropping-particle":"","family":"Tanimoto","given":"K","non-dropping-particle":"","parse-names":false,"suffix":""},{"dropping-particle":"","family":"Hiyama","given":"K","non-dropping-particle":"","parse-names":false,"suffix":""},{"dropping-particle":"","family":"Sasaki","given":"Y","non-dropping-particle":"","parse-names":false,"suffix":""},{"dropping-particle":"","family":"Nishiyama","given":"M","non-dropping-particle":"","parse-names":false,"suffix":""}],"container-title":"Journal of Clinical Oncology","id":"ITEM-1","issue":"15S","issued":{"date-parts":[["2009","5","20"]]},"note":"doi: 10.1200/jco.2009.27.15s.4595","page":"4595","publisher":"American Society of Clinical Oncology","title":"Randomized phase II/III study of docetaxel/S-1 (DS-1) versus CDDP/5FU (FUP) in advanced or recurrent gastric cancer: Updated phase II results","type":"article-journal","volume":"27"},"uris":["http://www.mendeley.com/documents/?uuid=3cd13178-b267-4e72-95f8-a55717ad3064","http://www.mendeley.com/documents/?uuid=2668f2c5-1d59-4713-a874-e10ce4221f16"]}],"mendeley":{"formattedCitation":"[28]","plainTextFormattedCitation":"[28]","previouslyFormattedCitation":"[28]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6359A7B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25</w:t>
            </w:r>
          </w:p>
        </w:tc>
        <w:tc>
          <w:tcPr>
            <w:tcW w:w="1708" w:type="dxa"/>
            <w:gridSpan w:val="2"/>
            <w:shd w:val="clear" w:color="auto" w:fill="auto"/>
            <w:noWrap/>
            <w:hideMark/>
          </w:tcPr>
          <w:p w14:paraId="0183931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shd w:val="clear" w:color="auto" w:fill="auto"/>
            <w:noWrap/>
            <w:hideMark/>
          </w:tcPr>
          <w:p w14:paraId="2FAD8B2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23 (92)</w:t>
            </w:r>
          </w:p>
        </w:tc>
        <w:tc>
          <w:tcPr>
            <w:tcW w:w="1623" w:type="dxa"/>
            <w:gridSpan w:val="2"/>
            <w:shd w:val="clear" w:color="auto" w:fill="auto"/>
            <w:noWrap/>
            <w:hideMark/>
          </w:tcPr>
          <w:p w14:paraId="2FC035C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(45-74)</w:t>
            </w:r>
          </w:p>
        </w:tc>
        <w:tc>
          <w:tcPr>
            <w:tcW w:w="1379" w:type="dxa"/>
            <w:shd w:val="clear" w:color="auto" w:fill="auto"/>
            <w:noWrap/>
            <w:hideMark/>
          </w:tcPr>
          <w:p w14:paraId="7BDCEE9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25 (100)</w:t>
            </w:r>
          </w:p>
        </w:tc>
        <w:tc>
          <w:tcPr>
            <w:tcW w:w="797" w:type="dxa"/>
            <w:shd w:val="clear" w:color="auto" w:fill="auto"/>
            <w:noWrap/>
            <w:hideMark/>
          </w:tcPr>
          <w:p w14:paraId="65BB369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 (8)</w:t>
            </w:r>
          </w:p>
        </w:tc>
      </w:tr>
      <w:tr w:rsidR="00B61A3A" w:rsidRPr="007D2E2F" w14:paraId="68780679" w14:textId="77777777" w:rsidTr="00B61A3A">
        <w:trPr>
          <w:trHeight w:val="255"/>
        </w:trPr>
        <w:tc>
          <w:tcPr>
            <w:tcW w:w="2552" w:type="dxa"/>
            <w:shd w:val="clear" w:color="auto" w:fill="auto"/>
            <w:noWrap/>
            <w:hideMark/>
          </w:tcPr>
          <w:p w14:paraId="23B05DE1" w14:textId="37A907CE"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Vanhoefer 2000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{"citationItems":[{"id":"ITEM-1","itemData":{"DOI":"10.1200/JCO.2000.18.14.2648","ISBN":"0732-183X","ISSN":"0732-183X","PMID":"10894863","abstract":"PURPOSE To compare the efficacy and tolerability of etoposide, leucovorin, and bolus fluorouracil (ELF) or infusional fluorouracil plus cisplatin (FUP) with that of the reference protocol of fluorouracil, doxorubicin, and methotrexate (FAMTX) in advanced gastric cancer. PATIENTS AND METHODS A total of 399 patients with advanced adenocarcinoma of the stomach were randomized and analyzed for toxicity, tumor response, and progression-free and overall survival. Only reviewed and confirmed responses were considered. The analysis of remission was based on assessable patients with documented measurable lesions. The intent-to-treat principle, log-rank test, and Cox regression model were used for the statistical analysis of time-to-event end points. RESULTS The overall response rate for 245 eligible patients with measurable disease was 9% with ELF, 20% with FUP, and 12% with FAMTX, with no significant differences. One hundred twelve patients were eligible for efficacy in assessable, nonmeasurable disease. No change was observed in 66% of patients treated with ELF, 56% with FUP, and 55% with FAMTX. Two patients achieved a complete tumor regression (one each for ELF and FAMTX). With a median follow-up time of 4.5 years, the median survival times were 7.2 months with ELF, 7.2 months with FUP, and 6.7 months with FAMTX, respectively, with no significant differences. Nonhematologic and hematologic toxicities of ELF, FUP, and FAMTX were acceptable, with neutropenia being the major toxicity for all three regimens. Seven treatment-related deaths occurred (two with FUP and five with FAMTX). CONCLUSION All three investigated regimens demonstrate modest clinical efficacy and should not be regarded as standard treatment for advanced gastric cancer. New strategies should be considered to achieve a better clinical efficacy in the treatment of advanced gastric cancer.","author":[{"dropping-particle":"","family":"Vanhoefer","given":"U","non-dropping-particle":"","parse-names":false,"suffix":""},{"dropping-particle":"","family":"Rougier","given":"Philippe","non-dropping-particle":"","parse-names":false,"suffix":""},{"dropping-particle":"","family":"Wilke","given":"Hansjochen","non-dropping-particle":"","parse-names":false,"suffix":""},{"dropping-particle":"","family":"Ducreux","given":"Michel P","non-dropping-particle":"","parse-names":false,"suffix":""},{"dropping-particle":"","family":"Lacave","given":"Angel J","non-dropping-particle":"","parse-names":false,"suffix":""},{"dropping-particle":"","family":"Cutsem","given":"E","non-dropping-particle":"Van","parse-names":false,"suffix":""},{"dropping-particle":"","family":"Planker","given":"Manfred","non-dropping-particle":"","parse-names":false,"suffix":""},{"dropping-particle":"","family":"Santos","given":"J G","non-dropping-particle":"","parse-names":false,"suffix":""},{"dropping-particle":"","family":"Piedbois","given":"Pascal","non-dropping-particle":"","parse-names":false,"suffix":""},{"dropping-particle":"","family":"Paillot","given":"Bernard","non-dropping-particle":"","parse-names":false,"suffix":""},{"dropping-particle":"","family":"Bodenstein","given":"Heinrich","non-dropping-particle":"","parse-names":false,"suffix":""},{"dropping-particle":"","family":"Schmoll","given":"H J","non-dropping-particle":"","parse-names":false,"suffix":""},{"dropping-particle":"","family":"Bleiberg","given":"Harry","non-dropping-particle":"","parse-names":false,"suffix":""},{"dropping-particle":"","family":"Nordlinger","given":"Bernard","non-dropping-particle":"","parse-names":false,"suffix":""},{"dropping-particle":"","family":"Couvreur","given":"M L","non-dropping-particle":"","parse-names":false,"suffix":""},{"dropping-particle":"","family":"Baron","given":"Benoit","non-dropping-particle":"","parse-names":false,"suffix":""},{"dropping-particle":"","family":"Wils","given":"Jacques A","non-dropping-particle":"","parse-names":false,"suffix":""}],"container-title":"Journal of clinical oncology : official journal of the American Society of Clinical Oncology","id":"ITEM-1","issue":"14","issued":{"date-parts":[["2000","7"]]},"page":"2648-57","title":"Final results of a randomized phase III trial of sequential high-dose methotrexate, fluorouracil, and doxorubicin versus etoposide, leucovorin, and fluorouracil versus infusional fluorouracil and cisplatin in advanced gastric cancer: A trial of the Europe","type":"article-journal","volume":"18"},"uris":["http://www.mendeley.com/documents/?uuid=46a0cc86-e8f8-4320-bbf7-c4550e5f9abd"]}],"mendeley":{"formattedCitation":"[29]","plainTextFormattedCitation":"[29]","previouslyFormattedCitation":"[29]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00E47D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127</w:t>
            </w:r>
          </w:p>
        </w:tc>
        <w:tc>
          <w:tcPr>
            <w:tcW w:w="1708" w:type="dxa"/>
            <w:gridSpan w:val="2"/>
            <w:shd w:val="clear" w:color="auto" w:fill="auto"/>
            <w:noWrap/>
            <w:hideMark/>
          </w:tcPr>
          <w:p w14:paraId="7EE711C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shd w:val="clear" w:color="auto" w:fill="auto"/>
            <w:noWrap/>
            <w:hideMark/>
          </w:tcPr>
          <w:p w14:paraId="01A1866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91 (68)</w:t>
            </w:r>
          </w:p>
        </w:tc>
        <w:tc>
          <w:tcPr>
            <w:tcW w:w="1623" w:type="dxa"/>
            <w:gridSpan w:val="2"/>
            <w:shd w:val="clear" w:color="auto" w:fill="auto"/>
            <w:noWrap/>
            <w:hideMark/>
          </w:tcPr>
          <w:p w14:paraId="2CAE4DE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57 (24-74)</w:t>
            </w:r>
          </w:p>
        </w:tc>
        <w:tc>
          <w:tcPr>
            <w:tcW w:w="1379" w:type="dxa"/>
            <w:shd w:val="clear" w:color="auto" w:fill="auto"/>
            <w:noWrap/>
            <w:hideMark/>
          </w:tcPr>
          <w:p w14:paraId="35EE5B2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127 (100)</w:t>
            </w:r>
          </w:p>
        </w:tc>
        <w:tc>
          <w:tcPr>
            <w:tcW w:w="797" w:type="dxa"/>
            <w:shd w:val="clear" w:color="auto" w:fill="auto"/>
            <w:noWrap/>
            <w:hideMark/>
          </w:tcPr>
          <w:p w14:paraId="142B9EC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20 (15)</w:t>
            </w:r>
          </w:p>
        </w:tc>
      </w:tr>
      <w:tr w:rsidR="00B61A3A" w:rsidRPr="007D2E2F" w14:paraId="5B67169A" w14:textId="77777777" w:rsidTr="00B61A3A">
        <w:trPr>
          <w:trHeight w:val="255"/>
        </w:trPr>
        <w:tc>
          <w:tcPr>
            <w:tcW w:w="2552" w:type="dxa"/>
            <w:shd w:val="clear" w:color="auto" w:fill="auto"/>
            <w:noWrap/>
            <w:hideMark/>
          </w:tcPr>
          <w:p w14:paraId="5F9D2E4A" w14:textId="6FA9C7C3"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Ridwelski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{"citationItems":[{"id":"ITEM-1","itemData":{"DOI":"10.1200/jco.2008.26.15_suppl.4512","ISSN":"0732-183X","abstract":"4512 Background: Based on promising phase II studies, this randomized, multicenter phase III study compared DC with a commonly used regimen, FLC. Methods: Patients (pts) aged 18?75 years with stage III (T4, nonresectable) or IV gastric cancer, Karnofsky performance status (KPS) ≥60%, and life expectancy ≥3 months were randomized to receive ≤6 cycles of DC (D 75 mg/m² and C 75 mg/m²; both as 1-h infusions d1q3w) or ≤4 cycles of FLC (5-FU 2,000 mg/m² [24-h infusion] and L 500 mg/m² [2-h infusion], both d1, 8, 15, 22, 29, 36 q7w, plus C 50 mg/m² [1-h infusion], d1, 15, 29 q7w). C was omitted in FLC Cycle 4. Treatment was stopped in the event of disease progression, intolerable toxicity, or consent withdrawal. Tumors were staged on D 40, 85, 135, and 190. The study endpoints were time to progression (primary) and toxicity, response rate, quality of life, and overall survival (secondary). Results: At 12 months? follow-up, of 273 randomly assigned pts preliminary data are available for 235 pts (DC: 112, FLC: 123; median age 62 [range: 32?74] years; median KPS 80% [range: 60?100%]. Baseline characteristics were similar in both arms. Median cycles administered were 5 (DC) and 2 (FLC). The ORR (PR+CR) was 29.5% for DC and 29,3% for FLC. Median time to progression was 6.3 months (DC) and 6.6 months (FLC). Median overall survival time was 9.4 months for DC and 10.2 months for FLC. The most relevant grade 3 and 4 events per patient included neutropenia (DC = 41.1%; FLC = 12.2%) and GI (DC: 19.6%; FLC: 28.5%). Conclusions: Both regimens were active. No significant differences in the examined parameters were observed. DC was well tolerated with a predictable toxicity profile. Author Disclosure Employment or Leadership Consultant or Advisory Role Stock Ownership Honoraria Research Expert Testimony Other Remuneration Merck, Roche, sanofi-aventis","author":[{"dropping-particle":"","family":"Ridwelski","given":"K","non-dropping-particle":"","parse-names":false,"suffix":""},{"dropping-particle":"","family":"Fahlke","given":"J","non-dropping-particle":"","parse-names":false,"suffix":""},{"dropping-particle":"","family":"Kettner","given":"E","non-dropping-particle":"","parse-names":false,"suffix":""},{"dropping-particle":"","family":"Schmidt","given":"C","non-dropping-particle":"","parse-names":false,"suffix":""},{"dropping-particle":"","family":"Keilholz","given":"U","non-dropping-particle":"","parse-names":false,"suffix":""},{"dropping-particle":"","family":"Quietzsch","given":"D","non-dropping-particle":"","parse-names":false,"suffix":""},{"dropping-particle":"","family":"Assmann","given":"M","non-dropping-particle":"","parse-names":false,"suffix":""},{"dropping-particle":"","family":"Stauch","given":"M","non-dropping-particle":"","parse-names":false,"suffix":""},{"dropping-particle":"","family":"Zierau","given":"K","non-dropping-particle":"","parse-names":false,"suffix":""},{"dropping-particle":"","family":"Lippert","given":"H","non-dropping-particle":"","parse-names":false,"suffix":""}],"container-title":"Journal of Clinical Oncology","id":"ITEM-1","issue":"15_suppl","issued":{"date-parts":[["2008","5","20"]]},"note":"doi: 10.1200/jco.2008.26.15_suppl.4512","page":"4512","publisher":"American Society of Clinical Oncology","title":"Docetaxel-cisplatin (DC) versus 5-fluorouracil-leucovorin-cisplatin (FLC) as first-line treatment for locally advanced or metastatic gastric cancer: Preliminary results of a phase III study","type":"article-journal","volume":"26"},"uris":["http://www.mendeley.com/documents/?uuid=f0c4ac05-9572-46a3-b304-fb0661693126","http://www.mendeley.com/documents/?uuid=ef3e0fb4-27b0-403a-a7a1-8ee28a3f424c"]}],"mendeley":{"formattedCitation":"[30]","plainTextFormattedCitation":"[30]","previouslyFormattedCitation":"[30]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[30]</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C05C10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134</w:t>
            </w:r>
          </w:p>
        </w:tc>
        <w:tc>
          <w:tcPr>
            <w:tcW w:w="1708" w:type="dxa"/>
            <w:gridSpan w:val="2"/>
            <w:shd w:val="clear" w:color="auto" w:fill="auto"/>
            <w:noWrap/>
            <w:hideMark/>
          </w:tcPr>
          <w:p w14:paraId="73CACB7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Cis+5-FU/LV</w:t>
            </w:r>
          </w:p>
        </w:tc>
        <w:tc>
          <w:tcPr>
            <w:tcW w:w="1322" w:type="dxa"/>
            <w:shd w:val="clear" w:color="auto" w:fill="auto"/>
            <w:noWrap/>
            <w:hideMark/>
          </w:tcPr>
          <w:p w14:paraId="45ED38C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623" w:type="dxa"/>
            <w:gridSpan w:val="2"/>
            <w:shd w:val="clear" w:color="auto" w:fill="auto"/>
            <w:noWrap/>
            <w:hideMark/>
          </w:tcPr>
          <w:p w14:paraId="38A6FC6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379" w:type="dxa"/>
            <w:shd w:val="clear" w:color="auto" w:fill="auto"/>
            <w:noWrap/>
            <w:hideMark/>
          </w:tcPr>
          <w:p w14:paraId="792D253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53FAE66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A81E9D" w14:paraId="45429B47" w14:textId="77777777" w:rsidTr="00B61A3A">
        <w:trPr>
          <w:trHeight w:val="255"/>
        </w:trPr>
        <w:tc>
          <w:tcPr>
            <w:tcW w:w="2552" w:type="dxa"/>
            <w:shd w:val="clear" w:color="auto" w:fill="auto"/>
            <w:noWrap/>
            <w:hideMark/>
          </w:tcPr>
          <w:p w14:paraId="1CDAE977" w14:textId="4FA8CB62" w:rsidR="00B61A3A" w:rsidRPr="00BA62DB"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Ajani 2010 (FLAGS)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{"citationItems":[{"id":"ITEM-1","itemData":{"DOI":"10.1200/JCO.2009.25.4706","ISBN":"1527-7755 (Electronic)\\n0732-183X (Linking)","ISSN":"15277755","PMID":"20159816","abstract":"PURPOSE: Patients with advanced gastric or gastroesophageal adenocarcinoma need more efficacious and safer treatments than established today. S-1, a contemporary oral fluoropyrimidine, can provide that advantage. PATIENTS AND METHODS: This study was conducted in 24 countries and 146 centers. One thousand fifty-three patients were stratified (center, number of metastatic sites, prior adjuvant therapy, and measurable cancer) and randomly assigned. Patients received either S-1 at 50 mg/m(2) divided in two daily doses for 21 days and cisplatin at 75 mg/m(2) intravenously on day 1, repeated every 28 days (527 patients) or infusional fluorouracil at 1,000 mg/m(2)/24 hours for 120 hours and cisplatin at 100 mg/m(2) intravenously on day 1, repeated every 28 days (526 patients). The primary end point was superiority in overall survival (OS) from cisplatin/S-1 compared with cisplatin/infusional fluorouracil in patients with advanced, untreated gastric, or gastroesophageal adenocarcinoma. The secondary end points were response rate, progression-free survival, time to treatment failure, and safety. RESULTS: The median OS was 8.6 months in the cisplatin/S-1 arm and 7.9 months in the cisplatin/infusional fluorouracil arm (HR, 0.92; 95% CI, 0.80 to 1.05; P = .20). Significant safety advantages were observed in the cisplatin/S-1 arm compared with the cisplatin/infusional fluorouracil arm for the rates of grade 3/4 neutropenia (32.3% v 63.6%), complicated neutropenia (5.0% v 14.4%), stomatitis (1.3% v 13.6%), hypokalemia (3.6% v 10.8%), and treatment-related deaths (2.5% v 4.9%; P &lt; .05). CONCLUSION: Cisplatin/S-1 did not prolong OS of patients with advanced gastric or gastroesophageal adenocarcinoma compared with cisplatin/infusional fluorouracil, but it did result in a significantly improved safety profile.","author":[{"dropping-particle":"","family":"Ajani","given":"Jaffer A.","non-dropping-particle":"","parse-names":false,"suffix":""},{"dropping-particle":"","family":"Rodriguez","given":"Wuilbert","non-dropping-particle":"","parse-names":false,"suffix":""},{"dropping-particle":"","family":"Bodoky","given":"Gyorgy","non-dropping-particle":"","parse-names":false,"suffix":""},{"dropping-parti</w:instrText>
            </w:r>
            <w:r w:rsidR="006739B2" w:rsidRPr="006739B2">
              <w:rPr>
                <w:rFonts w:ascii="Times New Roman" w:eastAsia="Times New Roman" w:hAnsi="Times New Roman"/>
                <w:b/>
                <w:color w:val="000000"/>
                <w:sz w:val="16"/>
                <w:szCs w:val="16"/>
                <w:lang w:val="en-US"/>
              </w:rPr>
              <w:instrText>cle":"","family":"Moiseyenko","given":"Vladimir","non-dropping-particle":"","parse-names":false,"suffix":""},{"dropping-particle":"","family":"Lichinitser","given":"Mikhail","non-dropping-particle":"","parse-names":false,"suffix":""},{"dropping-particle":"","family":"Gorbunova","given":"Vera","non-dropping-particle":"","parse-names":false,"suffix":""},{"dropping-particle":"","family":"Vynnychenko","given":"Ihor","non-dropping-particle":"","parse-names":false,"suffix":""},{"dropping-particle":"","family":"Garin","given":"August","non-dropping-particle":"","parse-names":false,"suffix":""},{"dropping-particle":"","family":"Lang","given":"Istvan","non-dropping-particle":"","parse-names":false,"suffix":""},{"dropping-particle":"","family":"Falcon","given":"Silvia","non-dropping-particle":"","parse-names":false,"suffix":""}],"container-title":"Journal of Clinical Oncology","id":"ITEM-1","issue":"9","issued":{"date-parts":[["2010"]]},"page":"1547-1553","title":"Multicenter phase III comparison of cisplatin/S-1 with cisplatin/infusional fluorouracil in advanced gastric or gastroesophageal adenocarcinoma study: The FLAGS trial","type":"article-journal","volume":"28"},"uris":["http://www.mendeley.com/documents/?uuid=23780f57-5c83-440f-be8e-7dd1d02e0dc0"]}],"mendeley":{"formattedCitation":"[31]","plainTextFormattedCitation":"[31]","previouslyFormattedCitation":"[31]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[31]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53B33B4" w14:textId="77777777" w:rsidR="00B61A3A" w:rsidRPr="00BA62DB" w:rsidRDefault="00B61A3A" w:rsidP="00B61A3A">
            <w:pPr>
              <w:spacing w:before="240" w:line="360" w:lineRule="auto"/>
              <w:rPr>
                <w:rFonts w:ascii="Times New Roman" w:eastAsia="Times New Roman" w:hAnsi="Times New Roman"/>
                <w:color w:val="000000"/>
                <w:sz w:val="16"/>
                <w:szCs w:val="16"/>
                <w:lang w:val="en-US"/>
              </w:rPr>
            </w:pPr>
            <w:r w:rsidRPr="00BA62DB">
              <w:rPr>
                <w:rFonts w:ascii="Times New Roman" w:eastAsia="Times New Roman" w:hAnsi="Times New Roman"/>
                <w:color w:val="000000"/>
                <w:sz w:val="16"/>
                <w:szCs w:val="16"/>
                <w:lang w:val="en-US"/>
              </w:rPr>
              <w:t>508</w:t>
            </w:r>
          </w:p>
        </w:tc>
        <w:tc>
          <w:tcPr>
            <w:tcW w:w="1708" w:type="dxa"/>
            <w:gridSpan w:val="2"/>
            <w:shd w:val="clear" w:color="auto" w:fill="auto"/>
            <w:noWrap/>
            <w:hideMark/>
          </w:tcPr>
          <w:p w14:paraId="1B3B4015" w14:textId="77777777" w:rsidR="00B61A3A" w:rsidRPr="00BA62DB" w:rsidRDefault="00B61A3A" w:rsidP="00B61A3A">
            <w:pPr>
              <w:spacing w:before="240" w:line="360" w:lineRule="auto"/>
              <w:rPr>
                <w:rFonts w:ascii="Times New Roman" w:eastAsia="Times New Roman" w:hAnsi="Times New Roman"/>
                <w:color w:val="000000"/>
                <w:sz w:val="16"/>
                <w:szCs w:val="16"/>
                <w:lang w:val="en-US"/>
              </w:rPr>
            </w:pPr>
            <w:r w:rsidRPr="00BA62DB">
              <w:rPr>
                <w:rFonts w:ascii="Times New Roman" w:eastAsia="Times New Roman" w:hAnsi="Times New Roman"/>
                <w:color w:val="000000"/>
                <w:sz w:val="16"/>
                <w:szCs w:val="16"/>
                <w:lang w:val="en-US"/>
              </w:rPr>
              <w:t>Cis+5-FU</w:t>
            </w:r>
          </w:p>
        </w:tc>
        <w:tc>
          <w:tcPr>
            <w:tcW w:w="1322" w:type="dxa"/>
            <w:shd w:val="clear" w:color="auto" w:fill="auto"/>
            <w:noWrap/>
            <w:hideMark/>
          </w:tcPr>
          <w:p w14:paraId="4B16283D" w14:textId="77777777" w:rsidR="00B61A3A" w:rsidRPr="00BA62DB" w:rsidRDefault="00B61A3A" w:rsidP="00B61A3A">
            <w:pPr>
              <w:spacing w:before="240" w:line="360" w:lineRule="auto"/>
              <w:jc w:val="right"/>
              <w:rPr>
                <w:rFonts w:ascii="Times New Roman" w:eastAsia="Times New Roman" w:hAnsi="Times New Roman"/>
                <w:color w:val="000000"/>
                <w:sz w:val="16"/>
                <w:szCs w:val="16"/>
                <w:lang w:val="en-US"/>
              </w:rPr>
            </w:pPr>
            <w:r w:rsidRPr="00BA62DB">
              <w:rPr>
                <w:rFonts w:ascii="Times New Roman" w:eastAsia="Times New Roman" w:hAnsi="Times New Roman"/>
                <w:color w:val="000000"/>
                <w:sz w:val="16"/>
                <w:szCs w:val="16"/>
                <w:lang w:val="en-US"/>
              </w:rPr>
              <w:t>347 (68)</w:t>
            </w:r>
          </w:p>
        </w:tc>
        <w:tc>
          <w:tcPr>
            <w:tcW w:w="1623" w:type="dxa"/>
            <w:gridSpan w:val="2"/>
            <w:shd w:val="clear" w:color="auto" w:fill="auto"/>
            <w:noWrap/>
            <w:hideMark/>
          </w:tcPr>
          <w:p w14:paraId="2C12985C" w14:textId="77777777" w:rsidR="00B61A3A" w:rsidRPr="00BA62DB" w:rsidRDefault="00B61A3A" w:rsidP="00B61A3A">
            <w:pPr>
              <w:spacing w:before="240" w:line="360" w:lineRule="auto"/>
              <w:jc w:val="right"/>
              <w:rPr>
                <w:rFonts w:ascii="Times New Roman" w:eastAsia="Times New Roman" w:hAnsi="Times New Roman"/>
                <w:color w:val="000000"/>
                <w:sz w:val="16"/>
                <w:szCs w:val="16"/>
                <w:lang w:val="en-US"/>
              </w:rPr>
            </w:pPr>
            <w:r w:rsidRPr="00BA62DB">
              <w:rPr>
                <w:rFonts w:ascii="Times New Roman" w:eastAsia="Times New Roman" w:hAnsi="Times New Roman"/>
                <w:color w:val="000000"/>
                <w:sz w:val="16"/>
                <w:szCs w:val="16"/>
                <w:lang w:val="en-US"/>
              </w:rPr>
              <w:t>60 (20-85)</w:t>
            </w:r>
          </w:p>
        </w:tc>
        <w:tc>
          <w:tcPr>
            <w:tcW w:w="1379" w:type="dxa"/>
            <w:shd w:val="clear" w:color="auto" w:fill="auto"/>
            <w:noWrap/>
            <w:hideMark/>
          </w:tcPr>
          <w:p w14:paraId="606BBFFC" w14:textId="77777777" w:rsidR="00B61A3A" w:rsidRPr="00BA62DB" w:rsidRDefault="00B61A3A" w:rsidP="00B61A3A">
            <w:pPr>
              <w:spacing w:before="240" w:line="360" w:lineRule="auto"/>
              <w:jc w:val="right"/>
              <w:rPr>
                <w:rFonts w:ascii="Times New Roman" w:eastAsia="Times New Roman" w:hAnsi="Times New Roman"/>
                <w:color w:val="000000"/>
                <w:sz w:val="16"/>
                <w:szCs w:val="16"/>
                <w:lang w:val="en-US"/>
              </w:rPr>
            </w:pPr>
            <w:r w:rsidRPr="00BA62DB">
              <w:rPr>
                <w:rFonts w:ascii="Times New Roman" w:eastAsia="Times New Roman" w:hAnsi="Times New Roman"/>
                <w:color w:val="000000"/>
                <w:sz w:val="16"/>
                <w:szCs w:val="16"/>
                <w:lang w:val="en-US"/>
              </w:rPr>
              <w:t>488 (96)</w:t>
            </w:r>
          </w:p>
        </w:tc>
        <w:tc>
          <w:tcPr>
            <w:tcW w:w="797" w:type="dxa"/>
            <w:shd w:val="clear" w:color="auto" w:fill="auto"/>
            <w:noWrap/>
            <w:hideMark/>
          </w:tcPr>
          <w:p w14:paraId="20B11A17" w14:textId="77777777" w:rsidR="00B61A3A" w:rsidRPr="00BA62DB" w:rsidRDefault="00B61A3A" w:rsidP="00B61A3A">
            <w:pPr>
              <w:spacing w:before="240" w:line="360" w:lineRule="auto"/>
              <w:jc w:val="right"/>
              <w:rPr>
                <w:rFonts w:ascii="Times New Roman" w:eastAsia="Times New Roman" w:hAnsi="Times New Roman"/>
                <w:color w:val="000000"/>
                <w:sz w:val="16"/>
                <w:szCs w:val="16"/>
                <w:lang w:val="en-US"/>
              </w:rPr>
            </w:pPr>
            <w:r w:rsidRPr="00BA62DB">
              <w:rPr>
                <w:rFonts w:ascii="Times New Roman" w:eastAsia="Times New Roman" w:hAnsi="Times New Roman"/>
                <w:color w:val="000000"/>
                <w:sz w:val="16"/>
                <w:szCs w:val="16"/>
                <w:lang w:val="en-US"/>
              </w:rPr>
              <w:t>0 (0)</w:t>
            </w:r>
          </w:p>
        </w:tc>
      </w:tr>
      <w:tr w:rsidR="00B61A3A" w:rsidRPr="007D2E2F" w14:paraId="7520A191" w14:textId="77777777" w:rsidTr="00B61A3A">
        <w:trPr>
          <w:trHeight w:val="255"/>
        </w:trPr>
        <w:tc>
          <w:tcPr>
            <w:tcW w:w="2552" w:type="dxa"/>
            <w:shd w:val="clear" w:color="auto" w:fill="auto"/>
            <w:noWrap/>
            <w:hideMark/>
          </w:tcPr>
          <w:p w14:paraId="1F0FF4AD" w14:textId="426D921B" w:rsidR="00B61A3A" w:rsidRPr="007D2E2F" w:rsidRDefault="00B61A3A" w:rsidP="00B61A3A">
            <w:pPr>
              <w:spacing w:before="240" w:line="360" w:lineRule="auto"/>
              <w:rPr>
                <w:rFonts w:ascii="Times New Roman" w:eastAsia="Times New Roman" w:hAnsi="Times New Roman"/>
                <w:b/>
                <w:color w:val="000000"/>
                <w:sz w:val="16"/>
                <w:szCs w:val="16"/>
              </w:rPr>
            </w:pPr>
            <w:r w:rsidRPr="00BA62DB">
              <w:rPr>
                <w:rFonts w:ascii="Times New Roman" w:eastAsia="Times New Roman" w:hAnsi="Times New Roman"/>
                <w:b/>
                <w:color w:val="000000"/>
                <w:sz w:val="16"/>
                <w:szCs w:val="16"/>
                <w:lang w:val="en-US"/>
              </w:rPr>
              <w:t xml:space="preserve">Ajani 2017 (DIGEST)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{"citationItems":[{"id":"ITEM-1","itemData":{"DOI":"10.1093/annonc/mdx275","ISSN":"15698041","PMID":"28911091","abstract":"Background The effect of histology-based treatment regimen on diffuse gastric adenocarcinoma has not been evaluated in clinical trials. This international phase III trial evaluated the efficacy and safety of S-1 (a contemporary oral fluoropyrimidine)/cisplatin versus 5-fluorouracil (5-FU)/cisplatin in chemotherapy-naïve patients with diffuse-type adenocarcinoma involving the gastroesophageal junction or stomach. Patients and methods Eligibility criteria included untreated, measurable, advanced diffuse adenocarcinoma confirmed by central pathology and performance status of 0-1. Patients were randomized (2 : 1) to receive S-1/cisplatin or 5-FU/cisplatin. Primary end point was overall survival (OS), and secondary end points were progression-free survival, time to treatment failure, overall response rate, and safety. A multivariable analysis was also carried out. Results Overall, 361 patients were randomized (S-1/cisplatin, n = 239; 5-FU/cisplatin, n = 122); half (51%) were men, and median age was 56.0 years. In each group, median number of treatment cycles per patient was 4 (range, S-1/cisplatin: 1-20; 5-FU/cisplatin: 1-30), and dose intensity was &gt;95%. OS was not different in the two groups {median OS with S-1/cisplatin, 7.5 [95% confidence interval (CI): 6.7, 9.3]; 5-FU/cisplatin, 6.6 [95% CI: 5.7, 8.1] months; hazard ratio, 0.99 [95% CI: 0.76, 1.28]; P = 0.9312}. Overall response rate was significantly higher in the S-1/cisplatin than 5-FU/cisplatin group (34.7% versus 19.8%; P = 0.01), but progression-free survival and time to treatment failure were not different. Safety was similar between the 2 groups; however, fewer patients treated with S-1/cisplatin than 5-FU/cisplatin had ≥1 grade 3/4 treatment-emergent adverse event or ≥1 adverse event resulting in treatment discontinuation. One treatment-related death occurred in each group. Slow accrual led to early termination. Conclusions These data suggest that S-1/cisplatin and 5-FU/cisplatin are similar in efficacy and safety in untreated patients with advanced diffuse adenocarcinoma of the gastroesophageal junction or stomach. The primary end point was not met. ClinicalTrial.gov registration number NCT01285557.","author":[{"dropping-particle":"","family":"Ajani","given":"Jaffer A.","non-dropping-particle":"","parse-names":false,"suffix":""},{"dropping-particle":"","family":"Abramov","given":"M.","non-dropping-particle":"","parse-names":false,"suffix":""},{"dropping-particle":"","family":"Bondarenko","given":"I.","non-dropping-particle":"","parse-names":false,"suffix":""},{"dropping-particle":"","family":"Shparyk","given":"Y.","non-dropping-particle":"","parse-names":false,"suffix":""},{"dropping-particle":"","family":"Gorbunova","given":"V.","non-dropping-particle":"","parse-names":false,"suffix":""},{"dropping-particle":"","family":"Hontsa","given":"A.","non-dropping-particle":"","parse-names":false,"suffix":""},{"dropping-particle":"","family":"Otchenash","given":"N.","non-dropping-particle":"","parse-names":false,"suffix":""},{"dropping-particle":"","family":"Alsina","given":"M.","non-dropping-particle":"","parse-names":false,"suffix":""},{"dropping-particle":"","family":"Lazarev","given":"S.","non-dropping-particle":"","parse-names":false,"suffix":""},{"dropping-particle":"","family":"Feliu","given":"J.","non-dropping-particle":"","parse-names":false,"suffix":""},{"dropping-particle":"","family":"Elme","given":"A.","non-dropping-particle":"","parse-names":false,"suffix":""},{"dropping-particle":"","family":"Esko","given":"V.","non-dropping-particle":"","parse-names":false,"suffix":""},{"dropping-particle":"","family":"Abdalla","given":"K.","non-dropping-particle":"","parse-names":false,"suffix":""},{"dropping-particle":"","family":"Verma","given":"U.","non-dropping-particle":"","parse-names":false,"suffix":""},{"dropping-particle":"","family":"Benedetti","given":"F.","non-dropping-particle":"","parse-names":false,"suffix":""},{"dropping-particle":"","family":"Aoyama","given":"T.","non-dropping-particle":"","parse-names":false,"suffix":""},{"dropping-particle":"","family":"Mizuguchi","given":"H.","non-dropping-particle":"","parse-names":false,"suffix":""},{"dropping-particle":"","family":"Makris","given":"L.","non-dropping-particle":"","parse-names":false,"suffix":""},{"dropping-particle":"","family":"Rosati","given":"G.","non-dropping-particle":"","parse-names":false,"suffix":""},{"dropping-particle":"","family":"Aivado","given":"Manuel","non-dropping-particle":"","parse-names":false,"suffix":""}],"container-title":"Annals of Oncology","id":"ITEM-1","issue":"9","issued":{"date-parts":[["2017"]]},"page":"2142-2148","title":"A phase III trial comparing oral S-1/cisplatin and intravenous 5-fluorouracil/cisplatin in patients with untreated diffuse gastric cancer","type":"article-journal","volume":"28"},"uris":["http://www.mendeley.com/documents/?uuid=1c993dc0-e831-456c-b742-248687e9e190"]}],"mendeley":{"formattedCitation":"[32]","plainTextFormattedCitation":"[32]","previouslyFormattedCitation":"[32]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[32]</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22A42FA" w14:textId="77777777" w:rsidR="00B61A3A" w:rsidRPr="007D2E2F" w:rsidRDefault="00B61A3A"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122</w:t>
            </w:r>
          </w:p>
        </w:tc>
        <w:tc>
          <w:tcPr>
            <w:tcW w:w="1708" w:type="dxa"/>
            <w:gridSpan w:val="2"/>
            <w:shd w:val="clear" w:color="auto" w:fill="auto"/>
            <w:noWrap/>
            <w:hideMark/>
          </w:tcPr>
          <w:p w14:paraId="6A58382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shd w:val="clear" w:color="auto" w:fill="auto"/>
            <w:noWrap/>
            <w:hideMark/>
          </w:tcPr>
          <w:p w14:paraId="556F070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60 (49)</w:t>
            </w:r>
          </w:p>
        </w:tc>
        <w:tc>
          <w:tcPr>
            <w:tcW w:w="1623" w:type="dxa"/>
            <w:gridSpan w:val="2"/>
            <w:shd w:val="clear" w:color="auto" w:fill="auto"/>
            <w:noWrap/>
            <w:hideMark/>
          </w:tcPr>
          <w:p w14:paraId="1F6CC59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(27-83)</w:t>
            </w:r>
          </w:p>
        </w:tc>
        <w:tc>
          <w:tcPr>
            <w:tcW w:w="1379" w:type="dxa"/>
            <w:shd w:val="clear" w:color="auto" w:fill="auto"/>
            <w:noWrap/>
            <w:hideMark/>
          </w:tcPr>
          <w:p w14:paraId="2AE456D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122 (100)</w:t>
            </w:r>
          </w:p>
        </w:tc>
        <w:tc>
          <w:tcPr>
            <w:tcW w:w="797" w:type="dxa"/>
            <w:shd w:val="clear" w:color="auto" w:fill="auto"/>
            <w:noWrap/>
            <w:hideMark/>
          </w:tcPr>
          <w:p w14:paraId="14E3758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26BD833C" w14:textId="77777777" w:rsidTr="00B61A3A">
        <w:trPr>
          <w:trHeight w:val="255"/>
        </w:trPr>
        <w:tc>
          <w:tcPr>
            <w:tcW w:w="2552" w:type="dxa"/>
            <w:shd w:val="clear" w:color="auto" w:fill="auto"/>
            <w:noWrap/>
            <w:hideMark/>
          </w:tcPr>
          <w:p w14:paraId="7FE33C98" w14:textId="60F8D6AC"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Lee 2009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{"citationItems":[{"id":"ITEM-1","itemData":{"DOI":"10.4143/crt.2009.41.1.12","ISSN":"1598-2998","PMID":"19688066","abstract":"PURPOSE: Heptaplatin (Sunpla) is a cisplatin derivative. A phase IIb trial using heptaplatin resulted in a 34% response rate with mild nephrotoxicity. We conducted a randomized phase III trial of heptaplatin plus 5-FU compared with cisplatin plus 5-FU in patients with advanced gastric cancer. MATERIALS AND METHODS: One hundred seventy-four patients (heptaplatin, n=88; cisplatin, n=86) from 13 centers were enrolled. The eligibility criteria were as follows: patients with pathologically-proven adenocarcinoma, chemonaive patients, or patients who had received only single adjuvant chemotherapy, and who had a measurable or evaluable lesion. On day 1, heptaplatin (400 mg/m(2)) or cisplatin (60 mg/m(2)) was given over 1 hour with 5-FU (1 gm/m(2)) on days 1~5 every 4 weeks. RESULTS: At the time of survival analysis, the median overall survival was 7.3 months in the 5-FU + heptaplatin (FH) arm and 7.9 months in the 5-FU + cisplatin (FP) arm (p=0.24). Of the FH patients, 34.2% (complete response [CR], 1.3%; partial response [PR], 32.9%) experienced a confirmed objective response compared with 35.9% (CR 0%, PR 35.9%) of FP patients (p=0.78). The median-time-to-progression was 2.5 months in the FH arm and 2.3 months in the FP arm. The incidence of neutropenia was higher with FP (28%) than with FH (16%; p=0.06); grade 3~4 nausea and vomiting were more frequent in the FP than in the FH arm (p=0.01 and p=0.05, respectively). The incidence of increased proteinuria and creatininemia was higher with FH than with FP; however, there was no statistical difference. There were no treatment-related deaths. CONCLUSION: Heptaplatin showed similar effects to cisplatin when combined with 5-FU in advanced gastric cancer patients with tolerable toxicities.","author":[{"dropping-particle":"","family":"Lee","given":"Kyung Hee","non-dropping-particle":"","parse-names":false,"suffix":""},{"dropping-particle":"","family":"Hyun","given":"Myung Soo","non-dropping-particle":"","parse-names":false,"suffix":""},{"dropping-particle":"","family":"Kim","given":"Hoon-Kyo","non-dropping-particle":"","parse-names":false,"suffix":""},{"dropping-particle":"","family":"Jin","given":"Hyung Min","non-dropping-particle":"","parse-names":false,"suffix":""},{"dropping-particle":"","family":"Yang","given":"Jinmo","non-dropping-particle":"","parse-names":false,"suffix":""},{"dropping-particle":"","family":"Song","given":"Hong Suk","non-dropping-particle":"","parse-names":false,"suffix":""},{"dropping-particle":"","family":"Do","given":"Young Rok","non-dropping-particle":"","parse-names":false,"suffix":""},{"dropping-particle":"","family":"Ryoo","given":"Hun Mo","non-dropping-particle":"","parse-names":false,"suffix":""},{"dropping-particle":"","family":"Chung","given":"Joo Seop","non-dropping-particle":"","parse-names":false,"suffix":""},{"dropping-particle":"","family":"Zang","given":"Dae Young","non-dropping-particle":"","parse-names":false,"suffix":""},{"dropping-particle":"","family":"Lim","given":"Ho-Yeong","non-dropping-particle":"","parse-names":false,"suffix":""},{"dropping-particle":"","family":"Jin","given":"Jong Youl","non-dropping-particle":"","parse-names":false,"suffix":""},{"dropping-particle":"","family":"Yim","given":"Chang Yeol","non-dropping-particle":"","parse-names":false,"suffix":""},{"dropping-particle":"","family":"Park","given":"Hee Sook","non-dropping-particle":"","parse-names":false,"suffix":""},{"dropping-particle":"","family":"Kim","given":"Jun Suk","non-dropping-particle":"","parse-names":false,"suffix":""},{"dropping-particle":"","family":"Sohn","given":"Chang Hak","non-dropping-particle":"","parse-names":false,"suffix":""},{"dropping-particle":"","family":"Lee","given":"Soon Nam","non-dropping-particle":"","parse-names":false,"suffix":""}],"container-title":"Cancer Research and Treatment","id":"ITEM-1","issue":"1","issued":{"date-parts":[["2009"]]},"page":"12","title":"Randomized, Multicenter, Phase III Trial of Heptaplatin 1-hour Infusion and 5-Fluorouracil Combination Chemotherapy Comparing with Cisplatin and 5-Fluorouracil Combination Chemotherapy in Patients with Advanced Gastric Cancer","type":"article-journal","volume":"41"},"uris":["http://www.mendeley.com/documents/?uuid=033b02a8-b536-43d3-ad28-df3c84945ead"]}],"mendeley":{"formattedCitation":"[33]","plainTextFormattedCitation":"[33]","previouslyFormattedCitation":"[33]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[33]</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B989C6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86</w:t>
            </w:r>
          </w:p>
        </w:tc>
        <w:tc>
          <w:tcPr>
            <w:tcW w:w="1708" w:type="dxa"/>
            <w:gridSpan w:val="2"/>
            <w:shd w:val="clear" w:color="auto" w:fill="auto"/>
            <w:noWrap/>
            <w:hideMark/>
          </w:tcPr>
          <w:p w14:paraId="38B5587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shd w:val="clear" w:color="auto" w:fill="auto"/>
            <w:noWrap/>
            <w:hideMark/>
          </w:tcPr>
          <w:p w14:paraId="200F8B6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(72)</w:t>
            </w:r>
          </w:p>
        </w:tc>
        <w:tc>
          <w:tcPr>
            <w:tcW w:w="1623" w:type="dxa"/>
            <w:gridSpan w:val="2"/>
            <w:shd w:val="clear" w:color="auto" w:fill="auto"/>
            <w:noWrap/>
            <w:hideMark/>
          </w:tcPr>
          <w:p w14:paraId="0F647EE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54 (24-70)</w:t>
            </w:r>
          </w:p>
        </w:tc>
        <w:tc>
          <w:tcPr>
            <w:tcW w:w="1379" w:type="dxa"/>
            <w:shd w:val="clear" w:color="auto" w:fill="auto"/>
            <w:noWrap/>
            <w:hideMark/>
          </w:tcPr>
          <w:p w14:paraId="1D66625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86 (100)</w:t>
            </w:r>
          </w:p>
        </w:tc>
        <w:tc>
          <w:tcPr>
            <w:tcW w:w="797" w:type="dxa"/>
            <w:shd w:val="clear" w:color="auto" w:fill="auto"/>
            <w:noWrap/>
            <w:hideMark/>
          </w:tcPr>
          <w:p w14:paraId="7BD7F42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(6)</w:t>
            </w:r>
          </w:p>
        </w:tc>
      </w:tr>
      <w:tr w:rsidR="00B61A3A" w:rsidRPr="007D2E2F" w14:paraId="58A21A12" w14:textId="77777777" w:rsidTr="00DF4D7C">
        <w:trPr>
          <w:trHeight w:val="255"/>
        </w:trPr>
        <w:tc>
          <w:tcPr>
            <w:tcW w:w="2552" w:type="dxa"/>
            <w:shd w:val="clear" w:color="auto" w:fill="auto"/>
            <w:noWrap/>
            <w:hideMark/>
          </w:tcPr>
          <w:p w14:paraId="4F606857" w14:textId="0480FFAA"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Kang 2009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{"citationItems":[{"id":"ITEM-1","itemData":{"DOI":"10.1093/annonc/mdn717","ISBN":"1569-8041 (Electronic) 0923-7534 (Linking)","ISSN":"09237534","PMID":"19153121","author":[{"dropping-particle":"","family":"Kang","given":"Y. K.","non-dropping-particle":"","parse-names":false,"suffix":""},{"dropping-particle":"","family":"Kang","given":"W. K.","non-dropping-particle":"","parse-names":false,"suffix":""},{"dropping-particle":"","family":"Shin","given":"D. B.","non-dropping-particle":"","parse-names":false,"suffix":""},{"dropping-particle":"","family":"Chen","given":"J.","non-dropping-particle":"","parse-names":false,"suffix":""},{"dropping-particle":"","family":"Xiong","given":"J.","non-dropping-particle":"","parse-names":false,"suffix":""},{"dropping-particle":"","family":"Wang","given":"J.","non-dropping-particle":"","parse-names":false,"suffix":""},{"dropping-particle":"","family":"Lichinitser","given":"M.","non-dropping-particle":"","parse-names":false,"suffix":""},{"dropping-particle":"","family":"Guan","given":"Z.","non-dropping-particle":"","parse-names":false,"suffix":""},{"dropping-particle":"","family":"Khasanov","given":"R.","non-dropping-particle":"","parse-names":false,"suffix":""},{"dropping-particle":"","family":"Zheng","given":"L.","non-dropping-particle":"","parse-names":false,"suffix":""},{"dropping-particle":"","family":"Philco-Salas","given":"M.","non-dropping-particle":"","parse-names":false,"suffix":""},{"dropping-particle":"","family":"Suarez","given":"T.","non-dropping-particle":"","parse-names":false,"suffix":""},{"dropping-particle":"","family":"Santamaria","given":"J.","non-dropping-particle":"","parse-names":false,"suffix":""},{"dropping-particle":"","family":"Forster","given":"G.","non-dropping-particle":"","parse-names":false,"suffix":""},{"dropping-particle":"","family":"McCloud","given":"P. I.","non-dropping-particle":"","parse-names":false,"suffix":""}],"container-title":"Annals of Oncology","id":"ITEM-1","issue":"4","issued":{"date-parts":[["2009"]]},"page":"666-673","title":"Capecitabine/cisplatin versus 5-fluorouracil/cisplatin as first-line therapy in patients with advanced gastric cancer: A randomised phase III noninferiority trial","type":"article-journal","volume":"20"},"uris":["http://www.mendeley.com/documents/?uuid=f62c155a-8635-48a7-8847-b8838ab0b637"]}],"mendeley":{"formattedCitation":"[34]","plainTextFormattedCitation":"[34]","previouslyFormattedCitation":"[34]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08FBFC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156</w:t>
            </w:r>
          </w:p>
        </w:tc>
        <w:tc>
          <w:tcPr>
            <w:tcW w:w="1708" w:type="dxa"/>
            <w:gridSpan w:val="2"/>
            <w:shd w:val="clear" w:color="auto" w:fill="auto"/>
            <w:noWrap/>
            <w:hideMark/>
          </w:tcPr>
          <w:p w14:paraId="65BC030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shd w:val="clear" w:color="auto" w:fill="auto"/>
            <w:noWrap/>
            <w:hideMark/>
          </w:tcPr>
          <w:p w14:paraId="78CD6BC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108 (69)</w:t>
            </w:r>
          </w:p>
        </w:tc>
        <w:tc>
          <w:tcPr>
            <w:tcW w:w="1623" w:type="dxa"/>
            <w:gridSpan w:val="2"/>
            <w:shd w:val="clear" w:color="auto" w:fill="auto"/>
            <w:noWrap/>
            <w:hideMark/>
          </w:tcPr>
          <w:p w14:paraId="7BAB8BC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(22-73)</w:t>
            </w:r>
          </w:p>
        </w:tc>
        <w:tc>
          <w:tcPr>
            <w:tcW w:w="1379" w:type="dxa"/>
            <w:shd w:val="clear" w:color="auto" w:fill="auto"/>
            <w:noWrap/>
            <w:hideMark/>
          </w:tcPr>
          <w:p w14:paraId="7F1E21D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153 (98)</w:t>
            </w:r>
          </w:p>
        </w:tc>
        <w:tc>
          <w:tcPr>
            <w:tcW w:w="797" w:type="dxa"/>
            <w:shd w:val="clear" w:color="auto" w:fill="auto"/>
            <w:noWrap/>
            <w:hideMark/>
          </w:tcPr>
          <w:p w14:paraId="4205192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7D2E2F" w14:paraId="4C7DE2C2" w14:textId="77777777" w:rsidTr="00DF4D7C">
        <w:trPr>
          <w:trHeight w:val="255"/>
        </w:trPr>
        <w:tc>
          <w:tcPr>
            <w:tcW w:w="2552" w:type="dxa"/>
            <w:tcBorders>
              <w:bottom w:val="single" w:sz="4" w:space="0" w:color="auto"/>
            </w:tcBorders>
            <w:shd w:val="clear" w:color="auto" w:fill="auto"/>
            <w:noWrap/>
            <w:hideMark/>
          </w:tcPr>
          <w:p w14:paraId="5DCF13E2" w14:textId="72962939"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Li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10.18632/oncotarget.5959","ISSN":"1949-2553","author":[{"dropping-particle":"","family":"Li","given":"Yuhong","non-dropping-particle":"","parse-names":false,"suffix":""},{"dropping-particle":"","family":"Qiu","given":"Miaozhen","non-dropping-particle":"","parse-names":false,"suffix":""},{"dropping-particle":"","family":"Xu","given":"Jianming","non-dropping-particle":"","parse-names":false,"suffix":""},{"dropping-particle":"","family":"Sun","given":"Guoping","non-dropping-particle":"","parse-names":false,"suffix":""},{"dropping-particle":"","family":"Lu","given":"Huishan","non-dropping-particle":"","parse-names":false,"suffix":""}],"container-title":"Oncotarget","id":"ITEM-1","issued":{"date-parts":[["2015"]]},"title":"S-1 plus Cisplatin versus fluorouracil plus cisplatin in advanced gastric or gastro-esophageal junction adenocarcinoma patients: a pilot study","type":"article-journal"},"uris":["http://www.mendeley.com/documents/?uuid=5d257c2c-bb68-43aa-8b82-9018edaf2eb3"]}],"mendeley":{"formattedCitation":"[35]","plainTextFormattedCitation":"[35]","previouslyFormattedCitation":"[35]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[35]</w:t>
            </w:r>
            <w:r w:rsidRPr="007D2E2F">
              <w:rPr>
                <w:rFonts w:ascii="Times New Roman" w:eastAsia="Times New Roman" w:hAnsi="Times New Roman"/>
                <w:color w:val="000000"/>
                <w:sz w:val="16"/>
                <w:szCs w:val="16"/>
              </w:rPr>
              <w:fldChar w:fldCharType="end"/>
            </w:r>
          </w:p>
        </w:tc>
        <w:tc>
          <w:tcPr>
            <w:tcW w:w="456" w:type="dxa"/>
            <w:tcBorders>
              <w:bottom w:val="single" w:sz="4" w:space="0" w:color="auto"/>
            </w:tcBorders>
            <w:shd w:val="clear" w:color="auto" w:fill="auto"/>
            <w:noWrap/>
            <w:hideMark/>
          </w:tcPr>
          <w:p w14:paraId="6C3A9BCB"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116</w:t>
            </w:r>
          </w:p>
        </w:tc>
        <w:tc>
          <w:tcPr>
            <w:tcW w:w="1708" w:type="dxa"/>
            <w:gridSpan w:val="2"/>
            <w:tcBorders>
              <w:bottom w:val="single" w:sz="4" w:space="0" w:color="auto"/>
            </w:tcBorders>
            <w:shd w:val="clear" w:color="auto" w:fill="auto"/>
            <w:noWrap/>
            <w:hideMark/>
          </w:tcPr>
          <w:p w14:paraId="1F779AA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w:t>
            </w:r>
          </w:p>
        </w:tc>
        <w:tc>
          <w:tcPr>
            <w:tcW w:w="1322" w:type="dxa"/>
            <w:tcBorders>
              <w:bottom w:val="single" w:sz="4" w:space="0" w:color="auto"/>
            </w:tcBorders>
            <w:shd w:val="clear" w:color="auto" w:fill="auto"/>
            <w:noWrap/>
            <w:hideMark/>
          </w:tcPr>
          <w:p w14:paraId="4A74E5B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85 (73)</w:t>
            </w:r>
          </w:p>
        </w:tc>
        <w:tc>
          <w:tcPr>
            <w:tcW w:w="1623" w:type="dxa"/>
            <w:gridSpan w:val="2"/>
            <w:tcBorders>
              <w:bottom w:val="single" w:sz="4" w:space="0" w:color="auto"/>
            </w:tcBorders>
            <w:shd w:val="clear" w:color="auto" w:fill="auto"/>
            <w:noWrap/>
            <w:hideMark/>
          </w:tcPr>
          <w:p w14:paraId="019C75C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55 (NA)</w:t>
            </w:r>
          </w:p>
        </w:tc>
        <w:tc>
          <w:tcPr>
            <w:tcW w:w="1379" w:type="dxa"/>
            <w:tcBorders>
              <w:bottom w:val="single" w:sz="4" w:space="0" w:color="auto"/>
            </w:tcBorders>
            <w:shd w:val="clear" w:color="auto" w:fill="auto"/>
            <w:noWrap/>
            <w:hideMark/>
          </w:tcPr>
          <w:p w14:paraId="6A5FB2F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116 (100)</w:t>
            </w:r>
          </w:p>
        </w:tc>
        <w:tc>
          <w:tcPr>
            <w:tcW w:w="797" w:type="dxa"/>
            <w:tcBorders>
              <w:bottom w:val="single" w:sz="4" w:space="0" w:color="auto"/>
            </w:tcBorders>
            <w:shd w:val="clear" w:color="auto" w:fill="auto"/>
            <w:noWrap/>
            <w:hideMark/>
          </w:tcPr>
          <w:p w14:paraId="74611C0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(3)</w:t>
            </w:r>
          </w:p>
        </w:tc>
      </w:tr>
      <w:tr w:rsidR="001A6F97" w:rsidRPr="00BA62DB" w14:paraId="5ABEB287" w14:textId="77777777" w:rsidTr="00DF4D7C">
        <w:trPr>
          <w:trHeight w:val="255"/>
        </w:trPr>
        <w:tc>
          <w:tcPr>
            <w:tcW w:w="3008" w:type="dxa"/>
            <w:gridSpan w:val="2"/>
            <w:tcBorders>
              <w:top w:val="single" w:sz="4" w:space="0" w:color="auto"/>
              <w:bottom w:val="single" w:sz="4" w:space="0" w:color="auto"/>
            </w:tcBorders>
            <w:shd w:val="clear" w:color="auto" w:fill="auto"/>
            <w:noWrap/>
          </w:tcPr>
          <w:p w14:paraId="0006D441"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w:hAnsi="Times New Roman"/>
                <w:bCs/>
                <w:sz w:val="16"/>
                <w:szCs w:val="24"/>
                <w:lang w:val="en-US"/>
              </w:rPr>
              <w:lastRenderedPageBreak/>
              <w:t>Supplementary table 2. (continued)</w:t>
            </w:r>
          </w:p>
        </w:tc>
        <w:tc>
          <w:tcPr>
            <w:tcW w:w="1708" w:type="dxa"/>
            <w:gridSpan w:val="2"/>
            <w:tcBorders>
              <w:top w:val="single" w:sz="4" w:space="0" w:color="auto"/>
              <w:bottom w:val="single" w:sz="4" w:space="0" w:color="auto"/>
            </w:tcBorders>
            <w:shd w:val="clear" w:color="auto" w:fill="auto"/>
            <w:noWrap/>
          </w:tcPr>
          <w:p w14:paraId="21097B3C"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p>
        </w:tc>
        <w:tc>
          <w:tcPr>
            <w:tcW w:w="1322" w:type="dxa"/>
            <w:tcBorders>
              <w:top w:val="single" w:sz="4" w:space="0" w:color="auto"/>
              <w:bottom w:val="single" w:sz="4" w:space="0" w:color="auto"/>
            </w:tcBorders>
            <w:shd w:val="clear" w:color="auto" w:fill="auto"/>
            <w:noWrap/>
          </w:tcPr>
          <w:p w14:paraId="03C97A6E"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623" w:type="dxa"/>
            <w:gridSpan w:val="2"/>
            <w:tcBorders>
              <w:top w:val="single" w:sz="4" w:space="0" w:color="auto"/>
              <w:bottom w:val="single" w:sz="4" w:space="0" w:color="auto"/>
            </w:tcBorders>
            <w:shd w:val="clear" w:color="auto" w:fill="auto"/>
            <w:noWrap/>
          </w:tcPr>
          <w:p w14:paraId="636A6F9A"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379" w:type="dxa"/>
            <w:tcBorders>
              <w:top w:val="single" w:sz="4" w:space="0" w:color="auto"/>
              <w:bottom w:val="single" w:sz="4" w:space="0" w:color="auto"/>
            </w:tcBorders>
            <w:shd w:val="clear" w:color="auto" w:fill="auto"/>
            <w:noWrap/>
          </w:tcPr>
          <w:p w14:paraId="05485625"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797" w:type="dxa"/>
            <w:tcBorders>
              <w:top w:val="single" w:sz="4" w:space="0" w:color="auto"/>
              <w:bottom w:val="single" w:sz="4" w:space="0" w:color="auto"/>
            </w:tcBorders>
            <w:shd w:val="clear" w:color="auto" w:fill="auto"/>
            <w:noWrap/>
          </w:tcPr>
          <w:p w14:paraId="431D6BD5"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r>
      <w:tr w:rsidR="001A6F97" w:rsidRPr="001F70C0" w14:paraId="7FC577CC" w14:textId="77777777" w:rsidTr="00DF4D7C">
        <w:trPr>
          <w:trHeight w:val="255"/>
        </w:trPr>
        <w:tc>
          <w:tcPr>
            <w:tcW w:w="2552" w:type="dxa"/>
            <w:tcBorders>
              <w:top w:val="single" w:sz="4" w:space="0" w:color="auto"/>
              <w:bottom w:val="single" w:sz="4" w:space="0" w:color="auto"/>
            </w:tcBorders>
            <w:shd w:val="clear" w:color="auto" w:fill="auto"/>
            <w:noWrap/>
          </w:tcPr>
          <w:p w14:paraId="60D3D150" w14:textId="77777777" w:rsidR="001A6F97" w:rsidRPr="001F70C0"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New Roman" w:hAnsi="Times New Roman"/>
                <w:bCs/>
                <w:color w:val="000000"/>
                <w:sz w:val="16"/>
                <w:szCs w:val="16"/>
                <w:lang w:val="en-US"/>
              </w:rPr>
              <w:t>Studies</w:t>
            </w:r>
          </w:p>
        </w:tc>
        <w:tc>
          <w:tcPr>
            <w:tcW w:w="456" w:type="dxa"/>
            <w:tcBorders>
              <w:top w:val="single" w:sz="4" w:space="0" w:color="auto"/>
              <w:bottom w:val="single" w:sz="4" w:space="0" w:color="auto"/>
            </w:tcBorders>
            <w:shd w:val="clear" w:color="auto" w:fill="auto"/>
            <w:noWrap/>
          </w:tcPr>
          <w:p w14:paraId="3911D5F6"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No.</w:t>
            </w:r>
          </w:p>
        </w:tc>
        <w:tc>
          <w:tcPr>
            <w:tcW w:w="1708" w:type="dxa"/>
            <w:gridSpan w:val="2"/>
            <w:tcBorders>
              <w:top w:val="single" w:sz="4" w:space="0" w:color="auto"/>
              <w:bottom w:val="single" w:sz="4" w:space="0" w:color="auto"/>
            </w:tcBorders>
            <w:shd w:val="clear" w:color="auto" w:fill="auto"/>
            <w:noWrap/>
          </w:tcPr>
          <w:p w14:paraId="7C4A076B"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322" w:type="dxa"/>
            <w:tcBorders>
              <w:top w:val="single" w:sz="4" w:space="0" w:color="auto"/>
              <w:bottom w:val="single" w:sz="4" w:space="0" w:color="auto"/>
            </w:tcBorders>
            <w:shd w:val="clear" w:color="auto" w:fill="auto"/>
            <w:noWrap/>
          </w:tcPr>
          <w:p w14:paraId="3F0B97E5"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3ACF0821"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1623" w:type="dxa"/>
            <w:gridSpan w:val="2"/>
            <w:tcBorders>
              <w:top w:val="single" w:sz="4" w:space="0" w:color="auto"/>
              <w:bottom w:val="single" w:sz="4" w:space="0" w:color="auto"/>
            </w:tcBorders>
            <w:shd w:val="clear" w:color="auto" w:fill="auto"/>
            <w:noWrap/>
          </w:tcPr>
          <w:p w14:paraId="3377AEF5"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117FC619"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Median (range)</w:t>
            </w:r>
          </w:p>
        </w:tc>
        <w:tc>
          <w:tcPr>
            <w:tcW w:w="1379" w:type="dxa"/>
            <w:tcBorders>
              <w:top w:val="single" w:sz="4" w:space="0" w:color="auto"/>
              <w:bottom w:val="single" w:sz="4" w:space="0" w:color="auto"/>
            </w:tcBorders>
            <w:shd w:val="clear" w:color="auto" w:fill="auto"/>
            <w:noWrap/>
          </w:tcPr>
          <w:p w14:paraId="6DDF5F6E"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2D5D0190"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797" w:type="dxa"/>
            <w:tcBorders>
              <w:top w:val="single" w:sz="4" w:space="0" w:color="auto"/>
              <w:bottom w:val="single" w:sz="4" w:space="0" w:color="auto"/>
            </w:tcBorders>
            <w:shd w:val="clear" w:color="auto" w:fill="auto"/>
            <w:noWrap/>
          </w:tcPr>
          <w:p w14:paraId="6411BBDD"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WHO&gt;2 </w:t>
            </w:r>
          </w:p>
          <w:p w14:paraId="1761033A"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r>
      <w:tr w:rsidR="00B61A3A" w:rsidRPr="007D2E2F" w14:paraId="784EE15C" w14:textId="77777777" w:rsidTr="00B61A3A">
        <w:trPr>
          <w:trHeight w:val="255"/>
        </w:trPr>
        <w:tc>
          <w:tcPr>
            <w:tcW w:w="4716" w:type="dxa"/>
            <w:gridSpan w:val="4"/>
            <w:shd w:val="clear" w:color="auto" w:fill="auto"/>
            <w:noWrap/>
            <w:hideMark/>
          </w:tcPr>
          <w:p w14:paraId="1471039F" w14:textId="77777777" w:rsidR="00B61A3A" w:rsidRPr="007D2E2F" w:rsidRDefault="00B61A3A" w:rsidP="00B61A3A">
            <w:pPr>
              <w:tabs>
                <w:tab w:val="left" w:pos="2751"/>
              </w:tabs>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Cisplatin+S-1</w:t>
            </w:r>
            <w:r w:rsidRPr="007D2E2F">
              <w:rPr>
                <w:rFonts w:ascii="Times New Roman" w:eastAsia="Times New Roman" w:hAnsi="Times New Roman"/>
                <w:color w:val="000000"/>
                <w:sz w:val="16"/>
                <w:szCs w:val="16"/>
              </w:rPr>
              <w:tab/>
            </w:r>
            <w:r w:rsidRPr="007D2E2F">
              <w:rPr>
                <w:rFonts w:ascii="Times New Roman" w:eastAsia="Times New Roman" w:hAnsi="Times New Roman"/>
                <w:color w:val="000000"/>
                <w:sz w:val="16"/>
                <w:szCs w:val="16"/>
                <w:u w:val="single"/>
              </w:rPr>
              <w:t>CF</w:t>
            </w:r>
          </w:p>
        </w:tc>
        <w:tc>
          <w:tcPr>
            <w:tcW w:w="1322" w:type="dxa"/>
            <w:shd w:val="clear" w:color="auto" w:fill="auto"/>
            <w:noWrap/>
            <w:hideMark/>
          </w:tcPr>
          <w:p w14:paraId="4EA4A7C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1DC46B6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13595BE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6626C48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7EE2C14A" w14:textId="77777777" w:rsidTr="00B61A3A">
        <w:trPr>
          <w:trHeight w:val="255"/>
        </w:trPr>
        <w:tc>
          <w:tcPr>
            <w:tcW w:w="2552" w:type="dxa"/>
            <w:shd w:val="clear" w:color="auto" w:fill="auto"/>
            <w:noWrap/>
            <w:hideMark/>
          </w:tcPr>
          <w:p w14:paraId="05287099" w14:textId="446BC235"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Jin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{"citationItems":[{"id":"ITEM-1","itemData":{"DOI":"10.1200/jco.2008.26.15_suppl.4533","ISSN":"0732-183X","abstract":"4533 Background: SP has been widely used against AGC in Japan. To further evaluate the efficacy and safety for SP in Chinese, we conducted a 3-arm study to investigate superiority of SP to S-1 and FP in pts with AGC. The primary endpoint was response rate (RR) and secondary endpoints were time to treatment failure (TTF), overall survival (OS) and safety. Methods: Treatments with Arm A (S-1 montherapy: S-1 80 mg/m2/d, d1?28, q6w); Arm B (SP: S-1 80 mg/m2/d, d1?21, plus CDDP 60 mg/m2 iv d8, q5w); Arm C (FP: 5-FU 600 mg/m2/d, civ, plus CDDP 20 mg/m2/d, iv 30 minutes, d1?d5, q4w) were continued until disease progression or unacceptable toxicities. Eligibility criteria included unresectable/recurrent AGC, age≥18 years, and no prior chemotherapy. With 60 pts per arm, the trial was designed to have 80% power to detect an improvement of Arm B in RR (2 sided significance level p=0.025). CMH test was applied to RR. Log-rank test and Kaplan-Meier estimation were applied to TTF and OS. Used IRC (Independent Review Committee) evaluation as RR results. Arm C patients could switch to S-1 after treatment failure. Results: From July 2005 to Oct 2006, 230 pts (Arm A/B/C, 80/76/74) were randomized. The FAS were 224 patients (Arm A/B/C, 77/74/73). Median age was 57/56.5/58 yrs. RR(%) of Arm A/B/C were 24.7/37.8/19.2. The RR of Arm B was superior to Arm C (CMH p=0.021, odd ratio: 0.387, 95%CI:0.177?0.847). The MST (days) were 267 (95%CI:202?323)/433 (95%CI:365-)/309 (95%CI:238-) at the time of analysis (Jan 15, 2007) when 42% of pts were dead. The OS of Arm B was superior to Arm C (Log-rank p=0.038) and Arm A (Log-rank p&lt;0.001). The TTF (days) were 126 (95%CI: 92?152)/159 (95%CI:146?220)/85 (95%CI:66?106). The TTF of Arm B was superior to Arm C (Log-rank p&lt;0.001) and Arm A (Log-rank p=0.008). 41 pts in Arm C switched to S-1 with the RR 14.6%. The most common grade 3/4 toxicities in Arm A/B/C (%) were: anemia, 2.5/5.3/5.4; leucopenia, 1.3/13.2/9.5; neutropenia, 3.8/17.1/16.2; PLT decreased, 0/6.6/12.2; nausea, 0/2.6/5.4; vomiting, 1.3/6.6/12.2; diarrhea, 3.8/6.6/0. No new drug- related SAE was observed. Conclusions: Both S-1 and SP regimen were found to be effective and well tolerated. Furthermore SP could be one of the standard regimens in Chinese pts with AGC. No significant financial relationships to disclose.","author":[{"dropping-particle":"","family":"Jin","given":"M","non-dropping-particle":"","parse-names":false,"suffix":""},{"dropping-particle":"","family":"Lu","given":"H","non-dropping-particle":"","parse-names":false,"suffix":""},{"dropping-particle":"","family":"Li","given":"J","non-dropping-particle":"","parse-names":false,"suffix":""},{"dropping-particle":"","family":"Shen","given":"L","non-dropping-particle":"","parse-names":false,"suffix":""},{"dropping-particle":"","family":"Chen","given":"Z","non-dropping-particle":"","parse-names":false,"suffix":""},{"dropping-particle":"","family":"Shi","given":"Y","non-dropping-particle":"","parse-names":false,"suffix":""},{"dropping-particle":"","family":"Song","given":"S","non-dropping-particle":"","parse-names":false,"suffix":""},{"dropping-particle":"","family":"Qin","given":"S","non-dropping-particle":"","parse-names":false,"suffix":""},{"dropping-particle":"","family":"Liu","given":"J","non-dropping-particle":"","parse-names":false,"suffix":""},{"dropping-particle":"","family":"Ouyang","given":"X","non-dropping-particle":"","parse-names":false,"suffix":""}],"container-title":"Journal of Clinical Oncology","id":"ITEM-1","issue":"15_suppl","issued":{"date-parts":[["2008","5","20"]]},"note":"doi: 10.1200/jco.2008.26.15_suppl.4533","page":"4533","publisher":"American Society of Clinical Oncology","title":"Ramdomized 3-armed phase III study of S-1 monotherapy versus S-1/CDDP (SP) versus 5-FU/CDDP (FP) in patients (pts) with advanced gastric cancer (AGC): SC-101 study","type":"article-journal","volume":"26"},"uris":["http://www.mendeley.com/documents/?uuid=22acd657-1ef0-494c-9fb3-f46a9f69e010"]}],"mendeley":{"formattedCitation":"[15]","plainTextFormattedCitation":"[15]","previouslyFormattedCitation":"[15]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B745FE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74</w:t>
            </w:r>
          </w:p>
        </w:tc>
        <w:tc>
          <w:tcPr>
            <w:tcW w:w="1708" w:type="dxa"/>
            <w:gridSpan w:val="2"/>
            <w:shd w:val="clear" w:color="auto" w:fill="auto"/>
            <w:noWrap/>
            <w:hideMark/>
          </w:tcPr>
          <w:p w14:paraId="3A8FA48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33A72B0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55 (74)</w:t>
            </w:r>
          </w:p>
        </w:tc>
        <w:tc>
          <w:tcPr>
            <w:tcW w:w="1623" w:type="dxa"/>
            <w:gridSpan w:val="2"/>
            <w:shd w:val="clear" w:color="auto" w:fill="auto"/>
            <w:noWrap/>
            <w:hideMark/>
          </w:tcPr>
          <w:p w14:paraId="2F29910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57 (24-80)</w:t>
            </w:r>
          </w:p>
        </w:tc>
        <w:tc>
          <w:tcPr>
            <w:tcW w:w="1379" w:type="dxa"/>
            <w:shd w:val="clear" w:color="auto" w:fill="auto"/>
            <w:noWrap/>
            <w:hideMark/>
          </w:tcPr>
          <w:p w14:paraId="68AE180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79DBC35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7D2E2F" w14:paraId="6E1495FA" w14:textId="77777777" w:rsidTr="00B61A3A">
        <w:trPr>
          <w:trHeight w:val="255"/>
        </w:trPr>
        <w:tc>
          <w:tcPr>
            <w:tcW w:w="2552" w:type="dxa"/>
            <w:shd w:val="clear" w:color="auto" w:fill="auto"/>
            <w:noWrap/>
            <w:hideMark/>
          </w:tcPr>
          <w:p w14:paraId="5C1E337C" w14:textId="63186614"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Koizumi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{"citationItems":[{"id":"ITEM-1","itemData":{"DOI":"10.1016/S1470-2045(08)70035-4","ISBN":"1474-5488 (Electronic)\\n1470-2045 (Linking)","ISSN":"14702045","PMID":"18282805","abstract":"Background: Phase I/II clinical trials of S-1 plus cisplatin for advanced gastric cancer have yielded good responses and the treatment was well tolerated. In this S-1 Plus cisplatin versus S-1 In RCT In the Treatment for Stomach cancer (SPIRITS) trial, we aimed to verify that overall survival was better in patients with advanced gastric cancer treated with S-1 plus cisplatin than with S-1 alone. Methods: In this phase III trial, chemotherapy-naive patients with advanced gastric cancer were enrolled betweeen March 26, 2002, and Nov 30, 2004, at 38 centres in Japan, and randomly assigned to S-1 plus cisplatin or S-1 alone. In patients assigned to S-1 plus cisplatin, S-1 (40-60 mg depending on patient's body surface area) was given orally, twice daily for 3 consecutive weeks, and 60 mg/m2 cisplatin was given intravenously on day 8, followed by a 2-week rest period, within a 5-week cycle. Those assigned to S-1 alone received the same dose of S-1 twice daily for 4 consecutive weeks, followed by a 2-week rest period, within a 6-week cycle. The primary endpoint was overall survival. Secondary endpoints were progression-free survival, proportions of responders, and safety. Analysis was by intention to treat. This trial is registered with ClinicalTrials.gov, number NCT00150670. Findings: 305 patients were enrolled; seven patients were ineligible or withdrew consent, therefore, 148 patients were assigned to S-1 plus cisplatin and 150 patients were assigned to S-1 alone. Median overall survival was significantly longer in patients assigned to S-1 plus cisplatin (13·0 months [IQR 7·6-21·9]) than in those assigned to S-1 alone (11·0 months [5·6-19·8]; hazard ratio for death, 0·77; 95% CI 0·61-0·98; p=0·04). Progression-free survival was significantly longer in patients assigned to S-1 plus cisplatin than in those assigned to S-1 alone (median progression-free survival 6·0 months [3·3-12·9] vs 4·0 months [2·1-6·8]; p&lt;0·0001). Additionally, of 87 patients assigned S-1 plus cisplatin who had target tumours, one patient had a complete response and 46 patients had partial responses, ie, a total of 54% (range 43-65). Of 106 patients assigned S-1 alone who had target tumours, one patient had a complete response and 32 had partial responses, ie, a total of 31% (23-41). We recorded more grade 3 or 4 adverse events including leucopenia, neutropenia, anaemia, nausea, and anorexia, in the group assigned to S-1 plus cisplatin than in the group assigned to S-1 alone. There were n…","author":[{"dropping-particle":"","family":"Koizumi","given":"Wasaburo","non-dropping-particle":"","parse-names":false,"suffix":""},{"dropping-particle":"","family":"Narahara","given":"Hiroyuki","non-dropping-particle":"","parse-names":false,"suffix":""},{"dropping-particle":"","family":"Hara","given":"Takuo","non-dropping-particle":"","parse-names":false,"suffix":""},{"dropping-particle":"","family":"Takagane","given":"Akinori","non-dropping-particle":"","parse-names":false,"suffix":""},{"dropping-particle":"","family":"Akiya","given":"Toshikazu","non-dropping-particle":"","parse-names":false,"suffix":""},{"dropping-particle":"","family":"Takagi","given":"Masakazu","non-dropping-particle":"","parse-names":false,"suffix":""},{"dropping-particle":"","family":"Miyashita","given":"Kosei","non-dropping-particle":"","parse-names":false,"suffix":""},{"dropping-particle":"","family":"Nishizaki","given":"Takashi","non-dropping-particle":"","parse-names":false,"suffix":""},{"dropping-particle":"","family":"Kobayashi","given":"Osamu","non-dropping-particle":"","parse-names":false,"suffix":""},{"dropping-particle":"","family":"Takiyama","given":"Wataru","non-dropping-particle":"","parse-names":false,"suffix":""},{"dropping-particle":"","family":"Toh","given":"Yasushi","non-dropping-particle":"","parse-names":false,"suffix":""},{"dropping-particle":"","family":"Nagaie","given":"Takashi","non-dropping-particle":"","parse-names":false,"suffix":""},{"dropping-particle":"","family":"Takagi","given":"Seiichi","non-dropping-particle":"","parse-names":false,"suffix":""},{"dropping-particle":"","family":"Yamamura","given":"Yoshitaka","non-dropping-particle":"","parse-names":false,"suffix":""},{"dropping-particle":"","family":"Yanaoka","given":"Kimihiko","non-dropping-particle":"","parse-names":false,"suffix":""},{"dropping-particle":"","family":"Orita","given":"Hiroyuki","non-dropping-particle":"","parse-names":false,"suffix":""},{"dropping-particle":"","family":"Takeuchi","given":"Masahiro","non-dropping-particle":"","parse-names":false,"suffix":""}],"container-title":"The Lancet Oncology","id":"ITEM-1","issue":"3","issued":{"date-parts":[["2008"]]},"page":"215-221","title":"S-1 plus cisplatin versus S-1 alone for first-line treatment of advanced gastric cancer (SPIRITS trial): a phase III trial","type":"article-journal","volume":"9"},"uris":["http://www.mendeley.com/documents/?uuid=84c56869-12d8-45c3-b4bb-6c170d323742"]}],"mendeley":{"formattedCitation":"[16]","plainTextFormattedCitation":"[16]","previouslyFormattedCitation":"[16]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DAA02C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148</w:t>
            </w:r>
          </w:p>
        </w:tc>
        <w:tc>
          <w:tcPr>
            <w:tcW w:w="1708" w:type="dxa"/>
            <w:gridSpan w:val="2"/>
            <w:shd w:val="clear" w:color="auto" w:fill="auto"/>
            <w:noWrap/>
            <w:hideMark/>
          </w:tcPr>
          <w:p w14:paraId="4E3940E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057B584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108 (73)</w:t>
            </w:r>
          </w:p>
        </w:tc>
        <w:tc>
          <w:tcPr>
            <w:tcW w:w="1623" w:type="dxa"/>
            <w:gridSpan w:val="2"/>
            <w:shd w:val="clear" w:color="auto" w:fill="auto"/>
            <w:noWrap/>
            <w:hideMark/>
          </w:tcPr>
          <w:p w14:paraId="67F743E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(33-74)</w:t>
            </w:r>
          </w:p>
        </w:tc>
        <w:tc>
          <w:tcPr>
            <w:tcW w:w="1379" w:type="dxa"/>
            <w:shd w:val="clear" w:color="auto" w:fill="auto"/>
            <w:noWrap/>
            <w:hideMark/>
          </w:tcPr>
          <w:p w14:paraId="13F5157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148 (100)</w:t>
            </w:r>
          </w:p>
        </w:tc>
        <w:tc>
          <w:tcPr>
            <w:tcW w:w="797" w:type="dxa"/>
            <w:shd w:val="clear" w:color="auto" w:fill="auto"/>
            <w:noWrap/>
            <w:hideMark/>
          </w:tcPr>
          <w:p w14:paraId="3C46401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(3)</w:t>
            </w:r>
          </w:p>
        </w:tc>
      </w:tr>
      <w:tr w:rsidR="00B61A3A" w:rsidRPr="007D2E2F" w14:paraId="6AD67434" w14:textId="77777777" w:rsidTr="00B61A3A">
        <w:trPr>
          <w:trHeight w:val="60"/>
        </w:trPr>
        <w:tc>
          <w:tcPr>
            <w:tcW w:w="2552" w:type="dxa"/>
            <w:shd w:val="clear" w:color="auto" w:fill="auto"/>
            <w:noWrap/>
            <w:hideMark/>
          </w:tcPr>
          <w:p w14:paraId="26CA94CD" w14:textId="5F9CF393"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Yamada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{"citationItems":[{"id":"ITEM-1","itemData":{"DOI":"10.1093/annonc/mdu472","ISBN":"8133542251","ISSN":"0923-7534","PMID":"25316259","abstract":"BACKGROUND: We evaluated the efficacy and safety of S-1 plus oxaliplatin (SOX) as an alternative to cisplatin plus S-1 (CS) in first-line chemotherapy for advanced gastric cancer (AGC).\\n\\nPATIENTS AND METHODS: In this randomized, open-label, multicenter phase III study, patients were randomly assigned to receive SOX (80-120 mg/day S-1 for 2 weeks with 100 mg/m(2) oxaliplatin on day 1, every 3 weeks) or CS (S-1 for 3 weeks with 60 mg/m(2) cisplatin on day 8, every 5 weeks). The primary end points were noninferiority in progression-free survival (PFS) and relative efficacy in overall survival (OS) for SOX using adjusted hazard ratios (HRs) with stratification factors; performance status and unresectable or recurrent (+adjuvant chemotherapy) disease.\\n\\nRESULTS: Overall, 685 patients were randomized from January 2010 to October 2011. In per-protocol population, SOX (n = 318) was noninferior to CS (n = 324) in PFS [median, 5.5 versus 5.4 months; HR 1.004, 95% confidence interval (CI) 0.840-1.199; predefined noninferiority margin 1.30]. The median OS for SOX and CS were 14.1 and 13.1 months, respectively (HR 0.958 with 95% CI 0.803-1.142). In the intention-to-treat population (SOX, n = 339; CS, n = 337), the HRs in PFS and OS were 0.979 (95% CI 0.821-1.167) and 0.934 (95% CI 0.786-1.108), respectively. The most common ≥grade 3 adverse events (SOX versus CS) were neutropenia (19.5% versus 41.8%), anemia (15.1% versus 32.5%), hyponatremia (4.4% versus 13.4%), febrile neutropenia (0.9% versus 6.9%), and sensory neuropathy (4.7% versus 0%).\\n\\nCONCLUSION: SOX is as effective as CS for AGC with favorable safety profile, therefore SOX can replace CS.\\n\\nCLINICAL TRIAL NUMBER: JapicCTI-101021.","author":[{"dropping-particle":"","family":"Yamada","given":"Y.","non-dropping-particle":"","parse-names":false,"suffix":""},{"dropping-particle":"","family":"Higuchi","given":"K.","non-dropping-particle":"","parse-names":false,"suffix":""},{"dropping-particle":"","family":"Nishikawa","given":"K.","non-dropping-particle":"","parse-names":false,"suffix":""},{"dropping-particle":"","family":"Gotoh","given":"M.","non-dropping-particle":"","parse-names":false,"suffix":""},{"dropping-particle":"","family":"Fuse","given":"N.","non-dropping-particle":"","parse-names":false,"suffix":""},{"dropping-particle":"","family":"Sugimoto","given":"N.","non-dropping-particle":"","parse-names":false,"suffix":""},{"dropping-particle":"","family":"Nishina","given":"T.","non-dropping-particle":"","parse-names":false,"suffix":""},{"dropping-particle":"","family":"Amagai","given":"K.","non-dropping-particle":"","parse-names":false,"suffix":""},{"dropping-particle":"","family":"Chin","given":"K.","non-dropping-particle":"","parse-names":false,"suffix":""},{"dropping-particle":"","family":"Niwa","given":"Y.","non-dropping-particle":"","parse-names":false,"suffix":""},{"dropping-particle":"","family":"Tsuji","given":"A.","non-dropping-particle":"","parse-names":false,"suffix":""},{"dropping-particle":"","family":"Imamura","given":"H.","non-dropping-particle":"","parse-names":false,"suffix":""},{"dropping-particle":"","family":"Tsuda","given":"M.","non-dropping-particle":"","parse-names":false,"suffix":""},{"dropping-particle":"","family":"Yasui","given":"H.","non-dropping-particle":"","parse-names":false,"suffix":""},{"dropping-particle":"","family":"Fujii","given":"H.","non-dropping-particle":"","parse-names":false,"suffix":""},{"dropping-particle":"","family":"Yamaguchi","given":"K.","non-dropping-particle":"","parse-names":false,"suffix":""},{"dropping-particle":"","family":"Yasui","given":"H.","non-dropping-particle":"","parse-names":false,"suffix":""},{"dropping-particle":"","family":"Hironaka","given":"S.","non-dropping-particle":"","parse-names":false,"suffix":""},{"dropping-particle":"","family":"Shimada","given":"K.","non-dropping-particle":"","parse-names":false,"suffix":""},{"dropping-particle":"","family":"Miwa","given":"H.","non-dropping-particle":"","parse-names":false,"suffix":""},{"dropping-particle":"","family":"Hamada","given":"C.","non-dropping-particle":"","parse-names":false,"suffix":""},{"dropping-particle":"","family":"Hyodo","given":"I.","non-dropping-particle":"","parse-names":false,"suffix":""}],"container-title":"Annals of Oncology","id":"ITEM-1","issue":"1","issued":{"date-parts":[["2014"]]},"page":"141-148","title":"Phase III study comparing oxaliplatin plus S-1 with cisplatin plus S-1 in chemotherapy-naïve patients with advanced gastric cancer","type":"article-journal","volume":"26"},"uris":["http://www.mendeley.com/documents/?uuid=4e64bf08-fe80-413a-b0bf-ee4645732635"]}],"mendeley":{"formattedCitation":"[36]","plainTextFormattedCitation":"[36]","previouslyFormattedCitation":"[36]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4BB556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335</w:t>
            </w:r>
          </w:p>
        </w:tc>
        <w:tc>
          <w:tcPr>
            <w:tcW w:w="1708" w:type="dxa"/>
            <w:gridSpan w:val="2"/>
            <w:shd w:val="clear" w:color="auto" w:fill="auto"/>
            <w:noWrap/>
            <w:hideMark/>
          </w:tcPr>
          <w:p w14:paraId="61C88E4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66076AF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237 (73)</w:t>
            </w:r>
          </w:p>
        </w:tc>
        <w:tc>
          <w:tcPr>
            <w:tcW w:w="1623" w:type="dxa"/>
            <w:gridSpan w:val="2"/>
            <w:shd w:val="clear" w:color="auto" w:fill="auto"/>
            <w:noWrap/>
            <w:hideMark/>
          </w:tcPr>
          <w:p w14:paraId="45A0A8B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(29-85)</w:t>
            </w:r>
          </w:p>
        </w:tc>
        <w:tc>
          <w:tcPr>
            <w:tcW w:w="1379" w:type="dxa"/>
            <w:shd w:val="clear" w:color="auto" w:fill="auto"/>
            <w:noWrap/>
            <w:hideMark/>
          </w:tcPr>
          <w:p w14:paraId="3F75DD9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324 (100)</w:t>
            </w:r>
          </w:p>
        </w:tc>
        <w:tc>
          <w:tcPr>
            <w:tcW w:w="797" w:type="dxa"/>
            <w:shd w:val="clear" w:color="auto" w:fill="auto"/>
            <w:noWrap/>
            <w:hideMark/>
          </w:tcPr>
          <w:p w14:paraId="27C27A3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(1)</w:t>
            </w:r>
          </w:p>
        </w:tc>
      </w:tr>
      <w:tr w:rsidR="00B61A3A" w:rsidRPr="007D2E2F" w14:paraId="2349045D" w14:textId="77777777" w:rsidTr="00B61A3A">
        <w:trPr>
          <w:trHeight w:val="255"/>
        </w:trPr>
        <w:tc>
          <w:tcPr>
            <w:tcW w:w="2552" w:type="dxa"/>
            <w:shd w:val="clear" w:color="auto" w:fill="auto"/>
            <w:noWrap/>
            <w:hideMark/>
          </w:tcPr>
          <w:p w14:paraId="4034D6E4" w14:textId="2D6E2BD6"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Mochiki 2012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{"citationItems":[{"id":"ITEM-1","itemData":{"DOI":"10.1038/bjc.2012.222","ISBN":"1532-1827","ISSN":"00070920","PMID":"22617130","abstract":"BACKGROUND: A combination of S-1 and cisplatin has been shown to be effective with acceptable safety for the first-line treatment of far-advanced gastric cancer in Japan. This is the first randomised phase II trial to compare S-1+paclitaxel with S-1+cisplatin in this setting.\\n\\nMETHODS: Patients with unresectable and/or recurrent advanced gastric cancer were randomly assigned to receive one of the two regimens: S-1 (40 mg m(-2) twice daily) on days 1-14 plus paclitaxel (60 mg m(-2)) on days 1, 8, and 15 of a 4-week cycle (S-1+paclitaxel) or S-1 (40 mg m(-2) twice daily) on days 1-21 plus cisplatin (60 mg m(-2)) on day 8 of a 5-week cycle (S-1+cisplatin). The primary end point was the response rate (RR). Secondary end points included progression-free survival (PFS), overall survival (OS), and safety.\\n\\nRESULTS: A total of 83 patients were eligible for safety and efficacy analyses. In the S-1+paclitaxel and S-1+cisplatin groups, RRs (52.3% vs 48.7%; P=0.74) and median PFS (9 vs 6 months; P=0.50) were similar. The median OS was similar in the S-1+paclitaxel and S-1+cisplatin groups (16 vs 17 months; P=0.84). The incidence of grade 3 or higher haematological toxicity was 19.0% with S-1+paclitaxel and 19.5% with S-1+cisplatin. The incidence of grade 3 or higher non-haematological toxicity was 14.2% with S-1+paclitaxel and 17.1% with S-1+cisplatin.\\n\\nCONCLUSION: S-1+paclitaxel was suggested to be a feasible and effective non-platinum-based regimen for chemotherapy in patients with advanced gastric cancer. Our results should be confirmed in multicenter, phase III-controlled clinical trials.","author":[{"dropping-particle":"","family":"Mochiki","given":"E.","non-dropping-particle":"","parse-names":false,"suffix":""},{"dropping-particle":"","family":"Ogata","given":"K.","non-dropping-particle":"","parse-names":false,"suffix":""},{"dropping-particle":"","family":"Ohno","given":"T.","non-dropping-particle":"","parse-names":false,"suffix":""},{"dropping-particle":"","family":"Toyomasu","given":"Y.","non-dropping-particle":"","parse-names":false,"suffix":""},{"dropping-particle":"","family":"Haga","given":"N.","non-dropping-particle":"","parse-names":false,"suffix":""},{"dropping-particle":"","family":"Fukai","given":"Y.","non-dropping-particle":"","parse-names":false,"suffix":""},{"dropping-particle":"","family":"Aihara","given":"R.","non-dropping-particle":"","parse-names":false,"suffix":""},{"dropping-particle":"","family":"Ando","given":"H.","non-dropping-particle":"","parse-names":false,"suffix":""},{"dropping-particle":"","family":"Uchida","given":"N.","non-dropping-particle":"","parse-names":false,"suffix":""},{"dropping-particle":"","family":"Asao","given":"T.","non-dropping-particle":"","parse-names":false,"suffix":""},{"dropping-particle":"","family":"Kuwano","given":"H.","non-dropping-particle":"","parse-names":false,"suffix":""}],"container-title":"British Journal of Cancer","id":"ITEM-1","issue":"1","issued":{"date-parts":[["2012"]]},"page":"31-36","publisher":"Nature Publishing Group","title":"Phase II multi-institutional prospective randomised trial comparing S-1paclitaxel with S-1cisplatin in patients with unresectable and/or recurrent advanced gastric cancer","type":"article-journal","volume":"107"},"uris":["http://www.mendeley.com/documents/?uuid=ac3f0616-406b-413a-86fb-f0c7fbbb1f31"]}],"mendeley":{"formattedCitation":"[37]","plainTextFormattedCitation":"[37]","previouslyFormattedCitation":"[37]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624C72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41</w:t>
            </w:r>
          </w:p>
        </w:tc>
        <w:tc>
          <w:tcPr>
            <w:tcW w:w="1708" w:type="dxa"/>
            <w:gridSpan w:val="2"/>
            <w:shd w:val="clear" w:color="auto" w:fill="auto"/>
            <w:noWrap/>
            <w:hideMark/>
          </w:tcPr>
          <w:p w14:paraId="0BF9640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797F759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 (73)</w:t>
            </w:r>
          </w:p>
        </w:tc>
        <w:tc>
          <w:tcPr>
            <w:tcW w:w="1623" w:type="dxa"/>
            <w:gridSpan w:val="2"/>
            <w:shd w:val="clear" w:color="auto" w:fill="auto"/>
            <w:noWrap/>
            <w:hideMark/>
          </w:tcPr>
          <w:p w14:paraId="29CE6D1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63 (NA)</w:t>
            </w:r>
          </w:p>
        </w:tc>
        <w:tc>
          <w:tcPr>
            <w:tcW w:w="1379" w:type="dxa"/>
            <w:shd w:val="clear" w:color="auto" w:fill="auto"/>
            <w:noWrap/>
            <w:hideMark/>
          </w:tcPr>
          <w:p w14:paraId="6F3C837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41 (100)</w:t>
            </w:r>
          </w:p>
        </w:tc>
        <w:tc>
          <w:tcPr>
            <w:tcW w:w="797" w:type="dxa"/>
            <w:shd w:val="clear" w:color="auto" w:fill="auto"/>
            <w:noWrap/>
            <w:hideMark/>
          </w:tcPr>
          <w:p w14:paraId="7F8B6FB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0DDA87D6" w14:textId="77777777" w:rsidTr="00B61A3A">
        <w:trPr>
          <w:trHeight w:val="255"/>
        </w:trPr>
        <w:tc>
          <w:tcPr>
            <w:tcW w:w="2552" w:type="dxa"/>
            <w:shd w:val="clear" w:color="auto" w:fill="auto"/>
            <w:noWrap/>
            <w:hideMark/>
          </w:tcPr>
          <w:p w14:paraId="433931A3" w14:textId="5AAF4B23"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Du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{"citationItems":[{"id":"ITEM-1","itemData":{"DOI":"10.1097/MD.0000000000000958","ISBN":"0025-7974","ISSN":"0025-7974","PMID":"26061330","abstract":"This open-label, randomized phase II trial was performed to compare the efficacy and safety of nimotuzumab plus S-1 and cisplatin (NCS) versus S-1 and cisplatin (CS) alone in patients with untreated unresectable or metastatic gastric cancer in the first-line setting. Eligible participants were randomly assigned (1:1) to receive either NCS or CS. The treatment consisted of 3-week cycles of twice-daily S-1 40 mg/m2 (on days 1-14) and intravenous cisplatin 30 mg/m2 (on days 1, 2), with or without weekly nimotuzumab (200 mg/m2). The primary endpoint was objective response rate (ORR). The second endpoint included progression-free survival (PFS), overall survival (OS), safety and association between efficacy and tumor epidermal growth factor receptor (EGFR) expression. Between October, 2009, and February, 2012, we enrolled 62 patients in Cancer Hospital Chinese Academy of Medical Sciences (CAMS). The ORR for 31 patients allocated NCS was 54.8% compared with 58.1% for 31 patients who were allocated to receive CS alone (P = 0.798). Median PFS for patients in CS arm was significantly improved than that in NCS arm [7.2 months vs. 4.8 months HR = 2.136 (95% CI 1.193-3.826), P = 0.011]. There was also a trend toward better overall survival for patients in CS arm compared with NCS arm [14.3 months vs. 10.2 months; HR = 1.776 (95% CI 0.972-3.246), P = 0.062]. In the EGFR 2+/3+ subgroup, adding nimotuzumab also failed to show additional benefit than chemotherapy alone. Both groups were well tolerated. Less than 10% of patients in both arms developed grade 3/4 toxicity. Combination of nimotuzumab and S-1-cisplatin provided no additional benefit than chemotherapy alone in the first-line treatment of unresectable or metastatic gastric cancer.\\n","author":[{"dropping-particle":"","family":"Du","given":"Feng","non-dropping-particle":"","parse-names":false,"suffix":""},{"dropping-particle":"","family":"Zheng","given":"Zhaoxu","non-dropping-particle":"","parse-names":false,"suffix":""},{"dropping-particle":"","family":"Shi","given":"SuSheng","non-dropping-particle":"","parse-names":false,"suffix":""},{"dropping-particle":"","family":"Jiang","given":"Zhichao","non-dropping-particle":"","parse-names":false,"suffix":""},{"dropping-particle":"","family":"Qu","given":"Tao","non-dropping-particle":"","parse-names":false,"suffix":""},{"dropping-particle":"","family":"Yuan","given":"Xinhua","non-dropping-particle":"","parse-names":false,"suffix":""},{"dropping-particle":"","family":"Sun","given":"Yongkun","non-dropping-particle":"","parse-names":false,"suffix":""},{"dropping-particle":"","family":"Song","given":"Yan","non-dropping-particle":"","parse-names":false,"suffix":""},{"dropping-particle":"","family":"Yang","given":"Lin","non-dropping-particle":"","parse-names":false,"suffix":""},{"dropping-particle":"","family":"Zhao","given":"Jiuda","non-dropping-particle":"","parse-names":false,"suffix":""},{"dropping-particle":"","family":"Wang","given":"Jinwan","non-dropping-particle":"","parse-names":false,"suffix":""},{"dropping-particle":"","family":"Chi","given":"Yihebali","non-dropping-particle":"","parse-names":false,"suffix":""}],"container-title":"Medicine","id":"ITEM-1","issue":"23","issued":{"date-parts":[["2015"]]},"page":"e958","title":"S-1 and Cisplatin With or Without Nimotuzumab for Patients With Untreated Unresectable or Metastatic Gastric Cancer","type":"article-journal","volume":"94"},"uris":["http://www.mendeley.com/documents/?uuid=b5df4fb8-92fa-4400-99d8-6419506f15f6"]}],"mendeley":{"formattedCitation":"[38]","plainTextFormattedCitation":"[38]","previouslyFormattedCitation":"[38]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432097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w:t>
            </w:r>
          </w:p>
        </w:tc>
        <w:tc>
          <w:tcPr>
            <w:tcW w:w="1708" w:type="dxa"/>
            <w:gridSpan w:val="2"/>
            <w:shd w:val="clear" w:color="auto" w:fill="auto"/>
            <w:noWrap/>
            <w:hideMark/>
          </w:tcPr>
          <w:p w14:paraId="0EA2E0F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199E4F4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26 (84)</w:t>
            </w:r>
          </w:p>
        </w:tc>
        <w:tc>
          <w:tcPr>
            <w:tcW w:w="1623" w:type="dxa"/>
            <w:gridSpan w:val="2"/>
            <w:shd w:val="clear" w:color="auto" w:fill="auto"/>
            <w:noWrap/>
            <w:hideMark/>
          </w:tcPr>
          <w:p w14:paraId="6954634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53 (30-76)</w:t>
            </w:r>
          </w:p>
        </w:tc>
        <w:tc>
          <w:tcPr>
            <w:tcW w:w="1379" w:type="dxa"/>
            <w:shd w:val="clear" w:color="auto" w:fill="auto"/>
            <w:noWrap/>
            <w:hideMark/>
          </w:tcPr>
          <w:p w14:paraId="6571B11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18 (58)</w:t>
            </w:r>
          </w:p>
        </w:tc>
        <w:tc>
          <w:tcPr>
            <w:tcW w:w="797" w:type="dxa"/>
            <w:shd w:val="clear" w:color="auto" w:fill="auto"/>
            <w:noWrap/>
            <w:hideMark/>
          </w:tcPr>
          <w:p w14:paraId="55A3F42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3935E548" w14:textId="77777777" w:rsidTr="00B61A3A">
        <w:trPr>
          <w:trHeight w:val="255"/>
        </w:trPr>
        <w:tc>
          <w:tcPr>
            <w:tcW w:w="2552" w:type="dxa"/>
            <w:shd w:val="clear" w:color="auto" w:fill="auto"/>
            <w:noWrap/>
            <w:hideMark/>
          </w:tcPr>
          <w:p w14:paraId="1399E666" w14:textId="693767E8"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Hironaka 2016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{"citationItems":[{"id":"ITEM-1","itemData":{"DOI":"10.1016/S1470-2045(15)00410-6","ISSN":"14745488","PMID":"26640036","abstract":"Background: Although leucovorin enhances the efficacy of fluorouracil, the anti-tumour activity of S-1 and leucovorin and their combination with oxaliplatin for patients with advanced gastric cancer is unknown. We compared the activity and safety of S-1 plus leucovorin, S-1 plus leucovorin and oxaliplatin, and S-1 plus cisplatin as first-line chemotherapy for advanced gastric cancer. Methods: In this multicentre, randomised, open-label, phase 2 trial, we recruited chemotherapy-naive patients with unresectable or recurrent gastric cancer with measurable lesions aged 20 years or older from 25 general hospitals and specialist centres in Japan. Patients were randomly assigned (1:1:1) centrally to receive S-1 plus leucovorin (S-1 40-60 mg orally plus oral leucovorin 25 mg twice a day for 1 week, every 2 weeks), S-1 plus leucovorin and oxaliplatin (S-1 plus leucovorin and intravenous oxaliplatin 85 mg/m2on day 1, every 2 weeks), or S-1 plus cisplatin (S-1 40-60 mg orally twice a day for 3 weeks, plus intravenous cisplatin 60 mg/m2on day 8, every 5 weeks). Randomisation was done with the minimisation method using performance status (0 vs 1) and tumour stage (stage IV vs recurrent) as stratification factors. The primary endpoint was independently reviewed overall response in the full analysis set. This trial is registered with Japic CTI, number 111635. Findings: Between Oct 20, 2011, and Dec 17, 2012, we enrolled and randomly assigned 145 patients: 49 patients were assigned to S-1 plus leucovorin, 47 to S-1 plus leucovorin and oxaliplatin, and 49 to S-1 plus cisplatin. An objective response assessed by the independent review committee was achieved in 20 (43% [95% CI 28·3-57·8]) of the 47 patients in the S-1 plus leucovorin group, 31 (66% [50·7-79·1]) of the 47 patients in the S-1 plus leucovorin and oxaliplatin group, and 22 (46% [31·4-60·8]) of the 48 patients in the S-1 plus cisplatin group (Fisher's exact test, p=0·84 for S-1 plus leucovorin vs S-1 plus cisplatin, p=0·063 for S-1 plus leucovorin and oxaliplatin vs S-1 plus cisplatin, and p=0·038 for S-1 plus leucovorin and oxaliplatin vs S-1 plus leucovorin). The most common grade 3-4 adverse events were neutropenia (three [6%] of 48 patients in the S-1 plus leucovorin group vs 12 [26%] of 47 patients in the S-1 plus leucovorin and oxaliplatin group vs 17 [35%] of 49 patients in the S-1 plus cisplatin group), decreased appetite (six [13%] vs 14 [30%] vs 12 [24%]), anaemia (five [10%] vs seven [15%] vs 13 [27…","author":[{"dropping-particle":"","family":"Hironaka","given":"Shuichi","non-dropping-particle":"","parse-names":false,"suffix":""},{"dropping-particle":"","family":"Sugimoto","given":"Naotoshi","non-dropping-particle":"","parse-names":false,"suffix":""},{"dropping-particle":"","family":"Yamaguchi","given":"Kensei","non-dropping-particle":"","parse-names":false,"suffix":""},{"dropping-particle":"","family":"Moriwaki","given":"Toshikazu","non-dropping-particle":"","parse-names":false,"suffix":""},{"dropping-particle":"","family":"Komatsu","given":"Yoshito","non-dropping-particle":"","parse-names":false,"suffix":""},{"dropping-particle":"","family":"Nishina","given":"Tomohiro","non-dropping-particle":"","parse-names":false,"suffix":""},{"dropping-particle":"","family":"Tsuji","given":"Akihito","non-dropping-particle":"","parse-names":false,"suffix":""},{"dropping-particle":"","family":"Nakajima","given":"Takako Eguchi","non-dropping-particle":"","parse-names":false,"suffix":""},{"dropping-particle":"","family":"Gotoh","given":"Masahiro","non-dropping-particle":"","parse-names":false,"suffix":""},{"dropping-particle":"","family":"Machida","given":"Nozomu","non-dropping-particle":"","parse-names":false,"suffix":""},{"dropping-particle":"","family":"Bando","given":"Hideaki","non-dropping-particle":"","parse-names":false,"suffix":""},{"dropping-particle":"","family":"Esaki","given":"Taito","non-dropping-particle":"","parse-names":false,"suffix":""},{"dropping-particle":"","family":"Emi","given":"Yasunori","non-dropping-particle":"","parse-names":false,"suffix":""},{"dropping-particle":"","family":"Sekikawa","given":"Takashi","non-dropping-particle":"","parse-names":false,"suffix":""},{"dropping-particle":"","family":"Matsumoto","given":"Shigemi","non-dropping-particle":"","parse-names":false,"suffix":""},{"dropping-particle":"","family":"Takeuchi","given":"Masahiro","non-dropping-particle":"","parse-names":false,"suffix":""},{"dropping-particle":"","family":"Boku","given":"Narikazu","non-dropping-particle":"","parse-names":false,"suffix":""},{"dropping-particle":"","family":"Baba","given":"Hideo","non-dropping-particle":"","parse-names":false,"suffix":""},{"dropping-particle":"","family":"Hyodo","given":"Ichinosuke","non-dropping-particle":"","parse-names":false,"suffix":""}],"container-title":"The Lancet Oncology","id":"ITEM-1","issue":"1","issued":{"date-parts":[["2016"]]},"page":"99-108","publisher":"Elsevier Ltd","title":"S-1 plus leucovorin versus S-1 plus leucovorin and oxaliplatin versus S-1 plus cisplatin in patients with advanced gastric cancer: A randomised, multicentre, open-label, phase 2 trial","type":"article-journal","volume":"17"},"uris":["http://www.mendeley.com/documents/?uuid=7c7ea529-4795-4acd-9b93-bba2e1901429"]}],"mendeley":{"formattedCitation":"[21]","plainTextFormattedCitation":"[21]","previouslyFormattedCitation":"[21]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2289FB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48</w:t>
            </w:r>
          </w:p>
        </w:tc>
        <w:tc>
          <w:tcPr>
            <w:tcW w:w="1708" w:type="dxa"/>
            <w:gridSpan w:val="2"/>
            <w:shd w:val="clear" w:color="auto" w:fill="auto"/>
            <w:noWrap/>
            <w:hideMark/>
          </w:tcPr>
          <w:p w14:paraId="3B84D07B"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713EC8B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38 (79)</w:t>
            </w:r>
          </w:p>
        </w:tc>
        <w:tc>
          <w:tcPr>
            <w:tcW w:w="1623" w:type="dxa"/>
            <w:gridSpan w:val="2"/>
            <w:shd w:val="clear" w:color="auto" w:fill="auto"/>
            <w:noWrap/>
            <w:hideMark/>
          </w:tcPr>
          <w:p w14:paraId="10A6D9A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(59–69)</w:t>
            </w:r>
          </w:p>
        </w:tc>
        <w:tc>
          <w:tcPr>
            <w:tcW w:w="1379" w:type="dxa"/>
            <w:shd w:val="clear" w:color="auto" w:fill="auto"/>
            <w:noWrap/>
            <w:hideMark/>
          </w:tcPr>
          <w:p w14:paraId="6BF8353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48 (100)</w:t>
            </w:r>
          </w:p>
        </w:tc>
        <w:tc>
          <w:tcPr>
            <w:tcW w:w="797" w:type="dxa"/>
            <w:shd w:val="clear" w:color="auto" w:fill="auto"/>
            <w:noWrap/>
            <w:hideMark/>
          </w:tcPr>
          <w:p w14:paraId="2C1EEB4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30B8CB5D" w14:textId="77777777" w:rsidTr="00B61A3A">
        <w:trPr>
          <w:trHeight w:val="255"/>
        </w:trPr>
        <w:tc>
          <w:tcPr>
            <w:tcW w:w="2552" w:type="dxa"/>
            <w:shd w:val="clear" w:color="auto" w:fill="auto"/>
            <w:noWrap/>
            <w:hideMark/>
          </w:tcPr>
          <w:p w14:paraId="63A9BBBE" w14:textId="6D1481CE"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Li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10.18632/oncotarget.5959","ISSN":"1949-2553","author":[{"dropping-particle":"","family":"Li","given":"Yuhong","non-dropping-particle":"","parse-names":false,"suffix":""},{"dropping-particle":"","family":"Qiu","given":"Miaozhen","non-dropping-particle":"","parse-names":false,"suffix":""},{"dropping-particle":"","family":"Xu","given":"Jianming","non-dropping-particle":"","parse-names":false,"suffix":""},{"dropping-particle":"","family":"Sun","given":"Guoping","non-dropping-particle":"","parse-names":false,"suffix":""},{"dropping-particle":"","family":"Lu","given":"Huishan","non-dropping-particle":"","parse-names":false,"suffix":""}],"container-title":"Oncotarget","id":"ITEM-1","issued":{"date-parts":[["2015"]]},"title":"S-1 plus Cisplatin versus fluorouracil plus cisplatin in advanced gastric or gastro-esophageal junction adenocarcinoma patients: a pilot study","type":"article-journal"},"uris":["http://www.mendeley.com/documents/?uuid=5d257c2c-bb68-43aa-8b82-9018edaf2eb3"]}],"mendeley":{"formattedCitation":"[35]","plainTextFormattedCitation":"[35]","previouslyFormattedCitation":"[35]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19457E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120</w:t>
            </w:r>
          </w:p>
        </w:tc>
        <w:tc>
          <w:tcPr>
            <w:tcW w:w="1708" w:type="dxa"/>
            <w:gridSpan w:val="2"/>
            <w:shd w:val="clear" w:color="auto" w:fill="auto"/>
            <w:noWrap/>
            <w:hideMark/>
          </w:tcPr>
          <w:p w14:paraId="32FCA6F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219D084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84 (70)</w:t>
            </w:r>
          </w:p>
        </w:tc>
        <w:tc>
          <w:tcPr>
            <w:tcW w:w="1623" w:type="dxa"/>
            <w:gridSpan w:val="2"/>
            <w:shd w:val="clear" w:color="auto" w:fill="auto"/>
            <w:noWrap/>
            <w:hideMark/>
          </w:tcPr>
          <w:p w14:paraId="2052540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53 (41-65)</w:t>
            </w:r>
          </w:p>
        </w:tc>
        <w:tc>
          <w:tcPr>
            <w:tcW w:w="1379" w:type="dxa"/>
            <w:shd w:val="clear" w:color="auto" w:fill="auto"/>
            <w:noWrap/>
            <w:hideMark/>
          </w:tcPr>
          <w:p w14:paraId="116E91C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120 (100)</w:t>
            </w:r>
          </w:p>
        </w:tc>
        <w:tc>
          <w:tcPr>
            <w:tcW w:w="797" w:type="dxa"/>
            <w:shd w:val="clear" w:color="auto" w:fill="auto"/>
            <w:noWrap/>
            <w:hideMark/>
          </w:tcPr>
          <w:p w14:paraId="59DA8F5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 (6)</w:t>
            </w:r>
          </w:p>
        </w:tc>
      </w:tr>
      <w:tr w:rsidR="00B61A3A" w:rsidRPr="007D2E2F" w14:paraId="40D398A3" w14:textId="77777777" w:rsidTr="00B61A3A">
        <w:trPr>
          <w:trHeight w:val="255"/>
        </w:trPr>
        <w:tc>
          <w:tcPr>
            <w:tcW w:w="2552" w:type="dxa"/>
            <w:shd w:val="clear" w:color="auto" w:fill="auto"/>
            <w:noWrap/>
            <w:hideMark/>
          </w:tcPr>
          <w:p w14:paraId="3C5E821B" w14:textId="77777777"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Ryu 2015 (SOS) </w:t>
            </w:r>
          </w:p>
          <w:p w14:paraId="10B21F0D" w14:textId="14021D3D"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3 weeks cisplatin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{"citationItems":[{"id":"ITEM-1","itemData":{"DOI":"10.1093/annonc/mdv316","ISBN":"2127728521","ISSN":"15698041","PMID":"26216386","abstract":"BACKGROUND Five-weekly S-1 plus cisplatin (SP5) is one of the standard first-line regimens for advanced gastric cancer (GC), proven in a Japanese phase III study. To enhance the dose intensity of cisplatin, 3-weekly S-1 plus cisplatin (SP3) was developed. PATIENTS AND METHODS This multicenter, randomized, open-label, phase III study evaluated whether SP3 (S-1 80 mg/m(2)/day on days 1-14 and cisplatin 60 mg/m(2) on day 1) was noninferior/superior to SP5 (S-1 80-120 mg/day on days 1-21 and cisplatin 60 mg/m(2) on day 1 or 8) in terms of progression-free survival (PFS). Chemotherapy-naive patients with metastatic, recurrent gastric or gastroesophageal junction adenocarcinoma were randomized 1 : 1 to receive either SP3 or SP5. The trial is registered at ClinicalTrials.gov (NCT00915382). RESULTS Between February 2009 and January 2012, 625 patients were randomized at 42 sites in Korea and Japan. With a median follow-up duration of 32.4 months (range, 13.3-48.6 months) in surviving patients, SP3 was not only noninferior but also superior to SP5 in terms of PFS [median 5.5 versus 4.9 months; hazard ratio (HR) = 0.82; 95% confidence interval (CI) 0.68-0.99; P = 0.0418 for superiority). There was no difference in overall survival (OS) between the groups (median 14.1 versus 13.9 months; HR = 0.99; 95% CI 0.81-1.21; P = 0.9068). In patients with measurable disease, the response rates were 60% in the SP3 arm and 50% in the SP5 arm (P = 0.065). Both regimens were generally well tolerated, but grade 3 or higher anemia (19% versus 9%) and neutropenia (39% versus 9%) were more frequent in SP3. CONCLUSIONS SP3 is superior to SP5 in terms of PFS. However, since the improvement in PFS was only slight and there was no difference in OS, both SP3 and SP5 can be recommended as first-line treatments for patients with advanced GC.","author":[{"dropping-particle":"","family":"Ryu","given":"M. H.","non-dropping-particle":"","parse-names":false,"suffix":""},{"dropping-particle":"","family":"Baba","given":"E.","non-dropping-particle":"","parse-names":false,"suffix":""},{"dropping-particle":"","family":"Lee","given":"K. H.","non-dropping-particle":"","parse-names":false,"suffix":""},{"dropping-particle":"","family":"Park","given":"Y. I.","non-dropping-particle":"","parse-names":false,"suffix":""},{"dropping-particle":"","family":"Boku","given":"N.","non-dropping-particle":"","parse-names":false,"suffix":""},{"dropping-particle":"","family":"Hyodo","given":"I.","non-dropping-particle":"","parse-names":false,"suffix":""},{"dropping-particle":"","family":"Nam","given":"B. H.","non-dropping-particle":"","parse-names":false,"suffix":""},{"dropping-particle":"","family":"Esaki","given":"T.","non-dropping-particle":"","parse-names":false,"suffix":""},{"dropping-particle":"","family":"Yoo","given":"C.","non-dropping-particle":"","parse-names":false,"suffix":""},{"dropping-particle":"","family":"Ryoo","given":"B. Y.","non-dropping-particle":"","parse-names":false,"suffix":""},{"dropping-particle":"","family":"Song","given":"E. K.","non-dropping-particle":"","parse-names":false,"suffix":""},{"dropping-particle":"","family":"Cho","given":"S. H.","non-dropping-particle":"","parse-names":false,"suffix":""},{"dropping-particle":"","family":"Kang","given":"W. K.","non-dropping-particle":"","parse-names":false,"suffix":""},{"dropping-particle":"","family":"Yang","given":"S. H.","non-dropping-particle":"","parse-names":false,"suffix":""},{"dropping-particle":"","family":"Zang","given":"D. Y.","non-dropping-particle":"","parse-names":false,"suffix":""},{"dropping-particle":"","family":"Shin","given":"D. B.","non-dropping-particle":"","parse-names":false,"suffix":""},{"dropping-particle":"","family":"Park","given":"S. R.","non-dropping-particle":"","parse-names":false,"suffix":""},{"dropping-particle":"","family":"Shinozaki","given":"K.","non-dropping-particle":"","parse-names":false,"suffix":""},{"dropping-particle":"","family":"Takano","given":"T.","non-dropping-particle":"","parse-names":false,"suffix":""},{"dropping-particle":"","family":"Kang","given":"Yoon Koo","non-dropping-particle":"","parse-names":false,"suffix":""}],"container-title":"Annals of Oncology","id":"ITEM-1","issue":"10","issued":{"date-parts":[["2015"]]},"page":"2097-2101","title":"Comparison of two different S-1 plus cisplatin dosing schedules as first-line chemotherapy for metastatic and/or recurrent gastric cancer: A multicenter, randomized phase III trial (SOS)","type":"article-journal","volume":"26"},"uris":["http://www.mendeley.com/documents/?uuid=54b4c99e-fd3c-4735-8576-650b83df5e67"]}],"mendeley":{"formattedCitation":"[39]","plainTextFormattedCitation":"[39]","previouslyFormattedCitation":"[39]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C5DF603"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306</w:t>
            </w:r>
          </w:p>
        </w:tc>
        <w:tc>
          <w:tcPr>
            <w:tcW w:w="1708" w:type="dxa"/>
            <w:gridSpan w:val="2"/>
            <w:shd w:val="clear" w:color="auto" w:fill="auto"/>
            <w:noWrap/>
            <w:hideMark/>
          </w:tcPr>
          <w:p w14:paraId="5BB3A51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xml:space="preserve">S-1 + Cis </w:t>
            </w:r>
          </w:p>
        </w:tc>
        <w:tc>
          <w:tcPr>
            <w:tcW w:w="1322" w:type="dxa"/>
            <w:shd w:val="clear" w:color="auto" w:fill="auto"/>
            <w:noWrap/>
            <w:hideMark/>
          </w:tcPr>
          <w:p w14:paraId="15D1083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231 (75)</w:t>
            </w:r>
          </w:p>
        </w:tc>
        <w:tc>
          <w:tcPr>
            <w:tcW w:w="1623" w:type="dxa"/>
            <w:gridSpan w:val="2"/>
            <w:shd w:val="clear" w:color="auto" w:fill="auto"/>
            <w:noWrap/>
            <w:hideMark/>
          </w:tcPr>
          <w:p w14:paraId="0F35344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60 (27-74)</w:t>
            </w:r>
          </w:p>
        </w:tc>
        <w:tc>
          <w:tcPr>
            <w:tcW w:w="1379" w:type="dxa"/>
            <w:shd w:val="clear" w:color="auto" w:fill="auto"/>
            <w:noWrap/>
            <w:hideMark/>
          </w:tcPr>
          <w:p w14:paraId="0723127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306 (100)</w:t>
            </w:r>
          </w:p>
        </w:tc>
        <w:tc>
          <w:tcPr>
            <w:tcW w:w="797" w:type="dxa"/>
            <w:shd w:val="clear" w:color="auto" w:fill="auto"/>
            <w:noWrap/>
            <w:hideMark/>
          </w:tcPr>
          <w:p w14:paraId="6786FE3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 (3)</w:t>
            </w:r>
          </w:p>
        </w:tc>
      </w:tr>
      <w:tr w:rsidR="00B61A3A" w:rsidRPr="007D2E2F" w14:paraId="4B009CCA" w14:textId="77777777" w:rsidTr="00B61A3A">
        <w:trPr>
          <w:trHeight w:val="255"/>
        </w:trPr>
        <w:tc>
          <w:tcPr>
            <w:tcW w:w="2552" w:type="dxa"/>
            <w:shd w:val="clear" w:color="auto" w:fill="auto"/>
            <w:noWrap/>
            <w:hideMark/>
          </w:tcPr>
          <w:p w14:paraId="10938D71" w14:textId="149B3F90"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Bando 2016 Age ≥70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s10120-015-0549-1","ISSN":"14363305","author":[{"dropping-particle":"","family":"Bando","given":"Hideaki","non-dropping-particle":"","parse-names":false,"suffix":""},{"dropping-particle":"","family":"Yamada","given":"Yasuhide","non-dropping-particle":"","parse-names":false,"suffix":""},{"dropping-particle":"","family":"Tanabe","given":"Satoshi","non-dropping-particle":"","parse-names":false,"suffix":""},{"dropping-particle":"","family":"Nishikawa","given":"Kazuhiro","non-dropping-particle":"","parse-names":false,"suffix":""},{"dropping-particle":"","family":"Gotoh","given":"Masahiro","non-dropping-particle":"","parse-names":false,"suffix":""},{"dropping-particle":"","family":"Sugimoto","given":"Naotoshi","non-dropping-particle":"","parse-names":false,"suffix":""},{"dropping-particle":"","family":"Nishina","given":"Tomohiro","non-dropping-particle":"","parse-names":false,"suffix":""},{"dropping-particle":"","family":"Amagai","given":"Kenji","non-dropping-particle":"","parse-names":false,"suffix":""},{"dropping-particle":"","family":"Chin","given":"Keisho","non-dropping-particle":"","parse-names":false,"suffix":""},{"dropping-particle":"","family":"Niwa","given":"Yasumasa","non-dropping-particle":"","parse-names":false,"suffix":""},{"dropping-particle":"","family":"Tsuji","given":"Akihito","non-dropping-particle":"","parse-names":false,"suffix":""},{"dropping-particle":"","family":"Imamura","given":"Hiroshi","non-dropping-particle":"","parse-names":false,"suffix":""},{"dropping-particle":"","family":"Tsuda","given":"Masahiro","non-dropping-particle":"","parse-names":false,"suffix":""},{"dropping-particle":"","family":"Yasui","given":"Hirofumi","non-dropping-particle":"","parse-names":false,"suffix":""},{"dropping-particle":"","family":"Fujii","given":"Hirofumi","non-dropping-particle":"","parse-names":false,"suffix":""},{"dropping-particle":"","family":"Yamaguchi","given":"Kensei","non-dropping-particle":"","parse-names":false,"suffix":""},{"dropping-particle":"","family":"Yasui","given":"Hisateru","non-dropping-particle":"","parse-names":false,"suffix":""},{"dropping-particle":"","family":"Hironaka","given":"Shuichi","non-dropping-particle":"","parse-names":false,"suffix":""},{"dropping-particle":"","family":"Shimada","given":"Ken","non-dropping-particle":"","parse-names":false,"suffix":""},{"dropping-particle":"","family":"Miwa","given":"Hiroto","non-dropping-particle":"","parse-names":false,"suffix":""},{"dropping-particle":"","family":"Hamada","given":"Chikuma","non-dropping-particle":"","parse-names":false,"suffix":""},{"dropping-particle":"","family":"Hyodo","given":"Ichinosuke","non-dropping-particle":"","parse-names":false,"suffix":""}],"container-title":"Gastric Cancer","id":"ITEM-1","issue":"3","issued":{"date-parts":[["2016"]]},"page":"919-926","publisher":"Springer Japan","title":"Efficacy and safety of S-1 and oxaliplatin combination therapy in elderly patients with advanced gastric cancer","type":"article-journal","volume":"19"},"uris":["http://www.mendeley.com/documents/?uuid=b1848e54-662a-4b02-ab07-aa9a1581f117"]}],"mendeley":{"formattedCitation":"[40]","plainTextFormattedCitation":"[40]","previouslyFormattedCitation":"[40]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[40]</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7A5F4E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104</w:t>
            </w:r>
          </w:p>
        </w:tc>
        <w:tc>
          <w:tcPr>
            <w:tcW w:w="1708" w:type="dxa"/>
            <w:gridSpan w:val="2"/>
            <w:shd w:val="clear" w:color="auto" w:fill="auto"/>
            <w:noWrap/>
            <w:hideMark/>
          </w:tcPr>
          <w:p w14:paraId="04B20FE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3E17CDC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81 (77)</w:t>
            </w:r>
          </w:p>
        </w:tc>
        <w:tc>
          <w:tcPr>
            <w:tcW w:w="1623" w:type="dxa"/>
            <w:gridSpan w:val="2"/>
            <w:shd w:val="clear" w:color="auto" w:fill="auto"/>
            <w:noWrap/>
            <w:hideMark/>
          </w:tcPr>
          <w:p w14:paraId="323F31F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73 (70-85)</w:t>
            </w:r>
          </w:p>
        </w:tc>
        <w:tc>
          <w:tcPr>
            <w:tcW w:w="1379" w:type="dxa"/>
            <w:shd w:val="clear" w:color="auto" w:fill="auto"/>
            <w:noWrap/>
            <w:hideMark/>
          </w:tcPr>
          <w:p w14:paraId="3D6D0B0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104 (100)</w:t>
            </w:r>
          </w:p>
        </w:tc>
        <w:tc>
          <w:tcPr>
            <w:tcW w:w="797" w:type="dxa"/>
            <w:shd w:val="clear" w:color="auto" w:fill="auto"/>
            <w:noWrap/>
            <w:hideMark/>
          </w:tcPr>
          <w:p w14:paraId="1B4BEE4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 (1)</w:t>
            </w:r>
          </w:p>
        </w:tc>
      </w:tr>
      <w:tr w:rsidR="00B61A3A" w:rsidRPr="007D2E2F" w14:paraId="7CBED36F" w14:textId="77777777" w:rsidTr="00B61A3A">
        <w:trPr>
          <w:trHeight w:val="255"/>
        </w:trPr>
        <w:tc>
          <w:tcPr>
            <w:tcW w:w="2552" w:type="dxa"/>
            <w:shd w:val="clear" w:color="auto" w:fill="auto"/>
            <w:noWrap/>
            <w:hideMark/>
          </w:tcPr>
          <w:p w14:paraId="718BD569" w14:textId="5025010D"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Bando 2016 Age &lt;70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s10120-015-0549-1","ISSN":"14363305","author":[{"dropping-particle":"","family":"Bando","given":"Hideaki","non-dropping-particle":"","parse-names":false,"suffix":""},{"dropping-particle":"","family":"Yamada","given":"Yasuhide","non-dropping-particle":"","parse-names":false,"suffix":""},{"dropping-particle":"","family":"Tanabe","given":"Satoshi","non-dropping-particle":"","parse-names":false,"suffix":""},{"dropping-particle":"","family":"Nishikawa","given":"Kazuhiro","non-dropping-particle":"","parse-names":false,"suffix":""},{"dropping-particle":"","family":"Gotoh","given":"Masahiro","non-dropping-particle":"","parse-names":false,"suffix":""},{"dropping-particle":"","family":"Sugimoto","given":"Naotoshi","non-dropping-particle":"","parse-names":false,"suffix":""},{"dropping-particle":"","family":"Nishina","given":"Tomohiro","non-dropping-particle":"","parse-names":false,"suffix":""},{"dropping-particle":"","family":"Amagai","given":"Kenji","non-dropping-particle":"","parse-names":false,"suffix":""},{"dropping-particle":"","family":"Chin","given":"Keisho","non-dropping-particle":"","parse-names":false,"suffix":""},{"dropping-particle":"","family":"Niwa","given":"Yasumasa","non-dropping-particle":"","parse-names":false,"suffix":""},{"dropping-particle":"","family":"Tsuji","given":"Akihito","non-dropping-particle":"","parse-names":false,"suffix":""},{"dropping-particle":"","family":"Imamura","given":"Hiroshi","non-dropping-particle":"","parse-names":false,"suffix":""},{"dropping-particle":"","family":"Tsuda","given":"Masahiro","non-dropping-particle":"","parse-names":false,"suffix":""},{"dropping-particle":"","family":"Yasui","given":"Hirofumi","non-dropping-particle":"","parse-names":false,"suffix":""},{"dropping-particle":"","family":"Fujii","given":"Hirofumi","non-dropping-particle":"","parse-names":false,"suffix":""},{"dropping-particle":"","family":"Yamaguchi","given":"Kensei","non-dropping-particle":"","parse-names":false,"suffix":""},{"dropping-particle":"","family":"Yasui","given":"Hisateru","non-dropping-particle":"","parse-names":false,"suffix":""},{"dropping-particle":"","family":"Hironaka","given":"Shuichi","non-dropping-particle":"","parse-names":false,"suffix":""},{"dropping-particle":"","family":"Shimada","given":"Ken","non-dropping-particle":"","parse-names":false,"suffix":""},{"dropping-particle":"","family":"Miwa","given":"Hiroto","non-dropping-particle":"","parse-names":false,"suffix":""},{"dropping-particle":"","family":"Hamada","given":"Chikuma","non-dropping-particle":"","parse-names":false,"suffix":""},{"dropping-particle":"","family":"Hyodo","given":"Ichinosuke","non-dropping-particle":"","parse-names":false,"suffix":""}],"container-title":"Gastric Cancer","id":"ITEM-1","issue":"3","issued":{"date-parts":[["2016"]]},"page":"919-926","publisher":"Springer Japan","title":"Efficacy and safety of S-1 and oxaliplatin combination therapy in elderly patients with advanced gastric cancer","type":"article-journal","volume":"19"},"uris":["http://www.mendeley.com/documents/?uuid=b1848e54-662a-4b02-ab07-aa9a1581f117"]}],"mendeley":{"formattedCitation":"[40]","plainTextFormattedCitation":"[40]","previouslyFormattedCitation":"[40]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[40]</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C8709CB"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238</w:t>
            </w:r>
          </w:p>
        </w:tc>
        <w:tc>
          <w:tcPr>
            <w:tcW w:w="1708" w:type="dxa"/>
            <w:gridSpan w:val="2"/>
            <w:shd w:val="clear" w:color="auto" w:fill="auto"/>
            <w:noWrap/>
            <w:hideMark/>
          </w:tcPr>
          <w:p w14:paraId="038F72E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3138170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169 (71)</w:t>
            </w:r>
          </w:p>
        </w:tc>
        <w:tc>
          <w:tcPr>
            <w:tcW w:w="1623" w:type="dxa"/>
            <w:gridSpan w:val="2"/>
            <w:shd w:val="clear" w:color="auto" w:fill="auto"/>
            <w:noWrap/>
            <w:hideMark/>
          </w:tcPr>
          <w:p w14:paraId="4FD8653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(29-69)</w:t>
            </w:r>
          </w:p>
        </w:tc>
        <w:tc>
          <w:tcPr>
            <w:tcW w:w="1379" w:type="dxa"/>
            <w:shd w:val="clear" w:color="auto" w:fill="auto"/>
            <w:noWrap/>
            <w:hideMark/>
          </w:tcPr>
          <w:p w14:paraId="3BAF207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238 (100)</w:t>
            </w:r>
          </w:p>
        </w:tc>
        <w:tc>
          <w:tcPr>
            <w:tcW w:w="797" w:type="dxa"/>
            <w:shd w:val="clear" w:color="auto" w:fill="auto"/>
            <w:noWrap/>
            <w:hideMark/>
          </w:tcPr>
          <w:p w14:paraId="487CF48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(1)</w:t>
            </w:r>
          </w:p>
        </w:tc>
      </w:tr>
      <w:tr w:rsidR="00B61A3A" w:rsidRPr="001A6F97" w14:paraId="756E8252" w14:textId="77777777" w:rsidTr="00B61A3A">
        <w:trPr>
          <w:trHeight w:val="255"/>
        </w:trPr>
        <w:tc>
          <w:tcPr>
            <w:tcW w:w="2552" w:type="dxa"/>
            <w:shd w:val="clear" w:color="auto" w:fill="auto"/>
            <w:noWrap/>
            <w:hideMark/>
          </w:tcPr>
          <w:p w14:paraId="3FC24016" w14:textId="50E4C816" w:rsidR="00B61A3A" w:rsidRPr="00022291"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Ajani 2010 (FLAGS)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{"citationItems":[{"id":"ITEM-1","itemData":{"DOI":"10.1200/JCO.2009.25.4706","ISBN":"1527-7755 (Electronic)\\n0732-183X (Linking)","ISSN":"15277755","PMID":"20159816","abstract":"PURPOSE: Patients with advanced gastric or gastroesophageal adenocarcinoma need more efficacious and safer treatments than established today. S-1, a contemporary oral fluoropyrimidine, can provide that advantage. PATIENTS AND METHODS: This study was conducted in 24 countries and 146 centers. One thousand fifty-three patients were stratified (center, number of metastatic sites, prior adjuvant therapy, and measurable cancer) and randomly assigned. Patients received either S-1 at 50 mg/m(2) divided in two daily doses for 21 days and cisplatin at 75 mg/m(2) intravenously on day 1, repeated every 28 days (527 patients) or infusional fluorouracil at 1,000 mg/m(2)/24 hours for 120 hours and cisplatin at 100 mg/m(2) intravenously on day 1, repeated every 28 days (526 patients). The primary end point was superiority in overall survival (OS) from cisplatin/S-1 compared with cisplatin/infusional fluorouracil in patients with advanced, untreated gastric, or gastroesophageal adenocarcinoma. The secondary end points were response rate, progression-free survival, time to treatment failure, and safety. RESULTS: The median OS was 8.6 months in the cisplatin/S-1 arm and 7.9 months in the cisplatin/infusional fluorouracil arm (HR, 0.92; 95% CI, 0.80 to 1.05; P = .20). Significant safety advantages were observed in the cisplatin/S-1 arm compared with the cisplatin/infusional fluorouracil arm for the rates of grade 3/4 neutropenia (32.3% v 63.6%), complicated neutropenia (5.0% v 14.4%), stomatitis (1.3% v 13.6%), hypokalemia (3.6% v 10.8%), and treatment-related deaths (2.5% v 4.9%; P &lt; .05). CONCLUSION: Cisplatin/S-1 did not prolong OS of patients with advanced gastric or gastroesophageal adenocarcinoma compared with cisplatin/infusional fluorouracil, but it did result in a significantly improved safety profile.","author":[{"dropping-particle":"","family":"Ajani","given":"Jaffer A.","non-dropping-particle":"","parse-names":false,"suffix":""},{"dropping-particle":"","family":"Rodriguez","given":"Wuilbert","non-dropping-particle":"","parse-names":false,"suffix":""},{"dropping-particle":"","family":"Bodoky","given":"Gyorgy","non-dropping-particle":"","parse-names":false,"suffix":""},{"dropping-parti</w:instrText>
            </w:r>
            <w:r w:rsidR="006739B2" w:rsidRPr="006739B2">
              <w:rPr>
                <w:rFonts w:ascii="Times New Roman" w:eastAsia="Times New Roman" w:hAnsi="Times New Roman"/>
                <w:b/>
                <w:color w:val="000000"/>
                <w:sz w:val="16"/>
                <w:szCs w:val="16"/>
                <w:lang w:val="en-US"/>
              </w:rPr>
              <w:instrText>cle":"","family":"Moiseyenko","given":"Vladimir","non-dropping-particle":"","parse-names":false,"suffix":""},{"dropping-particle":"","family":"Lichinitser","given":"Mikhail","non-dropping-particle":"","parse-names":false,"suffix":""},{"dropping-particle":"","family":"Gorbunova","given":"Vera","non-dropping-particle":"","parse-names":false,"suffix":""},{"dropping-particle":"","family":"Vynnychenko","given":"Ihor","non-dropping-particle":"","parse-names":false,"suffix":""},{"dropping-particle":"","family":"Garin","given":"August","non-dropping-particle":"","parse-names":false,"suffix":""},{"dropping-particle":"","family":"Lang","given":"Istvan","non-dropping-particle":"","parse-names":false,"suffix":""},{"dropping-particle":"","family":"Falcon","given":"Silvia","non-dropping-particle":"","parse-names":false,"suffix":""}],"container-title":"Journal of Clinical Oncology","id":"ITEM-1","issue":"9","issued":{"date-parts":[["2010"]]},"page":"1547-1553","title":"Multicenter phase III comparison of cisplatin/S-1 with cisplatin/infusional fluorouracil in advanced gastric or gastroesophageal adenocarcinoma study: The FLAGS trial","type":"article-journal","volume":"28"},"uris":["http://www.mendeley.com/documents/?uuid=23780f57-5c83-440f-be8e-7dd1d02e0dc0"]}],"mendeley":{"formattedCitation":"[31]","plainTextFormattedCitation":"[31]","previouslyFormattedCitation":"[31]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[31]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A216216"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521</w:t>
            </w:r>
          </w:p>
        </w:tc>
        <w:tc>
          <w:tcPr>
            <w:tcW w:w="1708" w:type="dxa"/>
            <w:gridSpan w:val="2"/>
            <w:shd w:val="clear" w:color="auto" w:fill="auto"/>
            <w:noWrap/>
            <w:hideMark/>
          </w:tcPr>
          <w:p w14:paraId="0DBCB485"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S-1 + Cis</w:t>
            </w:r>
          </w:p>
        </w:tc>
        <w:tc>
          <w:tcPr>
            <w:tcW w:w="1322" w:type="dxa"/>
            <w:shd w:val="clear" w:color="auto" w:fill="auto"/>
            <w:noWrap/>
            <w:hideMark/>
          </w:tcPr>
          <w:p w14:paraId="1B661395"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382 (73)</w:t>
            </w:r>
          </w:p>
        </w:tc>
        <w:tc>
          <w:tcPr>
            <w:tcW w:w="1623" w:type="dxa"/>
            <w:gridSpan w:val="2"/>
            <w:shd w:val="clear" w:color="auto" w:fill="auto"/>
            <w:noWrap/>
            <w:hideMark/>
          </w:tcPr>
          <w:p w14:paraId="3609F69F"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59 (18-83)</w:t>
            </w:r>
          </w:p>
        </w:tc>
        <w:tc>
          <w:tcPr>
            <w:tcW w:w="1379" w:type="dxa"/>
            <w:shd w:val="clear" w:color="auto" w:fill="auto"/>
            <w:noWrap/>
            <w:hideMark/>
          </w:tcPr>
          <w:p w14:paraId="37471425"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497 (95)</w:t>
            </w:r>
          </w:p>
        </w:tc>
        <w:tc>
          <w:tcPr>
            <w:tcW w:w="797" w:type="dxa"/>
            <w:shd w:val="clear" w:color="auto" w:fill="auto"/>
            <w:noWrap/>
            <w:hideMark/>
          </w:tcPr>
          <w:p w14:paraId="3CDC95E0"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0 (0)</w:t>
            </w:r>
          </w:p>
        </w:tc>
      </w:tr>
      <w:tr w:rsidR="00B61A3A" w:rsidRPr="007D2E2F" w14:paraId="61CC4FD4" w14:textId="77777777" w:rsidTr="00B61A3A">
        <w:trPr>
          <w:trHeight w:val="255"/>
        </w:trPr>
        <w:tc>
          <w:tcPr>
            <w:tcW w:w="2552" w:type="dxa"/>
            <w:shd w:val="clear" w:color="auto" w:fill="auto"/>
            <w:noWrap/>
            <w:hideMark/>
          </w:tcPr>
          <w:p w14:paraId="7C85D863" w14:textId="2235C1E3" w:rsidR="00B61A3A" w:rsidRPr="007D2E2F" w:rsidRDefault="00B61A3A" w:rsidP="00B61A3A">
            <w:pPr>
              <w:spacing w:before="240" w:line="360" w:lineRule="auto"/>
              <w:rPr>
                <w:rFonts w:ascii="Times New Roman" w:eastAsia="Times New Roman" w:hAnsi="Times New Roman"/>
                <w:b/>
                <w:color w:val="000000"/>
                <w:sz w:val="16"/>
                <w:szCs w:val="16"/>
              </w:rPr>
            </w:pPr>
            <w:r w:rsidRPr="00022291">
              <w:rPr>
                <w:rFonts w:ascii="Times New Roman" w:eastAsia="Times New Roman" w:hAnsi="Times New Roman"/>
                <w:b/>
                <w:color w:val="000000"/>
                <w:sz w:val="16"/>
                <w:szCs w:val="16"/>
                <w:lang w:val="en-US"/>
              </w:rPr>
              <w:t>Ajani 2017 (DIGEST)</w:t>
            </w:r>
            <w:r w:rsidRPr="00022291">
              <w:rPr>
                <w:rFonts w:ascii="Times New Roman" w:eastAsia="Times New Roman" w:hAnsi="Times New Roman"/>
                <w:b/>
                <w:noProof/>
                <w:color w:val="000000"/>
                <w:sz w:val="16"/>
                <w:szCs w:val="16"/>
                <w:lang w:val="en-US"/>
              </w:rPr>
              <w:t xml:space="preserve">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{"citationItems":[{"id":"ITEM-1","itemData":{"DOI":"10.1093/annonc/mdx275","ISSN":"15698041","PMID":"28911091","abstract":"Background The effect of histology-based treatment regimen on diffuse gastric adenocarcinoma has not been evaluated in clinical trials. This international phase III trial evaluated the efficacy and safety of S-1 (a contemporary oral fluoropyrimidine)/cisplatin versus 5-fluorouracil (5-FU)/cisplatin in chemotherapy-naïve patients with diffuse-type adenocarcinoma involving the gastroesophageal junction or stomach. Patients and methods Eligibility criteria included untreated, measurable, advanced diffuse adenocarcinoma confirmed by central pathology and performance status of 0-1. Patients were randomized (2 : 1) to receive S-1/cisplatin or 5-FU/cisplatin. Primary end point was overall survival (OS), and secondary end points were progression-free survival, time to treatment failure, overall response rate, and safety. A multivariable analysis was also carried out. Results Overall, 361 patients were randomized (S-1/cisplatin, n = 239; 5-FU/cisplatin, n = 122); half (51%) were men, and median age was 56.0 years. In each group, median number of treatment cycles per patient was 4 (range, S-1/cisplatin: 1-20; 5-FU/cisplatin: 1-30), and dose intensity was &gt;95%. OS was not different in the two groups {median OS with S-1/cisplatin, 7.5 [95% confidence interval (CI): 6.7, 9.3]; 5-FU/cisplatin, 6.6 [95% CI: 5.7, 8.1] months; hazard ratio, 0.99 [95% CI: 0.76, 1.28]; P = 0.9312}. Overall response rate was significantly higher in the S-1/cisplatin than 5-FU/cisplatin group (34.7% versus 19.8%; P = 0.01), but progression-free survival and time to treatment failure were not different. Safety was similar between the 2 groups; however, fewer patients treated with S-1/cisplatin than 5-FU/cisplatin had ≥1 grade 3/4 treatment-emergent adverse event or ≥1 adverse event resulting in treatment discontinuation. One treatment-related death occurred in each group. Slow accrual led to early termination. Conclusions These data suggest that S-1/cisplatin and 5-FU/cisplatin are similar in efficacy and safety in untreated patients with advanced diffuse adenocarcinoma of the gastroesophageal junction or stomach. The primary end point was not met. ClinicalTrial.gov registration number NCT01285557.","author":[{"dropping-particle":"","family":"Ajani","given":"Jaffer A.","non-dropping-particle":"","parse-names":false,"suffix":""},{"dropping-particle":"","family":"Abramov","given":"M.","non-dropping-particle":"","parse-names":false,"suffix":""},{"dropping-particle":"","family":"Bondarenko","given":"I.","non-dropping-particle":"","parse-names":false,"suffix":""},{"dropping-particle":"","family":"Shparyk","given":"Y.","non-dropping-particle":"","parse-names":false,"suffix":""},{"dropping-particle":"","family":"Gorbunova","given":"V.","non-dropping-particle":"","parse-names":false,"suffix":""},{"dropping-particle":"","family":"Hontsa","given":"A.","non-dropping-particle":"","parse-names":false,"suffix":""},{"dropping-particle":"","family":"Otchenash","given":"N.","non-dropping-particle":"","parse-names":false,"suffix":""},{"dropping-particle":"","family":"Alsina","given":"M.","non-dropping-particle":"","parse-names":false,"suffix":""},{"dropping-particle":"","family":"Lazarev","given":"S.","non-dropping-particle":"","parse-names":false,"suffix":""},{"dropping-particle":"","family":"Feliu","given":"J.","non-dropping-particle":"","parse-names":false,"suffix":""},{"dropping-particle":"","family":"Elme","given":"A.","non-dropping-particle":"","parse-names":false,"suffix":""},{"dropping-particle":"","family":"Esko","given":"V.","non-dropping-particle":"","parse-names":false,"suffix":""},{"dropping-particle":"","family":"Abdalla","given":"K.","non-dropping-particle":"","parse-names":false,"suffix":""},{"dropping-particle":"","family":"Verma","given":"U.","non-dropping-particle":"","parse-names":false,"suffix":""},{"dropping-particle":"","family":"Benedetti","given":"F.","non-dropping-particle":"","parse-names":false,"suffix":""},{"dropping-particle":"","family":"Aoyama","given":"T.","non-dropping-particle":"","parse-names":false,"suffix":""},{"dropping-particle":"","family":"Mizuguchi","given":"H.","non-dropping-particle":"","parse-names":false,"suffix":""},{"dropping-particle":"","family":"Makris","given":"L.","non-dropping-particle":"","parse-names":false,"suffix":""},{"dropping-particle":"","family":"Rosati","given":"G.","non-dropping-particle":"","parse-names":false,"suffix":""},{"dropping-particle":"","family":"Aivado","given":"Manuel","non-dropping-particle":"","parse-names":false,"suffix":""}],"container-title":"Annals of Oncology","id":"ITEM-1","issue":"9","issued":{"date-parts":[["2017"]]},"page":"2142-2148","title":"A phase III trial comparing oral S-1/cisplatin and intravenous 5-fluorouracil/cisplatin in patients with untreated diffuse gastric cancer","type":"article-journal","volume":"28"},"uris":["http://www.mendeley.com/documents/?uuid=1c993dc0-e831-456c-b742-248687e9e190"]}],"mendeley":{"formattedCitation":"[32]","plainTextFormattedCitation":"[32]","previouslyFormattedCitation":"[32]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[32]</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35CB420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230</w:t>
            </w:r>
          </w:p>
        </w:tc>
        <w:tc>
          <w:tcPr>
            <w:tcW w:w="1708" w:type="dxa"/>
            <w:gridSpan w:val="2"/>
            <w:shd w:val="clear" w:color="auto" w:fill="auto"/>
            <w:noWrap/>
            <w:hideMark/>
          </w:tcPr>
          <w:p w14:paraId="51B0EE5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0BB3893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124 (52)</w:t>
            </w:r>
          </w:p>
        </w:tc>
        <w:tc>
          <w:tcPr>
            <w:tcW w:w="1623" w:type="dxa"/>
            <w:gridSpan w:val="2"/>
            <w:shd w:val="clear" w:color="auto" w:fill="auto"/>
            <w:noWrap/>
            <w:hideMark/>
          </w:tcPr>
          <w:p w14:paraId="01A4037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(25-86)</w:t>
            </w:r>
          </w:p>
        </w:tc>
        <w:tc>
          <w:tcPr>
            <w:tcW w:w="1379" w:type="dxa"/>
            <w:shd w:val="clear" w:color="auto" w:fill="auto"/>
            <w:noWrap/>
            <w:hideMark/>
          </w:tcPr>
          <w:p w14:paraId="0C26733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239 (100)</w:t>
            </w:r>
          </w:p>
        </w:tc>
        <w:tc>
          <w:tcPr>
            <w:tcW w:w="797" w:type="dxa"/>
            <w:shd w:val="clear" w:color="auto" w:fill="auto"/>
            <w:noWrap/>
            <w:hideMark/>
          </w:tcPr>
          <w:p w14:paraId="3A1F675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0AEF51D4" w14:textId="77777777" w:rsidTr="00B61A3A">
        <w:trPr>
          <w:trHeight w:val="255"/>
        </w:trPr>
        <w:tc>
          <w:tcPr>
            <w:tcW w:w="2552" w:type="dxa"/>
            <w:shd w:val="clear" w:color="auto" w:fill="auto"/>
            <w:noWrap/>
            <w:hideMark/>
          </w:tcPr>
          <w:p w14:paraId="761F6AA7" w14:textId="1CF944C7"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Kobayashi 2015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{"citationItems":[{"id":"ITEM-1","itemData":{"DOI":"10.1200/jco.2015.33.3_suppl.105","ISSN":"0732-183X","abstract":"105 Background: Capecitabine plus cisplatin (XP) is a standard global regimen for first-line treatment of advanced gastric cancer, however its efficacy compared to S-1 plus cisplatin (SP), a standard treatment in Japan has not been reported. To evaluate the efficacy of XP treatment, we conducted a multicenter randomized phase II trial comparing XP with SP for patients with advanced gastric cancer (ClinicalTrials.gov Identifier NCT0140624). Methods: Patients with unresectable metastatic or recurrent gastric cancer, 20?74 years of age and HER2-negative, were assigned to receive either S-1 40 mg/m2 bid for 21 days plus cisplatin 60 mg/m2 (day 8) every 5-week cycle or capecitabine 1000 mg/m2 bid for 14 days plus cisplatin 80 mg/m2 (day 1) every 3-week cycle. The primary endpoint was progression-free survival (PFS). Secondary endpoints were overall survival (OS), time to treatment failure, overall response rate (ORR) and safety. Planned sample size was 100 (50 in each arm) according to PFS at 24-weeks. Immunohistochemical evaluation of biomarkers was also implemented. Results: From November 2011 to June 2013, 116 patients were randomized: median age, 65 years; 79 (68%) male; 63 intestinal and 53 diffuse cancer subtypes. In 109 eligible patients, 24-week %PFS was higher in both groups than the protocol-specified threshold of 40%. Median PFS for SP vs. XP was 25 weeks vs. 23 weeks (HR, 0.76; 95%CI, 0.5-1.16; p=0.203); OS was 58 weeks vs. 56 weeks (HR, 0.90; 95%CI, 0.52-1.57; p=0.712); and ORR was 27.5% vs. 32.7% (p=0.562), respectively. Sub-group analysis by histological classification showed that SP gave better PFS than XP in the diffuse type (HR, 0.42; 95%CI, 0.20-0.86; p=0.015) with no other statistical difference. Most common grade ≥3 adverse events with SP and XP were anemia (16%/ 19%), neutropenia (9%/17%), anorexia (18%/13%), diarrhea (11%/0%), nausea or vomiting (11%/15%), fatigue (5%/6%) and hyponatremia (7%/13%), respectively. Conclusions: XP and SP are comparable and can be recommended as 1st line treatments for advanced gastric cancer. Further analysis for biomarkers related to histology is warranted. Clinical trial information: NCT0140624.","author":[{"dropping-particle":"","family":"Kobayashi","given":"Michiya","non-dropping-particle":"","parse-names":false,"suffix":""},{"dropping-particle":"","family":"Tsuburaya","given":"Akira","non-dropping-particle":"","parse-names":false,"suffix":""},{"dropping-particle":"","family":"Nishikawa","given":"Kazuhiro","non-dropping-particle":"","parse-names":false,"suffix":""},{"dropping-particle":"","family":"Kawada","given":"Junji","non-dropping-particle":"","parse-names":false,"suffix":""},{"dropping-particle":"","family":"Namikawa","given":"Tsutomu","non-dropping-particle":"","parse-names":false,"suffix":""},{"dropping-particle":"","family":"Fukushima","given":"Ryoji","non-dropping-particle":"","parse-names":false,"suffix":""},{"dropping-particle":"","family":"Kojima","given":"Hiroshi","non-dropping-particle":"","parse-names":false,"suffix":""},{"dropping-particle":"","family":"Tanabe","given":"Kazuaki","non-dropping-particle":"","parse-names":false,"suffix":""},{"dropping-particle":"","family":"Yamaguchi","given":"Kazuya","non-dropping-particle":"","parse-names":false,"suffix":""},{"dropping-particle":"","family":"Yoshino","given":"Shigefumi","non-dropping-particle":"","parse-names":false,"suffix":""},{"dropping-particle":"","family":"Takahashi","given":"Masazumi","non-dropping-particle":"","parse-names":false,"suffix":""},{"dropping-particle":"","family":"Hirabayashi","given":"Naoki","non-dropping-particle":"","parse-names":false,"suffix":""},{"dropping-particle":"","family":"Sato","given":"Seiji","non-dropping-particle":"","parse-names":false,"suffix":""},{"dropping-particle":"","family":"Nemoto","given":"Hiroshi","non-dropping-particle":"","parse-names":false,"suffix":""},{"dropping-particle":"","family":"Rino","given":"Yasushi","non-dropping-particle":"","parse-names":false,"suffix":""},{"dropping-particle":"","family":"Yoshikawa","given":"Takaki","non-dropping-particle":"","parse-names":false,"suffix":""},{"dropping-particle":"","family":"Nakajima","given":"Junta","non-dropping-particle":"","parse-names":false,"suffix":""},{"dropping-particle":"","family":"Morita","given":"Satoshi","non-dropping-particle":"","parse-names":false,"suffix":""},{"dropping-particle":"","family":"Sakamoto","given":"Junichi","non-dropping-particle":"","parse-names":false,"suffix":""}],"container-title":"Journal of Clinical Oncology","id":"ITEM-1","issue":"3_suppl","issued":{"date-parts":[["2015","1","20"]]},"note":"doi: 10.1200/jco.2015.33.3_suppl.105","page":"105","publisher":"American Society of Clinical Oncology","title":"A randomized phase II trial of capecitabine plus cisplatin (XP) versus S-1 plus cisplatin (SP) as a first-line treatment for advanced gastric cancer: XP ascertainment versus SP randomized PII trial (XParTS II).","type":"article-journal","volume":"33"},"uris":["http://www.mendeley.com/documents/?uuid=6db3a399-715e-4e6a-aabf-791fd3e1b712","http://www.mendeley.com/documents/?uuid=1ea088e6-b38c-48c8-82dd-bdd7b6c2dd22"]}],"mendeley":{"formattedCitation":"[41]","plainTextFormattedCitation":"[41]","previouslyFormattedCitation":"[41]"},"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[41]</w:t>
            </w:r>
            <w:r w:rsidRPr="007D2E2F">
              <w:rPr>
                <w:rFonts w:ascii="Times New Roman" w:eastAsia="Times New Roman" w:hAnsi="Times New Roman"/>
                <w:sz w:val="16"/>
                <w:szCs w:val="16"/>
              </w:rPr>
              <w:fldChar w:fldCharType="end"/>
            </w:r>
          </w:p>
        </w:tc>
        <w:tc>
          <w:tcPr>
            <w:tcW w:w="456" w:type="dxa"/>
            <w:shd w:val="clear" w:color="auto" w:fill="auto"/>
            <w:noWrap/>
            <w:hideMark/>
          </w:tcPr>
          <w:p w14:paraId="2E4B856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w:t>
            </w:r>
          </w:p>
        </w:tc>
        <w:tc>
          <w:tcPr>
            <w:tcW w:w="1708" w:type="dxa"/>
            <w:gridSpan w:val="2"/>
            <w:shd w:val="clear" w:color="auto" w:fill="auto"/>
            <w:noWrap/>
            <w:hideMark/>
          </w:tcPr>
          <w:p w14:paraId="224A6AB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1BEC7FD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 (56)</w:t>
            </w:r>
          </w:p>
        </w:tc>
        <w:tc>
          <w:tcPr>
            <w:tcW w:w="1623" w:type="dxa"/>
            <w:gridSpan w:val="2"/>
            <w:shd w:val="clear" w:color="auto" w:fill="auto"/>
            <w:noWrap/>
            <w:hideMark/>
          </w:tcPr>
          <w:p w14:paraId="5AF2208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(44-74)</w:t>
            </w:r>
          </w:p>
        </w:tc>
        <w:tc>
          <w:tcPr>
            <w:tcW w:w="1379" w:type="dxa"/>
            <w:shd w:val="clear" w:color="auto" w:fill="auto"/>
            <w:noWrap/>
            <w:hideMark/>
          </w:tcPr>
          <w:p w14:paraId="15D662F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5CA0412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 (2)</w:t>
            </w:r>
          </w:p>
        </w:tc>
      </w:tr>
      <w:tr w:rsidR="00B61A3A" w:rsidRPr="007D2E2F" w14:paraId="355AFDD2" w14:textId="77777777" w:rsidTr="00DF4D7C">
        <w:trPr>
          <w:trHeight w:val="255"/>
        </w:trPr>
        <w:tc>
          <w:tcPr>
            <w:tcW w:w="2552" w:type="dxa"/>
            <w:shd w:val="clear" w:color="auto" w:fill="auto"/>
            <w:noWrap/>
            <w:hideMark/>
          </w:tcPr>
          <w:p w14:paraId="1A22E665" w14:textId="5CF9B678"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Fujitani 2016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{"citationItems":[{"id":"ITEM-1","itemData":{"DOI":"10.1016/S1470-2045(15)00553-7","ISBN":"doi:10.1016/S1470-2045(15)00553-7","ISSN":"14702045","PMID":"26822397","abstract":"BACKGROUND Chemotherapy is the standard of care for incurable advanced gastric cancer. Whether the addition of gastrectomy to chemotherapy improves survival for patients with advanced gastric cancer with a single non-curable factor remains controversial. We aimed to investigate the superiority of gastrectomy followed by chemotherapy versus chemotherapy alone with respect to overall survival in these patients. METHODS We did an open-label, randomised, phase 3 trial at 44 centres or hospitals in Japan, South Korea, and Singapore. Patients aged 20-75 years with advanced gastric cancer with a single non-curable factor confined to either the liver (H1), peritoneum (P1), or para-aortic lymph nodes (16a1/b2) were randomly assigned (1:1) in each country to chemotherapy alone or gastrectomy followed by chemotherapy by a minimisation method with biased-coin assignment to balance the groups according to institution, clinical nodal status, and non-curable factor. Patients, treating physicians, and individuals who assessed outcomes and analysed data were not masked to treatment assignment. Chemotherapy consisted of oral S-1 80 mg/m(2) per day on days 1-21 and cisplatin 60 mg/m(2) on day 8 of every 5-week cycle. Gastrectomy was restricted to D1 lymphadenectomy without any resection of metastatic lesions. The primary endpoint was overall survival, analysed by intention to treat. This study is registered with UMIN-CTR, number UMIN000001012. FINDINGS Between Feb 4, 2008, and Sept 17, 2013, 175 patients were randomly assigned to chemotherapy alone (86 patients) or gastrectomy followed by chemotherapy (89 patients). After the first interim analysis on Sept 14, 2013, the predictive probability of overall survival being significantly higher in the gastrectomy plus chemotherapy group than in the chemotherapy alone group at the final analysis was only 13·2%, so the study was closed on the basis of futility. Overall survival at 2 years for all randomly assigned patients was 31·7% (95% CI 21·7-42·2) for patients assigned to chemotherapy alone compared with 25·1% (16·2-34·9) for those assigned to gastrectomy plus chemotherapy. Median overall survival was 16·6 months (95% CI 13·7-19·8) for patients assigned to chemotherapy alone and 14·3 months (11·8-16·3) for those assigned to gastrectomy plus chemotherapy (hazard ratio 1·09, 95% CI 0·78-1·52; one-sided p=0·70). The incidence of the following grade 3 or 4 chemotherapy-associated adverse events was higher in patients assigned to …","author":[{"dropping-particle":"","family":"Fujitani","given":"Kazumasa","non-dropping-particle":"","parse-names":false,"suffix":""},{"dropping-particle":"","family":"Yang","given":"Han-Kwang","non-dropping-particle":"","parse-names":false,"suffix":""},{"dropping-particle":"","family":"Mizusawa","given":"Junki","non-dropping-particle":"","parse-names":false,"suffix":""},{"dropping-particle":"","family":"Kim","given":"Young-Woo","non-dropping-particle":"","parse-names":false,"suffix":""},{"dropping-particle":"","family":"Terashima","given":"Masanori","non-dropping-particle":"","parse-names":false,"suffix":""},{"dropping-particle":"","family":"Han","given":"Sang-Uk","non-dropping-particle":"","parse-names":false,"suffix":""},{"dropping-particle":"","family":"Iwasaki","given":"Yoshiaki","non-dropping-particle":"","parse-names":false,"suffix":""},{"dropping-particle":"","family":"Hyung","given":"Woo Jin","non-dropping-particle":"","parse-names":false,"suffix":""},{"dropping-particle":"","family":"Takagane","given":"Akinori","non-dropping-particle":"","parse-names":false,"suffix":""},{"dropping-particle":"","family":"Park","given":"Do Joong","non-dropping-particle":"","parse-names":false,"suffix":""},{"dropping-particle":"","family":"Yoshikawa","given":"Takaki","non-dropping-particle":"","parse-names":false,"suffix":""},{"dropping-particle":"","family":"Hahn","given":"Seokyung","non-dropping-particle":"","parse-names":false,"suffix":""},{"dropping-particle":"","family":"Nakamura","given":"Kenichi","non-dropping-particle":"","parse-names":false,"suffix":""},{"dropping-particle":"","family":"Park","given":"Cho Hyun","non-dropping-particle":"","parse-names":false,"suffix":""},{"dropping-particle":"","family":"Kurokawa","given":"Yukinori","non-dropping-particle":"","parse-names":false,"suffix":""},{"dropping-particle":"","family":"Bang","given":"Yung-Jue","non-dropping-particle":"","parse-names":false,"suffix":""},{"dropping-particle":"","family":"Park","given":"Byung Joo","non-dropping-particle":"","parse-names":false,"suffix":""},{"dropping-particle":"","family":"Sasako","given":"Mitsuru","non-dropping-particle":"","parse-names":false,"suffix":""},{"dropping-particle":"","family":"Tsujinaka","given":"Toshimasa","non-dropping-particle":"","parse-names":false,"suffix":""}],"container-title":"The Lancet Oncology","id":"ITEM-1","issue":"3","issued":{"date-parts":[["2016"]]},"page":"309-318","publisher":"Elsevier Ltd","title":"Gastrectomy plus chemotherapy versus chemotherapy alone for advanced gastric cancer with a single non-curable factor (REGATTA): a phase 3, randomised controlled trial","type":"article-journal","volume":"17"},"uris":["http://www.mendeley.com/documents/?uuid=3268696a-1436-47e8-8a21-21a93ee0bb51"]}],"mendeley":{"formattedCitation":"[42]","plainTextFormattedCitation":"[42]","previouslyFormattedCitation":"[42]"},"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[42]</w:t>
            </w:r>
            <w:r w:rsidRPr="007D2E2F">
              <w:rPr>
                <w:rFonts w:ascii="Times New Roman" w:eastAsia="Times New Roman" w:hAnsi="Times New Roman"/>
                <w:sz w:val="16"/>
                <w:szCs w:val="16"/>
              </w:rPr>
              <w:fldChar w:fldCharType="end"/>
            </w:r>
          </w:p>
        </w:tc>
        <w:tc>
          <w:tcPr>
            <w:tcW w:w="456" w:type="dxa"/>
            <w:shd w:val="clear" w:color="auto" w:fill="auto"/>
            <w:noWrap/>
            <w:hideMark/>
          </w:tcPr>
          <w:p w14:paraId="47ED62E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86</w:t>
            </w:r>
          </w:p>
        </w:tc>
        <w:tc>
          <w:tcPr>
            <w:tcW w:w="1708" w:type="dxa"/>
            <w:gridSpan w:val="2"/>
            <w:shd w:val="clear" w:color="auto" w:fill="auto"/>
            <w:noWrap/>
            <w:hideMark/>
          </w:tcPr>
          <w:p w14:paraId="78F7B97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shd w:val="clear" w:color="auto" w:fill="auto"/>
            <w:noWrap/>
            <w:hideMark/>
          </w:tcPr>
          <w:p w14:paraId="5293E97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(65)</w:t>
            </w:r>
          </w:p>
        </w:tc>
        <w:tc>
          <w:tcPr>
            <w:tcW w:w="1623" w:type="dxa"/>
            <w:gridSpan w:val="2"/>
            <w:shd w:val="clear" w:color="auto" w:fill="auto"/>
            <w:noWrap/>
            <w:hideMark/>
          </w:tcPr>
          <w:p w14:paraId="0F7174F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59 (49-67)</w:t>
            </w:r>
          </w:p>
        </w:tc>
        <w:tc>
          <w:tcPr>
            <w:tcW w:w="1379" w:type="dxa"/>
            <w:shd w:val="clear" w:color="auto" w:fill="auto"/>
            <w:noWrap/>
            <w:hideMark/>
          </w:tcPr>
          <w:p w14:paraId="0EA2158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82 (95)</w:t>
            </w:r>
          </w:p>
        </w:tc>
        <w:tc>
          <w:tcPr>
            <w:tcW w:w="797" w:type="dxa"/>
            <w:shd w:val="clear" w:color="auto" w:fill="auto"/>
            <w:noWrap/>
            <w:hideMark/>
          </w:tcPr>
          <w:p w14:paraId="7B20D36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7D2E2F" w14:paraId="06608D28" w14:textId="77777777" w:rsidTr="00DF4D7C">
        <w:trPr>
          <w:trHeight w:val="255"/>
        </w:trPr>
        <w:tc>
          <w:tcPr>
            <w:tcW w:w="2552" w:type="dxa"/>
            <w:tcBorders>
              <w:bottom w:val="single" w:sz="4" w:space="0" w:color="auto"/>
            </w:tcBorders>
            <w:shd w:val="clear" w:color="auto" w:fill="auto"/>
            <w:noWrap/>
            <w:hideMark/>
          </w:tcPr>
          <w:p w14:paraId="7EC82E3D" w14:textId="72EF4372"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Wu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{"citationItems":[{"id":"ITEM-1","itemData":{"DOI":"10.1097/CAD.0000000000000242","ISBN":"1473-5741","ISSN":"14735741","PMID":"25933246","abstract":"We aimed to assess the efficacy and safety of S-1 combined with cisplatin (SC) over cisplatin alone (C) for the treatment of advanced gastric cancer in China. Between July 2009 and June 2011, 72 eligible patients with advanced gastric cancer were selected and divided randomly into two groups. Thirty-six patients received SC, with S-1 on days 1 through 14 of a 21-day cycle and cisplatin (60mg/m on day 1) every 4 weeks for two cycles. The other 36 patients were administered only cisplatin (in the same manner as SC). The primary outcome was overall survival. The secondary outcomes were progression-free survival and adverse events. The 2-year overall response rate was 51.5 and 42.3% for the SC and C groups, respectively, and the difference was statistically significant, whereas the median overall survival was 9.4 months (range, 1.9-24.4 months) and 7.6 months (range, 1.7-21.4 months), respectively (P=0.039). The median progression-free survival was 7.7 months for SC (range, 1.8-19.4 months), whereas it was 6.5 months (range, 1.5-16.4 months) for C (P=0.047). The toxicity profile was similar in both groups. In summary, we have shown that S-1 combined with cisplatin is more effective, with acceptable toxicity in comparison with cisplatin alone in Chinese patients with advanced gastric cancer. Chinese Clinical Trials Register: ChiCTR-TRC-13003993.\\n","author":[{"dropping-particle":"","family":"Wu","given":"Di","non-dropping-particle":"","parse-names":false,"suffix":""},{"dropping-particle":"","family":"Li","given":"Xin","non-dropping-particle":"","parse-names":false,"suffix":""},{"dropping-particle":"","family":"Tong","given":"Jinxue","non-dropping-particle":"","parse-names":false,"suffix":""},{"dropping-particle":"","family":"Sun","given":"Lingyu","non-dropping-particle":"","parse-names":false,"suffix":""},{"dropping-particle":"","family":"Zheng","given":"Hongqun","non-dropping-particle":"","parse-names":false,"suffix":""},{"dropping-particle":"","family":"Gao","given":"Changlu","non-dropping-particle":"","parse-names":false,"suffix":""},{"dropping-particle":"","family":"Yang","given":"Dongdong","non-dropping-particle":"","parse-names":false,"suffix":""},{"dropping-particle":"","family":"Liu","given":"Dongzhe","non-dropping-particle":"","parse-names":false,"suffix":""},{"dropping-particle":"","family":"Zhang","given":"Qifan","non-dropping-particle":"","parse-names":false,"suffix":""}],"container-title":"Anti-Cancer Drugs","id":"ITEM-1","issue":"7","issued":{"date-parts":[["2015"]]},"page":"774-778","title":"S-1 combined with cisplatin versus cisplatin alone for the treatment of advanced gastric cancer: A pilot randomized-controlled trial","type":"article-journal","volume":"26"},"uris":["http://www.mendeley.com/documents/?uuid=152ba633-ea08-49b3-8283-dcb609babdff"]}],"mendeley":{"formattedCitation":"[43]","plainTextFormattedCitation":"[43]","previouslyFormattedCitation":"[43]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[43]</w:t>
            </w:r>
            <w:r w:rsidRPr="007D2E2F">
              <w:rPr>
                <w:rFonts w:ascii="Times New Roman" w:eastAsia="Times New Roman" w:hAnsi="Times New Roman"/>
                <w:color w:val="000000"/>
                <w:sz w:val="16"/>
                <w:szCs w:val="16"/>
              </w:rPr>
              <w:fldChar w:fldCharType="end"/>
            </w:r>
          </w:p>
        </w:tc>
        <w:tc>
          <w:tcPr>
            <w:tcW w:w="456" w:type="dxa"/>
            <w:tcBorders>
              <w:bottom w:val="single" w:sz="4" w:space="0" w:color="auto"/>
            </w:tcBorders>
            <w:shd w:val="clear" w:color="auto" w:fill="auto"/>
            <w:noWrap/>
            <w:hideMark/>
          </w:tcPr>
          <w:p w14:paraId="60A2C8E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36</w:t>
            </w:r>
          </w:p>
        </w:tc>
        <w:tc>
          <w:tcPr>
            <w:tcW w:w="1708" w:type="dxa"/>
            <w:gridSpan w:val="2"/>
            <w:tcBorders>
              <w:bottom w:val="single" w:sz="4" w:space="0" w:color="auto"/>
            </w:tcBorders>
            <w:shd w:val="clear" w:color="auto" w:fill="auto"/>
            <w:noWrap/>
            <w:hideMark/>
          </w:tcPr>
          <w:p w14:paraId="600231B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 + Cis</w:t>
            </w:r>
          </w:p>
        </w:tc>
        <w:tc>
          <w:tcPr>
            <w:tcW w:w="1322" w:type="dxa"/>
            <w:tcBorders>
              <w:bottom w:val="single" w:sz="4" w:space="0" w:color="auto"/>
            </w:tcBorders>
            <w:shd w:val="clear" w:color="auto" w:fill="auto"/>
            <w:noWrap/>
            <w:hideMark/>
          </w:tcPr>
          <w:p w14:paraId="4F3B081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25 (69)</w:t>
            </w:r>
          </w:p>
        </w:tc>
        <w:tc>
          <w:tcPr>
            <w:tcW w:w="1623" w:type="dxa"/>
            <w:gridSpan w:val="2"/>
            <w:tcBorders>
              <w:bottom w:val="single" w:sz="4" w:space="0" w:color="auto"/>
            </w:tcBorders>
            <w:shd w:val="clear" w:color="auto" w:fill="auto"/>
            <w:noWrap/>
            <w:hideMark/>
          </w:tcPr>
          <w:p w14:paraId="26B2FBF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(44-85)</w:t>
            </w:r>
          </w:p>
        </w:tc>
        <w:tc>
          <w:tcPr>
            <w:tcW w:w="1379" w:type="dxa"/>
            <w:tcBorders>
              <w:bottom w:val="single" w:sz="4" w:space="0" w:color="auto"/>
            </w:tcBorders>
            <w:shd w:val="clear" w:color="auto" w:fill="auto"/>
            <w:noWrap/>
            <w:hideMark/>
          </w:tcPr>
          <w:p w14:paraId="3B789B0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tcBorders>
              <w:bottom w:val="single" w:sz="4" w:space="0" w:color="auto"/>
            </w:tcBorders>
            <w:shd w:val="clear" w:color="auto" w:fill="auto"/>
            <w:noWrap/>
            <w:hideMark/>
          </w:tcPr>
          <w:p w14:paraId="1CE132A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1A6F97" w:rsidRPr="00BA62DB" w14:paraId="6084F5A9" w14:textId="77777777" w:rsidTr="00DF4D7C">
        <w:trPr>
          <w:trHeight w:val="255"/>
        </w:trPr>
        <w:tc>
          <w:tcPr>
            <w:tcW w:w="3008" w:type="dxa"/>
            <w:gridSpan w:val="2"/>
            <w:tcBorders>
              <w:top w:val="single" w:sz="4" w:space="0" w:color="auto"/>
              <w:bottom w:val="single" w:sz="4" w:space="0" w:color="auto"/>
            </w:tcBorders>
            <w:shd w:val="clear" w:color="auto" w:fill="auto"/>
            <w:noWrap/>
          </w:tcPr>
          <w:p w14:paraId="5DF89D54"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w:hAnsi="Times New Roman"/>
                <w:bCs/>
                <w:sz w:val="16"/>
                <w:szCs w:val="24"/>
                <w:lang w:val="en-US"/>
              </w:rPr>
              <w:lastRenderedPageBreak/>
              <w:t>Supplementary table 2. (continued)</w:t>
            </w:r>
          </w:p>
        </w:tc>
        <w:tc>
          <w:tcPr>
            <w:tcW w:w="1708" w:type="dxa"/>
            <w:gridSpan w:val="2"/>
            <w:tcBorders>
              <w:top w:val="single" w:sz="4" w:space="0" w:color="auto"/>
              <w:bottom w:val="single" w:sz="4" w:space="0" w:color="auto"/>
            </w:tcBorders>
            <w:shd w:val="clear" w:color="auto" w:fill="auto"/>
            <w:noWrap/>
          </w:tcPr>
          <w:p w14:paraId="25B89441"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p>
        </w:tc>
        <w:tc>
          <w:tcPr>
            <w:tcW w:w="1322" w:type="dxa"/>
            <w:tcBorders>
              <w:top w:val="single" w:sz="4" w:space="0" w:color="auto"/>
              <w:bottom w:val="single" w:sz="4" w:space="0" w:color="auto"/>
            </w:tcBorders>
            <w:shd w:val="clear" w:color="auto" w:fill="auto"/>
            <w:noWrap/>
          </w:tcPr>
          <w:p w14:paraId="351C5B4E"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623" w:type="dxa"/>
            <w:gridSpan w:val="2"/>
            <w:tcBorders>
              <w:top w:val="single" w:sz="4" w:space="0" w:color="auto"/>
              <w:bottom w:val="single" w:sz="4" w:space="0" w:color="auto"/>
            </w:tcBorders>
            <w:shd w:val="clear" w:color="auto" w:fill="auto"/>
            <w:noWrap/>
          </w:tcPr>
          <w:p w14:paraId="1BE78313"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379" w:type="dxa"/>
            <w:tcBorders>
              <w:top w:val="single" w:sz="4" w:space="0" w:color="auto"/>
              <w:bottom w:val="single" w:sz="4" w:space="0" w:color="auto"/>
            </w:tcBorders>
            <w:shd w:val="clear" w:color="auto" w:fill="auto"/>
            <w:noWrap/>
          </w:tcPr>
          <w:p w14:paraId="1B9C2B2C"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797" w:type="dxa"/>
            <w:tcBorders>
              <w:top w:val="single" w:sz="4" w:space="0" w:color="auto"/>
              <w:bottom w:val="single" w:sz="4" w:space="0" w:color="auto"/>
            </w:tcBorders>
            <w:shd w:val="clear" w:color="auto" w:fill="auto"/>
            <w:noWrap/>
          </w:tcPr>
          <w:p w14:paraId="51310476"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r>
      <w:tr w:rsidR="001A6F97" w:rsidRPr="001F70C0" w14:paraId="7723158F" w14:textId="77777777" w:rsidTr="00DF4D7C">
        <w:trPr>
          <w:trHeight w:val="255"/>
        </w:trPr>
        <w:tc>
          <w:tcPr>
            <w:tcW w:w="2552" w:type="dxa"/>
            <w:tcBorders>
              <w:top w:val="single" w:sz="4" w:space="0" w:color="auto"/>
              <w:bottom w:val="single" w:sz="4" w:space="0" w:color="auto"/>
            </w:tcBorders>
            <w:shd w:val="clear" w:color="auto" w:fill="auto"/>
            <w:noWrap/>
          </w:tcPr>
          <w:p w14:paraId="67D14995" w14:textId="77777777" w:rsidR="001A6F97" w:rsidRPr="001F70C0"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New Roman" w:hAnsi="Times New Roman"/>
                <w:bCs/>
                <w:color w:val="000000"/>
                <w:sz w:val="16"/>
                <w:szCs w:val="16"/>
                <w:lang w:val="en-US"/>
              </w:rPr>
              <w:t>Studies</w:t>
            </w:r>
          </w:p>
        </w:tc>
        <w:tc>
          <w:tcPr>
            <w:tcW w:w="456" w:type="dxa"/>
            <w:tcBorders>
              <w:top w:val="single" w:sz="4" w:space="0" w:color="auto"/>
              <w:bottom w:val="single" w:sz="4" w:space="0" w:color="auto"/>
            </w:tcBorders>
            <w:shd w:val="clear" w:color="auto" w:fill="auto"/>
            <w:noWrap/>
          </w:tcPr>
          <w:p w14:paraId="6300B643"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No.</w:t>
            </w:r>
          </w:p>
        </w:tc>
        <w:tc>
          <w:tcPr>
            <w:tcW w:w="1708" w:type="dxa"/>
            <w:gridSpan w:val="2"/>
            <w:tcBorders>
              <w:top w:val="single" w:sz="4" w:space="0" w:color="auto"/>
              <w:bottom w:val="single" w:sz="4" w:space="0" w:color="auto"/>
            </w:tcBorders>
            <w:shd w:val="clear" w:color="auto" w:fill="auto"/>
            <w:noWrap/>
          </w:tcPr>
          <w:p w14:paraId="2D5D2014"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322" w:type="dxa"/>
            <w:tcBorders>
              <w:top w:val="single" w:sz="4" w:space="0" w:color="auto"/>
              <w:bottom w:val="single" w:sz="4" w:space="0" w:color="auto"/>
            </w:tcBorders>
            <w:shd w:val="clear" w:color="auto" w:fill="auto"/>
            <w:noWrap/>
          </w:tcPr>
          <w:p w14:paraId="68A45CC8"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0488435F"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1623" w:type="dxa"/>
            <w:gridSpan w:val="2"/>
            <w:tcBorders>
              <w:top w:val="single" w:sz="4" w:space="0" w:color="auto"/>
              <w:bottom w:val="single" w:sz="4" w:space="0" w:color="auto"/>
            </w:tcBorders>
            <w:shd w:val="clear" w:color="auto" w:fill="auto"/>
            <w:noWrap/>
          </w:tcPr>
          <w:p w14:paraId="7A8D3766"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1693447C"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Median (range)</w:t>
            </w:r>
          </w:p>
        </w:tc>
        <w:tc>
          <w:tcPr>
            <w:tcW w:w="1379" w:type="dxa"/>
            <w:tcBorders>
              <w:top w:val="single" w:sz="4" w:space="0" w:color="auto"/>
              <w:bottom w:val="single" w:sz="4" w:space="0" w:color="auto"/>
            </w:tcBorders>
            <w:shd w:val="clear" w:color="auto" w:fill="auto"/>
            <w:noWrap/>
          </w:tcPr>
          <w:p w14:paraId="2AB70969"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4AF0DC1B"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797" w:type="dxa"/>
            <w:tcBorders>
              <w:top w:val="single" w:sz="4" w:space="0" w:color="auto"/>
              <w:bottom w:val="single" w:sz="4" w:space="0" w:color="auto"/>
            </w:tcBorders>
            <w:shd w:val="clear" w:color="auto" w:fill="auto"/>
            <w:noWrap/>
          </w:tcPr>
          <w:p w14:paraId="1538E548"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WHO&gt;2 </w:t>
            </w:r>
          </w:p>
          <w:p w14:paraId="42C0BD18"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r>
      <w:tr w:rsidR="00B61A3A" w:rsidRPr="00BA62DB" w14:paraId="06A0ECD3" w14:textId="77777777" w:rsidTr="00B61A3A">
        <w:trPr>
          <w:trHeight w:val="255"/>
        </w:trPr>
        <w:tc>
          <w:tcPr>
            <w:tcW w:w="2552" w:type="dxa"/>
            <w:shd w:val="clear" w:color="auto" w:fill="auto"/>
            <w:noWrap/>
            <w:hideMark/>
          </w:tcPr>
          <w:p w14:paraId="4113E743" w14:textId="12CA3370" w:rsidR="00B61A3A" w:rsidRPr="00BA62DB"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Ryu 2016 (SOPP)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{"citationItems":[{"id":"ITEM-1","itemData":{"DOI":"10.1200/JCO.2016.34.15_suppl.4015","ISSN":"0732-183X","abstract":"4015Background: S-1 plus cisplatin (SP) is one of the standard first-line chemotherapies for AGC in the East Asia. Oxaliplatin is generally less toxic and more convenient than cisplatin. This study compared the safety and efficacy of S-1 plus oxaliplatin (SOX) with those of SP. Methods: This SOPP study was a multi-center, randomized, open-label, phase III study to evaluate whether SOX was non-inferior / superior to SP in terms of progression-free survival (PFS) according to RECIST v1.1. Patients (pts) with metastatic or recurrent gastric or gastroesophageal junction adenocarcinoma and no prior chemotherapy were randomized 1:1 to receive either SOX (S-1 80 mg/m2/day on D1-14, oxaliplatin 130 mg/m2 on D1, every 3 weeks) or SP (S-1 80 mg/m2/day on D1-14, cisplatin 60mg/m2 on D1, every 3 weeks) until disease progression or unacceptable toxicities. Results: Between October 2012 and October 2014, a total of 338 pts were randomized from 10 sites in Korea. The median age was 56 years (range, 26-80). 98% of pts had ECOG performance status 0-1. 51% of pts had measurable lesions. With a median follow-up of 15.6 months (range, 0.1-33.3) in surviving pts, SOX was significantly non-inferior but not superior to SP in PFS (median 5.6 months vs. 5.7 months; HR 0.85, 95% CI 0.67-1.07, p = 0.169). In pts with measurable disease, overall response rates (ORR) were similar between SOX and SP (58% vs. 60%, p = 0.7). Overall survival (OS) of both groups was not different, either (median 12.9 vs. 11.4 months; HR 0.86, 95% CI 0.66-1.11, p = 0.242). Treatment was generally well tolerated in both arms. While grade 3/4 neutropenia and febrile neutropenia were more common in SP, grade 3/4 peripheral neuropathy and thrombocytopenia were more common in SOX. Conclusions: SOX was non-inferior to SP in terms of PFS, ORR, and OS. The two regimens were well tolerated with different toxicity profiles. SOX regimen can be also recommended as a first-line treatment of AGC. Clinical trial information: NCT01671449.","author":[{"dropping-particle":"","family":"Ryu","given":"Min-Hee","non-dropping-particle":"","parse-names":false,"suffix":""},{"dropping-particle":"","family":"Park","given":"Young Iee","non-dropping-particle":"","parse-names":false,"suffix":""},{"dropping-particle":"","family":"Chung","given":"Ik-Joo","non-dropping-particle":"","parse-names":false,"suffix":""},{"dropping-particle":"","family":"Lee","given":"Keun-Wook","non-dropping-particle":"","parse-names":false,"suffix":""},{"dropping-particle":"","family":"Oh","given":"Ho-Suk","non-dropping-particle":"","parse-names":false,"suffix":""},{"dropping-particle":"","family":"Lee","given":"Kyung Hee","non-dropping-particle":"","parse-names":false,"suffix":""},{"dropping-particle":"","family":"Han","given":"Hye Sook","non-dropping-particle":"","parse-names":false,"suffix":""},{"dropping-particle":"","family":"Seo","given":"Bong-Gun","non-dropping-particle":"","parse-names":false,"suffix":""},{"dropping-particle":"","family":"Jo","given":"Jae-Cheol","non-dropping-particle":"","parse-names":false,"suffix":""},{"dropping-particle":"","family":"Lee","given":"Hyo Rak","non-dropping-particle":"","parse-names":false,"suffix":""},{"dropping-particle":"","family":"Park","given":"Sook Ryun","non-dropping-particle":"","parse-names":false,"suffix":""},{"dropping-particle":"","family":"Kang","given":"Yoon-Koo","non-dropping-particle":"","parse-names":false,"suffix":""}],"container-title":"Journal of Clinical Oncology","id":"ITEM-1","issue":"15_suppl","issued":{"date-parts":[["2016","5","20"]]},"note":"doi: 10.1200/JCO.2016.34.15_suppl.4015","page":"4015","publisher":"American Society of Clinical Oncology","title":"Phase III trial of s-1 plus oxaliplatin (SOX) vs s-1 plus cisplatin (SP) combination chemotherapy for first-line treatment of advanced gastric cancer (AGC): SOPP study.","type":"article-journal","volume":"34"},"uris":["http://www.mendeley.com/documents/?uuid=89c498eb-dd13-41c9-bab2-8b4db293d7de","http://www.mendeley.com/documents/?uuid=31faeb6d-2bb6-4ab9-94b1-cc5296e5275c"]}],"mendeley":{"formattedCitation":"[44]","plainTextFormattedCitation":"[44]","previouslyFormattedCitation":"[44]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339BC3DE" w14:textId="77777777" w:rsidR="00B61A3A" w:rsidRPr="00BA62DB" w:rsidRDefault="00B61A3A" w:rsidP="00B61A3A">
            <w:pPr>
              <w:spacing w:before="240" w:line="360" w:lineRule="auto"/>
              <w:rPr>
                <w:rFonts w:ascii="Times New Roman" w:eastAsia="Times New Roman" w:hAnsi="Times New Roman"/>
                <w:color w:val="000000"/>
                <w:sz w:val="16"/>
                <w:szCs w:val="16"/>
              </w:rPr>
            </w:pPr>
            <w:r w:rsidRPr="00BA62DB">
              <w:rPr>
                <w:rFonts w:ascii="Times New Roman" w:eastAsia="Times New Roman" w:hAnsi="Times New Roman"/>
                <w:color w:val="000000"/>
                <w:sz w:val="16"/>
                <w:szCs w:val="16"/>
              </w:rPr>
              <w:t>164</w:t>
            </w:r>
          </w:p>
        </w:tc>
        <w:tc>
          <w:tcPr>
            <w:tcW w:w="1708" w:type="dxa"/>
            <w:gridSpan w:val="2"/>
            <w:shd w:val="clear" w:color="auto" w:fill="auto"/>
            <w:noWrap/>
            <w:hideMark/>
          </w:tcPr>
          <w:p w14:paraId="79B5DCE8" w14:textId="77777777" w:rsidR="00B61A3A" w:rsidRPr="00BA62DB" w:rsidRDefault="00B61A3A" w:rsidP="00B61A3A">
            <w:pPr>
              <w:spacing w:before="240" w:line="360" w:lineRule="auto"/>
              <w:rPr>
                <w:rFonts w:ascii="Times New Roman" w:eastAsia="Times New Roman" w:hAnsi="Times New Roman"/>
                <w:color w:val="000000"/>
                <w:sz w:val="16"/>
                <w:szCs w:val="16"/>
              </w:rPr>
            </w:pPr>
            <w:r w:rsidRPr="00BA62DB">
              <w:rPr>
                <w:rFonts w:ascii="Times New Roman" w:eastAsia="Times New Roman" w:hAnsi="Times New Roman"/>
                <w:color w:val="000000"/>
                <w:sz w:val="16"/>
                <w:szCs w:val="16"/>
              </w:rPr>
              <w:t>S-1 + Cis</w:t>
            </w:r>
          </w:p>
        </w:tc>
        <w:tc>
          <w:tcPr>
            <w:tcW w:w="1322" w:type="dxa"/>
            <w:shd w:val="clear" w:color="auto" w:fill="auto"/>
            <w:noWrap/>
            <w:hideMark/>
          </w:tcPr>
          <w:p w14:paraId="50E8B880" w14:textId="77777777" w:rsidR="00B61A3A" w:rsidRPr="00BA62DB" w:rsidRDefault="00B61A3A" w:rsidP="00B61A3A">
            <w:pPr>
              <w:spacing w:before="240" w:line="360" w:lineRule="auto"/>
              <w:jc w:val="right"/>
              <w:rPr>
                <w:rFonts w:ascii="Times New Roman" w:eastAsia="Times New Roman" w:hAnsi="Times New Roman"/>
                <w:color w:val="000000"/>
                <w:sz w:val="16"/>
                <w:szCs w:val="16"/>
              </w:rPr>
            </w:pPr>
            <w:r w:rsidRPr="00BA62DB">
              <w:rPr>
                <w:rFonts w:ascii="Times New Roman" w:eastAsia="Times New Roman" w:hAnsi="Times New Roman"/>
                <w:color w:val="000000"/>
                <w:sz w:val="16"/>
                <w:szCs w:val="16"/>
              </w:rPr>
              <w:t>NA</w:t>
            </w:r>
          </w:p>
        </w:tc>
        <w:tc>
          <w:tcPr>
            <w:tcW w:w="1623" w:type="dxa"/>
            <w:gridSpan w:val="2"/>
            <w:shd w:val="clear" w:color="auto" w:fill="auto"/>
            <w:noWrap/>
            <w:hideMark/>
          </w:tcPr>
          <w:p w14:paraId="0AFAE909" w14:textId="77777777" w:rsidR="00B61A3A" w:rsidRPr="00BA62DB" w:rsidRDefault="00B61A3A" w:rsidP="00B61A3A">
            <w:pPr>
              <w:spacing w:before="240" w:line="360" w:lineRule="auto"/>
              <w:jc w:val="right"/>
              <w:rPr>
                <w:rFonts w:ascii="Times New Roman" w:eastAsia="Times New Roman" w:hAnsi="Times New Roman"/>
                <w:color w:val="000000"/>
                <w:sz w:val="16"/>
                <w:szCs w:val="16"/>
              </w:rPr>
            </w:pPr>
            <w:r w:rsidRPr="00BA62DB">
              <w:rPr>
                <w:rFonts w:ascii="Times New Roman" w:eastAsia="Times New Roman" w:hAnsi="Times New Roman"/>
                <w:color w:val="000000"/>
                <w:sz w:val="16"/>
                <w:szCs w:val="16"/>
              </w:rPr>
              <w:t>NA</w:t>
            </w:r>
          </w:p>
        </w:tc>
        <w:tc>
          <w:tcPr>
            <w:tcW w:w="1379" w:type="dxa"/>
            <w:shd w:val="clear" w:color="auto" w:fill="auto"/>
            <w:noWrap/>
            <w:hideMark/>
          </w:tcPr>
          <w:p w14:paraId="56CAAC46" w14:textId="77777777" w:rsidR="00B61A3A" w:rsidRPr="00BA62DB" w:rsidRDefault="00B61A3A" w:rsidP="00B61A3A">
            <w:pPr>
              <w:spacing w:before="240" w:line="360" w:lineRule="auto"/>
              <w:jc w:val="right"/>
              <w:rPr>
                <w:rFonts w:ascii="Times New Roman" w:eastAsia="Times New Roman" w:hAnsi="Times New Roman"/>
                <w:color w:val="000000"/>
                <w:sz w:val="16"/>
                <w:szCs w:val="16"/>
              </w:rPr>
            </w:pPr>
            <w:r w:rsidRPr="00BA62DB">
              <w:rPr>
                <w:rFonts w:ascii="Times New Roman" w:eastAsia="Times New Roman" w:hAnsi="Times New Roman"/>
                <w:color w:val="000000"/>
                <w:sz w:val="16"/>
                <w:szCs w:val="16"/>
              </w:rPr>
              <w:t>NA</w:t>
            </w:r>
          </w:p>
        </w:tc>
        <w:tc>
          <w:tcPr>
            <w:tcW w:w="797" w:type="dxa"/>
            <w:shd w:val="clear" w:color="auto" w:fill="auto"/>
            <w:noWrap/>
            <w:hideMark/>
          </w:tcPr>
          <w:p w14:paraId="383FE780" w14:textId="77777777" w:rsidR="00B61A3A" w:rsidRPr="00BA62DB" w:rsidRDefault="00B61A3A" w:rsidP="00B61A3A">
            <w:pPr>
              <w:spacing w:before="240" w:line="360" w:lineRule="auto"/>
              <w:jc w:val="right"/>
              <w:rPr>
                <w:rFonts w:ascii="Times New Roman" w:eastAsia="Times New Roman" w:hAnsi="Times New Roman"/>
                <w:color w:val="000000"/>
                <w:sz w:val="16"/>
                <w:szCs w:val="16"/>
              </w:rPr>
            </w:pPr>
            <w:r w:rsidRPr="00BA62DB">
              <w:rPr>
                <w:rFonts w:ascii="Times New Roman" w:eastAsia="Times New Roman" w:hAnsi="Times New Roman"/>
                <w:color w:val="000000"/>
                <w:sz w:val="16"/>
                <w:szCs w:val="16"/>
              </w:rPr>
              <w:t>NA</w:t>
            </w:r>
          </w:p>
        </w:tc>
      </w:tr>
      <w:tr w:rsidR="00B61A3A" w:rsidRPr="00BA62DB" w14:paraId="03672E4F" w14:textId="77777777" w:rsidTr="00B61A3A">
        <w:trPr>
          <w:trHeight w:val="255"/>
        </w:trPr>
        <w:tc>
          <w:tcPr>
            <w:tcW w:w="4716" w:type="dxa"/>
            <w:gridSpan w:val="4"/>
            <w:shd w:val="clear" w:color="auto" w:fill="auto"/>
            <w:noWrap/>
            <w:hideMark/>
          </w:tcPr>
          <w:p w14:paraId="66AA0D87" w14:textId="77777777" w:rsidR="00B61A3A" w:rsidRPr="00BA62DB" w:rsidRDefault="00B61A3A" w:rsidP="00B61A3A">
            <w:pPr>
              <w:tabs>
                <w:tab w:val="left" w:pos="2751"/>
              </w:tabs>
              <w:spacing w:before="240" w:line="360" w:lineRule="auto"/>
              <w:rPr>
                <w:rFonts w:ascii="Times New Roman" w:eastAsia="Times New Roman" w:hAnsi="Times New Roman"/>
                <w:color w:val="000000"/>
                <w:sz w:val="16"/>
                <w:szCs w:val="16"/>
                <w:u w:val="single"/>
              </w:rPr>
            </w:pPr>
            <w:r w:rsidRPr="00BA62DB">
              <w:rPr>
                <w:rFonts w:ascii="Times New Roman" w:eastAsia="Times New Roman" w:hAnsi="Times New Roman"/>
                <w:color w:val="000000"/>
                <w:sz w:val="16"/>
                <w:szCs w:val="16"/>
                <w:u w:val="single"/>
              </w:rPr>
              <w:t>Cisplatin+Capecitabine</w:t>
            </w:r>
            <w:r w:rsidRPr="00BA62DB">
              <w:rPr>
                <w:rFonts w:ascii="Times New Roman" w:eastAsia="Times New Roman" w:hAnsi="Times New Roman"/>
                <w:color w:val="000000"/>
                <w:sz w:val="16"/>
                <w:szCs w:val="16"/>
              </w:rPr>
              <w:tab/>
            </w:r>
            <w:r w:rsidRPr="00BA62DB">
              <w:rPr>
                <w:rFonts w:ascii="Times New Roman" w:eastAsia="Times New Roman" w:hAnsi="Times New Roman"/>
                <w:color w:val="000000"/>
                <w:sz w:val="16"/>
                <w:szCs w:val="16"/>
                <w:u w:val="single"/>
              </w:rPr>
              <w:t>CF</w:t>
            </w:r>
          </w:p>
        </w:tc>
        <w:tc>
          <w:tcPr>
            <w:tcW w:w="1322" w:type="dxa"/>
            <w:shd w:val="clear" w:color="auto" w:fill="auto"/>
            <w:noWrap/>
            <w:hideMark/>
          </w:tcPr>
          <w:p w14:paraId="24D5DAB2" w14:textId="77777777" w:rsidR="00B61A3A" w:rsidRPr="00BA62DB" w:rsidRDefault="00B61A3A" w:rsidP="00B61A3A">
            <w:pPr>
              <w:spacing w:before="240" w:line="360" w:lineRule="auto"/>
              <w:jc w:val="right"/>
              <w:rPr>
                <w:rFonts w:ascii="Times New Roman" w:eastAsia="Times New Roman" w:hAnsi="Times New Roman"/>
                <w:color w:val="000000"/>
                <w:sz w:val="16"/>
                <w:szCs w:val="16"/>
              </w:rPr>
            </w:pPr>
            <w:r w:rsidRPr="00BA62DB">
              <w:rPr>
                <w:rFonts w:ascii="Times New Roman" w:eastAsia="Times New Roman" w:hAnsi="Times New Roman"/>
                <w:color w:val="000000"/>
                <w:sz w:val="16"/>
                <w:szCs w:val="16"/>
              </w:rPr>
              <w:t> </w:t>
            </w:r>
          </w:p>
        </w:tc>
        <w:tc>
          <w:tcPr>
            <w:tcW w:w="1623" w:type="dxa"/>
            <w:gridSpan w:val="2"/>
            <w:shd w:val="clear" w:color="auto" w:fill="auto"/>
            <w:noWrap/>
            <w:hideMark/>
          </w:tcPr>
          <w:p w14:paraId="3B33B2A9" w14:textId="77777777" w:rsidR="00B61A3A" w:rsidRPr="00BA62DB" w:rsidRDefault="00B61A3A" w:rsidP="00B61A3A">
            <w:pPr>
              <w:spacing w:before="240" w:line="360" w:lineRule="auto"/>
              <w:jc w:val="right"/>
              <w:rPr>
                <w:rFonts w:ascii="Times New Roman" w:eastAsia="Times New Roman" w:hAnsi="Times New Roman"/>
                <w:color w:val="000000"/>
                <w:sz w:val="16"/>
                <w:szCs w:val="16"/>
              </w:rPr>
            </w:pPr>
            <w:r w:rsidRPr="00BA62DB">
              <w:rPr>
                <w:rFonts w:ascii="Times New Roman" w:eastAsia="Times New Roman" w:hAnsi="Times New Roman"/>
                <w:color w:val="000000"/>
                <w:sz w:val="16"/>
                <w:szCs w:val="16"/>
              </w:rPr>
              <w:t> </w:t>
            </w:r>
          </w:p>
        </w:tc>
        <w:tc>
          <w:tcPr>
            <w:tcW w:w="1379" w:type="dxa"/>
            <w:shd w:val="clear" w:color="auto" w:fill="auto"/>
            <w:noWrap/>
            <w:hideMark/>
          </w:tcPr>
          <w:p w14:paraId="4959C89F" w14:textId="77777777" w:rsidR="00B61A3A" w:rsidRPr="00BA62DB" w:rsidRDefault="00B61A3A" w:rsidP="00B61A3A">
            <w:pPr>
              <w:spacing w:before="240" w:line="360" w:lineRule="auto"/>
              <w:jc w:val="right"/>
              <w:rPr>
                <w:rFonts w:ascii="Times New Roman" w:eastAsia="Times New Roman" w:hAnsi="Times New Roman"/>
                <w:color w:val="000000"/>
                <w:sz w:val="16"/>
                <w:szCs w:val="16"/>
              </w:rPr>
            </w:pPr>
            <w:r w:rsidRPr="00BA62DB">
              <w:rPr>
                <w:rFonts w:ascii="Times New Roman" w:eastAsia="Times New Roman" w:hAnsi="Times New Roman"/>
                <w:color w:val="000000"/>
                <w:sz w:val="16"/>
                <w:szCs w:val="16"/>
              </w:rPr>
              <w:t> </w:t>
            </w:r>
          </w:p>
        </w:tc>
        <w:tc>
          <w:tcPr>
            <w:tcW w:w="797" w:type="dxa"/>
            <w:shd w:val="clear" w:color="auto" w:fill="auto"/>
            <w:noWrap/>
            <w:hideMark/>
          </w:tcPr>
          <w:p w14:paraId="147263B1" w14:textId="77777777" w:rsidR="00B61A3A" w:rsidRPr="00BA62DB" w:rsidRDefault="00B61A3A" w:rsidP="00B61A3A">
            <w:pPr>
              <w:spacing w:before="240" w:line="360" w:lineRule="auto"/>
              <w:jc w:val="right"/>
              <w:rPr>
                <w:rFonts w:ascii="Times New Roman" w:eastAsia="Times New Roman" w:hAnsi="Times New Roman"/>
                <w:color w:val="000000"/>
                <w:sz w:val="16"/>
                <w:szCs w:val="16"/>
              </w:rPr>
            </w:pPr>
            <w:r w:rsidRPr="00BA62DB">
              <w:rPr>
                <w:rFonts w:ascii="Times New Roman" w:eastAsia="Times New Roman" w:hAnsi="Times New Roman"/>
                <w:color w:val="000000"/>
                <w:sz w:val="16"/>
                <w:szCs w:val="16"/>
              </w:rPr>
              <w:t> </w:t>
            </w:r>
          </w:p>
        </w:tc>
      </w:tr>
      <w:tr w:rsidR="00B61A3A" w:rsidRPr="007D2E2F" w14:paraId="0D4DBA40" w14:textId="77777777" w:rsidTr="00B61A3A">
        <w:trPr>
          <w:trHeight w:val="255"/>
        </w:trPr>
        <w:tc>
          <w:tcPr>
            <w:tcW w:w="2552" w:type="dxa"/>
            <w:shd w:val="clear" w:color="auto" w:fill="auto"/>
            <w:noWrap/>
            <w:hideMark/>
          </w:tcPr>
          <w:p w14:paraId="2868383C" w14:textId="79E86BAE" w:rsidR="00B61A3A" w:rsidRPr="007D2E2F" w:rsidRDefault="00B61A3A" w:rsidP="00B61A3A">
            <w:pPr>
              <w:spacing w:before="240" w:line="360" w:lineRule="auto"/>
              <w:rPr>
                <w:rFonts w:ascii="Times New Roman" w:eastAsia="Times New Roman" w:hAnsi="Times New Roman"/>
                <w:b/>
                <w:color w:val="000000"/>
                <w:sz w:val="16"/>
                <w:szCs w:val="16"/>
              </w:rPr>
            </w:pPr>
            <w:r w:rsidRPr="00BA62DB">
              <w:rPr>
                <w:rFonts w:ascii="Times New Roman" w:eastAsia="Times New Roman" w:hAnsi="Times New Roman"/>
                <w:b/>
                <w:color w:val="000000"/>
                <w:sz w:val="16"/>
                <w:szCs w:val="16"/>
              </w:rPr>
              <w:t xml:space="preserve">Moehler 2010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p269","ISBN":"4906131177276","ISSN":"09237534","author":[{"dropping-particle":"","family":"Moehler","given":"M.","non-dropping-particle":"","parse-names":false,"suffix":""},{"dropping-particle":"","family":"Kanzler","given":"S.","non-dropping-particle":"","parse-names":false,"suffix":""},{"dropping-particle":"","family":"Geissler","given":"M.","non-dropping-particle":"","parse-names":false,"suffix":""},{"dropping-particle":"","family":"Raedle","given":"J.","non-dropping-particle":"","parse-names":false,"suffix":""},{"dropping-particle":"","family":"Ebert","given":"M. P.","non-dropping-particle":"","parse-names":false,"suffix":""},{"dropping-particle":"","family":"Daum","given":"S.","non-dropping-particle":"","parse-names":false,"suffix":""},{"dropping-particle":"","family":"Flieger","given":"D.","non-dropping-particle":"","parse-names":false,"suffix":""},{"dropping-particle":"","family":"Seufferlein","given":"T.","non-dropping-particle":"","parse-names":false,"suffix":""},{"dropping-particle":"","family":"Galle","given":"P. R.","non-dropping-particle":"","parse-names":false,"suffix":""},{"dropping-particle":"","family":"Hoehler","given":"T.","non-dropping-particle":"","parse-names":false,"suffix":""}],"container-title":"Annals of Oncology","id":"ITEM-1","issue":"1","issued":{"date-parts":[["2010"]]},"page":"71-77","title":"A randomized multicenter phase II study comparing capecitabine with irinotecan or cisplatin in metastatic adenocarcinoma of the stomach or esophagogastric junction","type":"article-journal","volume":"21"},"uris":["http://www.mendeley.com/documents/?uuid=6f5ca2ba-991d-4640-805e-bbfbc78e4d6b"]}],"mendeley":{"formattedCitation":"[45]","plainTextFormattedCitation":"[45]","previouslyFormattedCitation":"[45]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1421DB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55</w:t>
            </w:r>
          </w:p>
        </w:tc>
        <w:tc>
          <w:tcPr>
            <w:tcW w:w="1708" w:type="dxa"/>
            <w:gridSpan w:val="2"/>
            <w:shd w:val="clear" w:color="auto" w:fill="auto"/>
            <w:noWrap/>
            <w:hideMark/>
          </w:tcPr>
          <w:p w14:paraId="207B50C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Cap+Cis</w:t>
            </w:r>
          </w:p>
        </w:tc>
        <w:tc>
          <w:tcPr>
            <w:tcW w:w="1322" w:type="dxa"/>
            <w:shd w:val="clear" w:color="auto" w:fill="auto"/>
            <w:noWrap/>
            <w:hideMark/>
          </w:tcPr>
          <w:p w14:paraId="35D76EF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36 (66)</w:t>
            </w:r>
          </w:p>
        </w:tc>
        <w:tc>
          <w:tcPr>
            <w:tcW w:w="1623" w:type="dxa"/>
            <w:gridSpan w:val="2"/>
            <w:shd w:val="clear" w:color="auto" w:fill="auto"/>
            <w:noWrap/>
            <w:hideMark/>
          </w:tcPr>
          <w:p w14:paraId="24C9A15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(31-76)</w:t>
            </w:r>
          </w:p>
        </w:tc>
        <w:tc>
          <w:tcPr>
            <w:tcW w:w="1379" w:type="dxa"/>
            <w:shd w:val="clear" w:color="auto" w:fill="auto"/>
            <w:noWrap/>
            <w:hideMark/>
          </w:tcPr>
          <w:p w14:paraId="663EB69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55 (100)</w:t>
            </w:r>
          </w:p>
        </w:tc>
        <w:tc>
          <w:tcPr>
            <w:tcW w:w="797" w:type="dxa"/>
            <w:shd w:val="clear" w:color="auto" w:fill="auto"/>
            <w:noWrap/>
            <w:hideMark/>
          </w:tcPr>
          <w:p w14:paraId="0EEF4C4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 (27)‡</w:t>
            </w:r>
          </w:p>
        </w:tc>
      </w:tr>
      <w:tr w:rsidR="00B61A3A" w:rsidRPr="007D2E2F" w14:paraId="19C17F14" w14:textId="77777777" w:rsidTr="00B61A3A">
        <w:trPr>
          <w:trHeight w:val="255"/>
        </w:trPr>
        <w:tc>
          <w:tcPr>
            <w:tcW w:w="2552" w:type="dxa"/>
            <w:shd w:val="clear" w:color="auto" w:fill="auto"/>
            <w:noWrap/>
            <w:hideMark/>
          </w:tcPr>
          <w:p w14:paraId="79EEF227" w14:textId="736836AF"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Eatock 2013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{"citationItems":[{"id":"ITEM-1","itemData":{"DOI":"10.1093/annonc/mds502","ISBN":"09237534 (ISSN)","ISSN":"09237534","PMID":"23108953","abstract":"BACKGROUND: We evaluated AMG 386, an investigational peptibody that neutralizes the interaction between angiopoietins-1 and -2 and the Tie2 receptor, combined with cisplatin/capecitabine (CX) as first-line treatment for metastatic gastro-oesophageal cancer.\\n\\nPATIENTS AND METHODS: Patients with metastatic gastric, gastro-oesophageal junction, or distal oesophageal adenocarcinoma were randomized 1:1:1 to CX (cisplatin 80 mg/m(2) IV Q3W; capecitabine 1000 mg/m(2) P.O. BID for 14 days Q3W) plus intravenous AMG 386 10 mg/kg QW (Arm A) or 3 mg/kg QW (Arm B), or placebo QW (Arm C). The primary end point was estimated progression-free survival (PFS).\\n\\nRESULTS: A total of 171 patients were enrolled. Median estimated PFS in Arms A, B, and C was 4.2, 4.9, and 5.2 months, respectively (hazard ratio for Arms A+B combined versus Arm C, 0.98; 95% CI 0.67-1.43; P = 0.92). Objective response rates were 27% (Arm A), 43% (Arm B), and 35% (Arm C). Incidence of grade ≥3 adverse events was 80% in Arm A, 84% in Arm B, and 75% in Arm C. There was no evidence of pharmacokinetic interactions.\\n\\nCONCLUSIONS: In this study, PFS and ORR were estimated to be similar with AMG 386 plus CX and placebo plus CX treatment. Compared with placebo, toxicity of AMG 386 plus CX was greater but manageable.\\n\\nPREVIOUS PRESENTATION: The results of this study have not been previously published or submitted for publication elsewhere. The results were presented in part at the Gastrointestinal Cancers Symposium, San Francisco, CA, January 20-22, 2011.\\n\\nCLINICAL TRIAL REGISTRATION: ClinicalTrials.gov registration number: NCT00583674.","author":[{"dropping-particle":"","family":"Eatock","given":"M. M.","non-dropping-particle":"","parse-names":false,"suffix":""},{"dropping-particle":"","family":"Tebbutt","given":"N. C.","non-dropping-particle":"","parse-names":false,"suffix":""},{"dropping-particle":"","family":"Bampton","given":"C. L.","non-dropping-particle":"","parse-names":false,"suffix":""},{"dropping-particle":"","family":"Strickland","given":"A. H.","non-dropping-particle":"","parse-names":false,"suffix":""},{"dropping-particle":"","family":"Valladares-Ayerbes","given":"M.","non-dropping-particle":"","parse-names":false,"suffix":""},{"dropping-particle":"","family":"Swieboda-Sadlej","given":"A.","non-dropping-particle":"","parse-names":false,"suffix":""},{"dropping-particle":"","family":"Cutsem","given":"E.","non-dropping-particle":"Van","parse-names":false,"suffix":""},{"dropping-particle":"","family":"Nanayakkara","given":"N.","non-dropping-particle":"","parse-names":false,"suffix":""},{"dropping-particle":"","family":"Sun","given":"Y. N.","non-dropping-particle":"","parse-names":false,"suffix":""},{"dropping-particle":"","family":"Zhong","given":"Z. D.","non-dropping-particle":"","parse-names":false,"suffix":""},{"dropping-particle":"","family":"Bass","given":"M. B.","non-dropping-particle":"","parse-names":false,"suffix":""},{"dropping-particle":"","family":"Adewoye","given":"A. H.","non-dropping-particle":"","parse-names":false,"suffix":""},{"dropping-particle":"","family":"Bodoky","given":"G.","non-dropping-particle":"","parse-names":false,"suffix":""}],"container-title":"Annals of Oncology","id":"ITEM-1","issue":"3","issued":{"date-parts":[["2013"]]},"page":"710-718","title":"Phase II randomized, double-blind, placebo-controlled study of AMG 386 (trebananib) in combination with cisplatin and capecitabine in patients with metastatic gastro-oesophageal cancer","type":"article-journal","volume":"24"},"uris":["http://www.mendeley.com/documents/?uuid=5b5f406c-0db4-48de-9630-9eee4f6cc165"]}],"mendeley":{"formattedCitation":"[46]","plainTextFormattedCitation":"[46]","previouslyFormattedCitation":"[46]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ECCB84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w:t>
            </w:r>
          </w:p>
        </w:tc>
        <w:tc>
          <w:tcPr>
            <w:tcW w:w="1708" w:type="dxa"/>
            <w:gridSpan w:val="2"/>
            <w:shd w:val="clear" w:color="auto" w:fill="auto"/>
            <w:noWrap/>
            <w:hideMark/>
          </w:tcPr>
          <w:p w14:paraId="6EC579A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Cap+Cis</w:t>
            </w:r>
          </w:p>
        </w:tc>
        <w:tc>
          <w:tcPr>
            <w:tcW w:w="1322" w:type="dxa"/>
            <w:shd w:val="clear" w:color="auto" w:fill="auto"/>
            <w:noWrap/>
            <w:hideMark/>
          </w:tcPr>
          <w:p w14:paraId="28D8753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 (80)</w:t>
            </w:r>
          </w:p>
        </w:tc>
        <w:tc>
          <w:tcPr>
            <w:tcW w:w="1623" w:type="dxa"/>
            <w:gridSpan w:val="2"/>
            <w:shd w:val="clear" w:color="auto" w:fill="auto"/>
            <w:noWrap/>
            <w:hideMark/>
          </w:tcPr>
          <w:p w14:paraId="1315F43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(37-84)</w:t>
            </w:r>
          </w:p>
        </w:tc>
        <w:tc>
          <w:tcPr>
            <w:tcW w:w="1379" w:type="dxa"/>
            <w:shd w:val="clear" w:color="auto" w:fill="auto"/>
            <w:noWrap/>
            <w:hideMark/>
          </w:tcPr>
          <w:p w14:paraId="4C47642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(100)</w:t>
            </w:r>
          </w:p>
        </w:tc>
        <w:tc>
          <w:tcPr>
            <w:tcW w:w="797" w:type="dxa"/>
            <w:shd w:val="clear" w:color="auto" w:fill="auto"/>
            <w:noWrap/>
            <w:hideMark/>
          </w:tcPr>
          <w:p w14:paraId="69DB365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 (4)</w:t>
            </w:r>
          </w:p>
        </w:tc>
      </w:tr>
      <w:tr w:rsidR="00B61A3A" w:rsidRPr="007D2E2F" w14:paraId="0050E6C6" w14:textId="77777777" w:rsidTr="00B61A3A">
        <w:trPr>
          <w:trHeight w:val="255"/>
        </w:trPr>
        <w:tc>
          <w:tcPr>
            <w:tcW w:w="2552" w:type="dxa"/>
            <w:shd w:val="clear" w:color="auto" w:fill="auto"/>
            <w:noWrap/>
            <w:hideMark/>
          </w:tcPr>
          <w:p w14:paraId="2F34EE52" w14:textId="4425D336"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Lordick 2013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{"citationItems":[{"id":"ITEM-1","itemData":{"DOI":"10.1016/S1470-2045(13)70102-5","ISBN":"1474-5488 (Electronic)\\n1470-2045 (Linking)","ISSN":"14702045","PMID":"23594786","abstract":"Background: Patients with advanced gastric cancer have a poor prognosis and few efficacious treatment options. We aimed to assess the addition of cetuximab to capecitabine-cisplatin chemotherapy in patients with advanced gastric or gastro-oesophageal junction cancer. Methods: In our open-label, randomised phase 3 trial (EXPAND), we enrolled adults aged 18 years or older with histologically confirmed locally advanced unresectable (M0) or metastatic (M1) adenocarcinoma of the stomach or gastro-oesophageal junction. We enrolled patients at 164 sites (teaching hospitals and clinics) in 25 countries, and randomly assigned eligible participants (1:1) to receive first-line chemotherapy with or without cetuximab. Randomisation was done with a permuted block randomisation procedure (variable block size), stratified by disease stage (M0 vs M1), previous oesophagectomy or gastrectomy (yes vs no), and previous (neo)adjuvant (radio)chemotherapy (yes vs no). Treatment consisted of 3-week cycles of twice-daily capecitabine 1000 mg/m2 (on days 1-14) and intravenous cisplatin 80 mg/m2 (on day 1), with or without weekly cetuximab (400 mg/m2 initial infusion on day 1 followed by 250 mg/m2 per week thereafter). The primary endpoint was progression-free survival (PFS), assessed by a masked independent review committee in the intention-to-treat population. We assessed safety in all patients who received at least one dose of study drug. This study is registered at EudraCT, number 2007-004219-75. Findings: Between June 30, 2008, and Dec 15, 2010, we enrolled 904 patients. Median PFS for 455 patients allocated capecitabine-cisplatin plus cetuximab was 4·4 months (95% CI 4·2-5·5) compared with 5·6 months (5·1-5·7) for 449 patients who were allocated to receive capecitabine-cisplatin alone (hazard ratio 1·09, 95% CI 0·92-1·29; p=0·32). 369 (83%) of 446 patients in the chemotherapy plus cetuximab group and 337 (77%) of 436 patients in the chemotherapy group had grade 3-4 adverse events, including grade 3-4 diarrhoea, hypokalaemia, hypomagnesaemia, rash, and hand-foot syndrome. Grade 3-4 neutropenia was more common in controls than in patients who received cetuximab. Incidence of grade 3-4 skin reactions and acne-like rash was substantially higher in the cetuximab-containing regimen than in the control regimen. 239 (54%) of 446 in the cetuximab group and 194 (44%) of 436 in the control group had any grade of serious adverse event. Interpretation: Addition of cetuximab to capecitabi…","author":[{"dropping-particle":"","family":"Lordick","given":"Florian","non-dropping-particle":"","parse-names":false,"suffix":""},{"dropping-particle":"","family":"Kang","given":"Yoon Koo","non-dropping-particle":"","parse-names":false,"suffix":""},{"dropping-particle":"","family":"Chung","given":"Hyun Cheol","non-dropping-particle":"","parse-names":false,"suffix":""},{"dropping-particle":"","family":"Salman","given":"Pamela","non-dropping-particle":"","parse-names":false,"suffix":""},{"dropping-particle":"","family":"Oh","given":"Sang Cheul","non-dropping-particle":"","parse-names":false,"suffix":""},{"dropping-particle":"","family":"Bodoky","given":"György","non-dropping-particle":"","parse-names":false,"suffix":""},{"dropping-particle":"","family":"Kurteva","given":"Galina","non-dropping-particle":"","parse-names":false,"suffix":""},{"dropping-particle":"","family":"Volovat","given":"Constantin","non-dropping-particle":"","parse-names":false,"suffix":""},{"dropping-particle":"","family":"Moiseyenko","given":"Vladimir M.","non-dropping-particle":"","parse-names":false,"suffix":""},{"dropping-particle":"","family":"Gorbunova","given":"Vera","non-dropping-particle":"","parse-names":false,"suffix":""},{"dropping-particle":"","family":"Park","given":"Joon Oh","non-dropping-particle":"","parse-names":false,"suffix":""},{"dropping-particle":"","family":"Sawaki","given":"Akira","non-dropping-particle":"","parse-names":false,"suffix":""},{"dropping-particle":"","family":"Celik","given":"Ilhan","non-dropping-particle":"","parse-names":false,"suffix":""},{"dropping-particle":"","family":"Götte","given":"Heiko","non-dropping-particle":"","parse-names":false,"suffix":""},{"dropping-particle":"","family":"Melezínková","given":"Helena","non-dropping-particle":"","parse-names":false,"suffix":""},{"dropping-particle":"","family":"Moehler","given":"Markus","non-dropping-particle":"","parse-names":false,"suffix":""}],"container-title":"The Lancet Oncology","id":"ITEM-1","issue":"6","issued":{"date-parts":[["2013"]]},"page":"490-499","publisher":"Elsevier Ltd","title":"Capecitabine and cisplatin with or without cetuximab for patients with previously untreated advanced gastric cancer (EXPAND): A randomised, open-label phase 3 trial","type":"article-journal","volume":"14"},"uris":["http://www.mendeley.com/documents/?uuid=1e6dcebc-b9c7-4b3a-b1fc-35d162c597f2"]}],"mendeley":{"formattedCitation":"[47]","plainTextFormattedCitation":"[47]","previouslyFormattedCitation":"[47]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CA7814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449</w:t>
            </w:r>
          </w:p>
        </w:tc>
        <w:tc>
          <w:tcPr>
            <w:tcW w:w="1708" w:type="dxa"/>
            <w:gridSpan w:val="2"/>
            <w:shd w:val="clear" w:color="auto" w:fill="auto"/>
            <w:noWrap/>
            <w:hideMark/>
          </w:tcPr>
          <w:p w14:paraId="6117513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Cap+Cis</w:t>
            </w:r>
          </w:p>
        </w:tc>
        <w:tc>
          <w:tcPr>
            <w:tcW w:w="1322" w:type="dxa"/>
            <w:shd w:val="clear" w:color="auto" w:fill="auto"/>
            <w:noWrap/>
            <w:hideMark/>
          </w:tcPr>
          <w:p w14:paraId="56929AD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334 (74)</w:t>
            </w:r>
          </w:p>
        </w:tc>
        <w:tc>
          <w:tcPr>
            <w:tcW w:w="1623" w:type="dxa"/>
            <w:gridSpan w:val="2"/>
            <w:shd w:val="clear" w:color="auto" w:fill="auto"/>
            <w:noWrap/>
            <w:hideMark/>
          </w:tcPr>
          <w:p w14:paraId="514A31D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59 (18-81)</w:t>
            </w:r>
          </w:p>
        </w:tc>
        <w:tc>
          <w:tcPr>
            <w:tcW w:w="1379" w:type="dxa"/>
            <w:shd w:val="clear" w:color="auto" w:fill="auto"/>
            <w:noWrap/>
            <w:hideMark/>
          </w:tcPr>
          <w:p w14:paraId="2667173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436 (97)</w:t>
            </w:r>
          </w:p>
        </w:tc>
        <w:tc>
          <w:tcPr>
            <w:tcW w:w="797" w:type="dxa"/>
            <w:shd w:val="clear" w:color="auto" w:fill="auto"/>
            <w:noWrap/>
            <w:hideMark/>
          </w:tcPr>
          <w:p w14:paraId="5BF27A7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6C78BBBE" w14:textId="77777777" w:rsidTr="00B61A3A">
        <w:trPr>
          <w:trHeight w:val="255"/>
        </w:trPr>
        <w:tc>
          <w:tcPr>
            <w:tcW w:w="2552" w:type="dxa"/>
            <w:shd w:val="clear" w:color="auto" w:fill="auto"/>
            <w:noWrap/>
            <w:hideMark/>
          </w:tcPr>
          <w:p w14:paraId="3AB1EE9B" w14:textId="01432EA5"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Kim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{"citationItems":[{"id":"ITEM-1","itemData":{"DOI":"10.1016/j.ejca.2014.08.005","ISBN":"1879-0852","ISSN":"18790852","PMID":"25218337","abstract":"Purpose We aimed to the addition of synthetic 3-hydroxy-3-methyglutaryl coenzyme A (HMG-CoA) reductase inhibitor, simvastatin to capecitabine-cisplatin (XP) in patients with previously untreated advanced gastric cancer (AGC). Methods In this double-blind, placebo-controlled, phase III study, we enrolled patients aged 18 years or older with histological or cytological confirmed metastatic adenocarcinoma of the stomach or gastroesophageal junction (GEJ) at nine centres in Korea. Patients, stratified by disease measurability and participating site, were randomly assigned (1:1) to receive capecitabine 1000 mg/m2twice daily for 14 days and cisplatin 80 mg/m2on day 1 every 3 weeks plus either simvastatin 40 mg or placebo, once daily. Cisplatin was given for 8 cycles; capecitabine and simvastatin were administered until disease progression or unacceptable toxicities. This study is registered with ClinicalTrials.gov, number NCT01099085. Results Between February 2009 and November 2012, 244 patients were enrolled and assigned to treatment groups (120 simvastatin, 124 placebo). Median progression free survival (PFS) for 120 patients allocated XP plus simvastatin was 5.2 months (95% confidence interval (CI) 4.3-6.1) compared with 4.63 months (95% CI 3.5-5.7) for 124 patients who were allocated to XP plus placebo (hazard ratio 0.930, 95% CI 0.684-1.264; p = 0.642). 63 (52.5%) of 120 patients in simvastatin group and 70 (56.4%) of 124 had grade 3 or higher adverse events. Conclusions Addition of 40 mg simvastatin to XP does not increase PFS in our trial, although it does not increase toxicity. Low dose of simvastatin (40 mg) to chemotherapy is not recommended in untargeted population with AGC.","author":[{"dropping-particle":"","family":"Kim","given":"Seung Tae","non-dropping-particle":"","parse-names":false,"suffix":""},{"dropping-particle":"","family":"Kang","given":"Jung Hun","non-dropping-particle":"","parse-names":false,"suffix":""},{"dropping-particle":"","family":"Lee","given":"Jeeyun","non-dropping-particle":"","parse-names":false,"suffix":""},{"dropping-particle":"","family":"Park","given":"Se Hoon","non-dropping-particle":"","parse-names":false,"suffix":""},{"dropping-particle":"","family":"Park","given":"Joon Oh","non-dropping-particle":"","parse-names":false,"suffix":""},{"dropping-particle":"","family":"Park","given":"Young Suk","non-dropping-particle":"","parse-names":false,"suffix":""},{"dropping-particle":"","family":"Lim","given":"Ho Yeong","non-dropping-particle":"","parse-names":false,"suffix":""},{"dropping-particle":"","family":"Hwang","given":"In Gyu","non-dropping-particle":"","parse-names":false,"suffix":""},{"dropping-particle":"","family":"Lee","given":"Sang Cheol","non-dropping-particle":"","parse-names":false,"suffix":""},{"dropping-particle":"","family":"Park","given":"Keon Woo","non-dropping-particle":"","parse-names":false,"suffix":""},{"dropping-particle":"","family":"Lee","given":"Hyo Rak","non-dropping-particle":"","parse-names":false,"suffix":""},{"dropping-particle":"","family":"Kang","given":"Won Ki","non-dropping-particle":"","parse-names":false,"suffix":""}],"container-title":"European Journal of Cancer","id":"ITEM-1","issue":"16","issued":{"date-parts":[["2014"]]},"page":"2822-2830","publisher":"Elsevier Ltd","title":"Simvastatin plus capecitabine-cisplatin versus placebo plus capecitabine-cisplatin in patients with previously untreated advanced gastric cancer: A double-blind randomised phase 3 study","type":"article-journal","volume":"50"},"uris":["http://www.mendeley.com/documents/?uuid=00912ce9-04a9-4eef-98ea-1cf4fb62a513"]}],"mendeley":{"formattedCitation":"[48]","plainTextFormattedCitation":"[48]","previouslyFormattedCitation":"[48]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71B7E6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124</w:t>
            </w:r>
          </w:p>
        </w:tc>
        <w:tc>
          <w:tcPr>
            <w:tcW w:w="1708" w:type="dxa"/>
            <w:gridSpan w:val="2"/>
            <w:shd w:val="clear" w:color="auto" w:fill="auto"/>
            <w:noWrap/>
            <w:hideMark/>
          </w:tcPr>
          <w:p w14:paraId="54CC682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Cap+Cis</w:t>
            </w:r>
          </w:p>
        </w:tc>
        <w:tc>
          <w:tcPr>
            <w:tcW w:w="1322" w:type="dxa"/>
            <w:shd w:val="clear" w:color="auto" w:fill="auto"/>
            <w:noWrap/>
            <w:hideMark/>
          </w:tcPr>
          <w:p w14:paraId="40C5090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91 (76)</w:t>
            </w:r>
          </w:p>
        </w:tc>
        <w:tc>
          <w:tcPr>
            <w:tcW w:w="1623" w:type="dxa"/>
            <w:gridSpan w:val="2"/>
            <w:shd w:val="clear" w:color="auto" w:fill="auto"/>
            <w:noWrap/>
            <w:hideMark/>
          </w:tcPr>
          <w:p w14:paraId="61F8D98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54 (20-78)</w:t>
            </w:r>
          </w:p>
        </w:tc>
        <w:tc>
          <w:tcPr>
            <w:tcW w:w="1379" w:type="dxa"/>
            <w:shd w:val="clear" w:color="auto" w:fill="auto"/>
            <w:noWrap/>
            <w:hideMark/>
          </w:tcPr>
          <w:p w14:paraId="22BD73B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120 (100)</w:t>
            </w:r>
          </w:p>
        </w:tc>
        <w:tc>
          <w:tcPr>
            <w:tcW w:w="797" w:type="dxa"/>
            <w:shd w:val="clear" w:color="auto" w:fill="auto"/>
            <w:noWrap/>
            <w:hideMark/>
          </w:tcPr>
          <w:p w14:paraId="590D40B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 (1)</w:t>
            </w:r>
          </w:p>
        </w:tc>
      </w:tr>
      <w:tr w:rsidR="00B61A3A" w:rsidRPr="007D2E2F" w14:paraId="1C892E26" w14:textId="77777777" w:rsidTr="00B61A3A">
        <w:trPr>
          <w:trHeight w:val="255"/>
        </w:trPr>
        <w:tc>
          <w:tcPr>
            <w:tcW w:w="2552" w:type="dxa"/>
            <w:shd w:val="clear" w:color="auto" w:fill="auto"/>
            <w:noWrap/>
            <w:hideMark/>
          </w:tcPr>
          <w:p w14:paraId="6EC74D40" w14:textId="10590E1C"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Ohtsu 2011 (AVAGAST)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{"citationItems":[{"id":"ITEM-1","itemData":{"DOI":"10.1200/JCO.2011.36.2236","ISSN":"0732183X","PMID":"21844504","abstract":"PURPOSE: The Avastin in Gastric Cancer (AVAGAST) trial was a multinational, randomized, placebo-controlled trial designed to evaluate the efficacy of adding bevacizumab to capecitabine-cisplatin in the first-line treatment of advanced gastric cancer. PATIENTS AND METHODS: Patients received bevacizumab 7.5 mg/kg or placebo followed by cisplatin 80 mg/m(2) on day 1 plus capecitabine 1,000 mg/m(2) twice daily for 14 days every 3 weeks. Fluorouracil was permitted in patients unable to take oral medications. Cisplatin was given for six cycles; capecitabine and bevacizumab were administered until disease progression or unacceptable toxicity. The primary end point was overall survival (OS). Log-rank test was used to test the OS difference. RESULTS: In all, 774 patients were enrolled; 387 were assigned to each treatment group (intention-to-treat population), and 517 deaths were observed. Median OS was 12.1 months with bevacizumab plus fluoropyrimidine-cisplatin and 10.1 months with placebo plus fluoropyrimidine-cisplatin (hazard ratio 0.87; 95% CI, 0.73 to 1.03; P = .1002). Both median progression-free survival (6.7 v 5.3 months; hazard ratio, 0.80; 95% CI, 0.68 to 0.93; P = .0037) and overall response rate (46.0% v 37.4%; P = .0315) were significantly improved with bevacizumab versus placebo. Preplanned subgroup analyses revealed regional differences in efficacy outcomes. The most common grade 3 to 5 adverse events were neutropenia (35%, bevacizumab plus fluoropyrimidine-cisplatin; 37%, placebo plus fluoropyrimidine-cisplatin), anemia (10% v 14%), and decreased appetite (8% v 11%). No new bevacizumab-related safety signals were identified. CONCLUSION: Although AVAGAST did not reach its primary objective, adding bevacizumab to chemotherapy was associated with significant increases in progression-free survival and overall response rate in the first-line treatment of advanced gastric cancer.","author":[{"dropping-particle":"","family":"Ohtsu","given":"Atsushi","non-dropping-particle":"","parse-names":false,"suffix":""},{"dropping-particle":"","family":"Shah","given":"Manish A.","non-dropping-particle":"","parse-names":false,"suffix":""},{"dropping-particle":"","family":"Cutsem","given":"Eric","non-dropping-particle":"Van","parse-names":false,"suffix":""},{"dropping-particle":"","family":"Rha","given":"Sun Young","non-dropping-particle":"","parse-names":false,"suffix":""},{"dropping-particle":"","family":"Sawaki","given":"Akira","non-dropping-particle":"","parse-names":false,"suffix":""},{"dropping-particle":"","family":"Park","given":"Sook Ryun","non-dropping-particle":"","parse-names":false,"suffix":""},{"dropping-particle":"","family":"Lim","given":"Ho Yeong","non-dropping-particle":"","parse-names":false,"suffix":""},{"dropping-particle":"","family":"Yamada","given":"Yasuhide","non-dropping-particle":"","parse-names":false,"suffix":""},{"dropping-particle":"","family":"Wu","given":"Jian","non-dropping-particle":"","parse-names":false,"suffix":""},{"dropping-particle":"","family":"Langer","given":"Bernd","non-dropping-particle":"","parse-names":false,"suffix":""},{"dropping-particle":"","family":"Starnawski","given":"Michal","non-dropping-particle":"","parse-names":false,"suffix":""},{"dropping-particle":"","family":"Kang","given":"Yoon Koo","non-dropping-particle":"","parse-names":false,"suffix":""}],"container-title":"Journal of Clinical Oncology","id":"ITEM-1","issue":"30","issued":{"date-parts":[["2011"]]},"page":"3968-3976","title":"Bevacizumab in combination with chemotherapy as first-line therapy in advanced gastric cancer: A randomized, double-blind, placebo-controlled phase III study","type":"article-journal","volume":"29"},"uris":["http://www.mendeley.com/documents/?uuid=5f417d38-6153-470d-8cdd-61184dcf14b9"]}],"mendeley":{"formattedCitation":"[49]","plainTextFormattedCitation":"[49]","previouslyFormattedCitation":"[49]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6EEB795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381</w:t>
            </w:r>
          </w:p>
        </w:tc>
        <w:tc>
          <w:tcPr>
            <w:tcW w:w="1708" w:type="dxa"/>
            <w:gridSpan w:val="2"/>
            <w:shd w:val="clear" w:color="auto" w:fill="auto"/>
            <w:noWrap/>
            <w:hideMark/>
          </w:tcPr>
          <w:p w14:paraId="5A9C2BB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Cap+Cis</w:t>
            </w:r>
          </w:p>
        </w:tc>
        <w:tc>
          <w:tcPr>
            <w:tcW w:w="1322" w:type="dxa"/>
            <w:shd w:val="clear" w:color="auto" w:fill="auto"/>
            <w:noWrap/>
            <w:hideMark/>
          </w:tcPr>
          <w:p w14:paraId="3446159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258 (67)</w:t>
            </w:r>
          </w:p>
        </w:tc>
        <w:tc>
          <w:tcPr>
            <w:tcW w:w="1623" w:type="dxa"/>
            <w:gridSpan w:val="2"/>
            <w:shd w:val="clear" w:color="auto" w:fill="auto"/>
            <w:noWrap/>
            <w:hideMark/>
          </w:tcPr>
          <w:p w14:paraId="7FB6792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59 (22-82)</w:t>
            </w:r>
          </w:p>
        </w:tc>
        <w:tc>
          <w:tcPr>
            <w:tcW w:w="1379" w:type="dxa"/>
            <w:shd w:val="clear" w:color="auto" w:fill="auto"/>
            <w:noWrap/>
            <w:hideMark/>
          </w:tcPr>
          <w:p w14:paraId="165385D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378 (98)</w:t>
            </w:r>
          </w:p>
        </w:tc>
        <w:tc>
          <w:tcPr>
            <w:tcW w:w="797" w:type="dxa"/>
            <w:shd w:val="clear" w:color="auto" w:fill="auto"/>
            <w:noWrap/>
            <w:hideMark/>
          </w:tcPr>
          <w:p w14:paraId="1D4288D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20 (5)</w:t>
            </w:r>
          </w:p>
        </w:tc>
      </w:tr>
      <w:tr w:rsidR="00B61A3A" w:rsidRPr="007D2E2F" w14:paraId="1C5B297C" w14:textId="77777777" w:rsidTr="00B61A3A">
        <w:trPr>
          <w:trHeight w:val="255"/>
        </w:trPr>
        <w:tc>
          <w:tcPr>
            <w:tcW w:w="2552" w:type="dxa"/>
            <w:shd w:val="clear" w:color="auto" w:fill="auto"/>
            <w:noWrap/>
            <w:hideMark/>
          </w:tcPr>
          <w:p w14:paraId="55BC338E" w14:textId="3DFC6A1A"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Kobayashi 2015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{"citationItems":[{"id":"ITEM-1","itemData":{"DOI":"10.1200/jco.2015.33.3_suppl.105","ISSN":"0732-183X","abstract":"105 Background: Capecitabine plus cisplatin (XP) is a standard global regimen for first-line treatment of advanced gastric cancer, however its efficacy compared to S-1 plus cisplatin (SP), a standard treatment in Japan has not been reported. To evaluate the efficacy of XP treatment, we conducted a multicenter randomized phase II trial comparing XP with SP for patients with advanced gastric cancer (ClinicalTrials.gov Identifier NCT0140624). Methods: Patients with unresectable metastatic or recurrent gastric cancer, 20?74 years of age and HER2-negative, were assigned to receive either S-1 40 mg/m2 bid for 21 days plus cisplatin 60 mg/m2 (day 8) every 5-week cycle or capecitabine 1000 mg/m2 bid for 14 days plus cisplatin 80 mg/m2 (day 1) every 3-week cycle. The primary endpoint was progression-free survival (PFS). Secondary endpoints were overall survival (OS), time to treatment failure, overall response rate (ORR) and safety. Planned sample size was 100 (50 in each arm) according to PFS at 24-weeks. Immunohistochemical evaluation of biomarkers was also implemented. Results: From November 2011 to June 2013, 116 patients were randomized: median age, 65 years; 79 (68%) male; 63 intestinal and 53 diffuse cancer subtypes. In 109 eligible patients, 24-week %PFS was higher in both groups than the protocol-specified threshold of 40%. Median PFS for SP vs. XP was 25 weeks vs. 23 weeks (HR, 0.76; 95%CI, 0.5-1.16; p=0.203); OS was 58 weeks vs. 56 weeks (HR, 0.90; 95%CI, 0.52-1.57; p=0.712); and ORR was 27.5% vs. 32.7% (p=0.562), respectively. Sub-group analysis by histological classification showed that SP gave better PFS than XP in the diffuse type (HR, 0.42; 95%CI, 0.20-0.86; p=0.015) with no other statistical difference. Most common grade ≥3 adverse events with SP and XP were anemia (16%/ 19%), neutropenia (9%/17%), anorexia (18%/13%), diarrhea (11%/0%), nausea or vomiting (11%/15%), fatigue (5%/6%) and hyponatremia (7%/13%), respectively. Conclusions: XP and SP are comparable and can be recommended as 1st line treatments for advanced gastric cancer. Further analysis for biomarkers related to histology is warranted. Clinical trial information: NCT0140624.","author":[{"dropping-particle":"","family":"Kobayashi","given":"Michiya","non-dropping-particle":"","parse-names":false,"suffix":""},{"dropping-particle":"","family":"Tsuburaya","given":"Akira","non-dropping-particle":"","parse-names":false,"suffix":""},{"dropping-particle":"","family":"Nishikawa","given":"Kazuhiro","non-dropping-particle":"","parse-names":false,"suffix":""},{"dropping-particle":"","family":"Kawada","given":"Junji","non-dropping-particle":"","parse-names":false,"suffix":""},{"dropping-particle":"","family":"Namikawa","given":"Tsutomu","non-dropping-particle":"","parse-names":false,"suffix":""},{"dropping-particle":"","family":"Fukushima","given":"Ryoji","non-dropping-particle":"","parse-names":false,"suffix":""},{"dropping-particle":"","family":"Kojima","given":"Hiroshi","non-dropping-particle":"","parse-names":false,"suffix":""},{"dropping-particle":"","family":"Tanabe","given":"Kazuaki","non-dropping-particle":"","parse-names":false,"suffix":""},{"dropping-particle":"","family":"Yamaguchi","given":"Kazuya","non-dropping-particle":"","parse-names":false,"suffix":""},{"dropping-particle":"","family":"Yoshino","given":"Shigefumi","non-dropping-particle":"","parse-names":false,"suffix":""},{"dropping-particle":"","family":"Takahashi","given":"Masazumi","non-dropping-particle":"","parse-names":false,"suffix":""},{"dropping-particle":"","family":"Hirabayashi","given":"Naoki","non-dropping-particle":"","parse-names":false,"suffix":""},{"dropping-particle":"","family":"Sato","given":"Seiji","non-dropping-particle":"","parse-names":false,"suffix":""},{"dropping-particle":"","family":"Nemoto","given":"Hiroshi","non-dropping-particle":"","parse-names":false,"suffix":""},{"dropping-particle":"","family":"Rino","given":"Yasushi","non-dropping-particle":"","parse-names":false,"suffix":""},{"dropping-particle":"","family":"Yoshikawa","given":"Takaki","non-dropping-particle":"","parse-names":false,"suffix":""},{"dropping-particle":"","family":"Nakajima","given":"Junta","non-dropping-particle":"","parse-names":false,"suffix":""},{"dropping-particle":"","family":"Morita","given":"Satoshi","non-dropping-particle":"","parse-names":false,"suffix":""},{"dropping-particle":"","family":"Sakamoto","given":"Junichi","non-dropping-particle":"","parse-names":false,"suffix":""}],"container-title":"Journal of Clinical Oncology","id":"ITEM-1","issue":"3_suppl","issued":{"date-parts":[["2015","1","20"]]},"note":"doi: 10.1200/jco.2015.33.3_suppl.105","page":"105","publisher":"American Society of Clinical Oncology","title":"A randomized phase II trial of capecitabine plus cisplatin (XP) versus S-1 plus cisplatin (SP) as a first-line treatment for advanced gastric cancer: XP ascertainment versus SP randomized PII trial (XParTS II).","type":"article-journal","volume":"33"},"uris":["http://www.mendeley.com/documents/?uuid=6db3a399-715e-4e6a-aabf-791fd3e1b712"]}],"mendeley":{"formattedCitation":"[41]","plainTextFormattedCitation":"[41]","previouslyFormattedCitation":"[41]"},"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[41]</w:t>
            </w:r>
            <w:r w:rsidRPr="007D2E2F">
              <w:rPr>
                <w:rFonts w:ascii="Times New Roman" w:eastAsia="Times New Roman" w:hAnsi="Times New Roman"/>
                <w:sz w:val="16"/>
                <w:szCs w:val="16"/>
              </w:rPr>
              <w:fldChar w:fldCharType="end"/>
            </w:r>
          </w:p>
        </w:tc>
        <w:tc>
          <w:tcPr>
            <w:tcW w:w="456" w:type="dxa"/>
            <w:shd w:val="clear" w:color="auto" w:fill="auto"/>
            <w:noWrap/>
            <w:hideMark/>
          </w:tcPr>
          <w:p w14:paraId="3012C0E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55</w:t>
            </w:r>
          </w:p>
        </w:tc>
        <w:tc>
          <w:tcPr>
            <w:tcW w:w="1708" w:type="dxa"/>
            <w:gridSpan w:val="2"/>
            <w:shd w:val="clear" w:color="auto" w:fill="auto"/>
            <w:noWrap/>
            <w:hideMark/>
          </w:tcPr>
          <w:p w14:paraId="5A8024FB"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Cap+Cis</w:t>
            </w:r>
          </w:p>
        </w:tc>
        <w:tc>
          <w:tcPr>
            <w:tcW w:w="1322" w:type="dxa"/>
            <w:shd w:val="clear" w:color="auto" w:fill="auto"/>
            <w:noWrap/>
            <w:hideMark/>
          </w:tcPr>
          <w:p w14:paraId="011785B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 (82)</w:t>
            </w:r>
          </w:p>
        </w:tc>
        <w:tc>
          <w:tcPr>
            <w:tcW w:w="1623" w:type="dxa"/>
            <w:gridSpan w:val="2"/>
            <w:shd w:val="clear" w:color="auto" w:fill="auto"/>
            <w:noWrap/>
            <w:hideMark/>
          </w:tcPr>
          <w:p w14:paraId="7E71200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(31-74)</w:t>
            </w:r>
          </w:p>
        </w:tc>
        <w:tc>
          <w:tcPr>
            <w:tcW w:w="1379" w:type="dxa"/>
            <w:shd w:val="clear" w:color="auto" w:fill="auto"/>
            <w:noWrap/>
            <w:hideMark/>
          </w:tcPr>
          <w:p w14:paraId="54E6C45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34076FD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 (4)</w:t>
            </w:r>
          </w:p>
        </w:tc>
      </w:tr>
      <w:tr w:rsidR="00B61A3A" w:rsidRPr="007D2E2F" w14:paraId="0E08F854" w14:textId="77777777" w:rsidTr="00B61A3A">
        <w:trPr>
          <w:trHeight w:val="255"/>
        </w:trPr>
        <w:tc>
          <w:tcPr>
            <w:tcW w:w="2552" w:type="dxa"/>
            <w:shd w:val="clear" w:color="auto" w:fill="auto"/>
            <w:noWrap/>
            <w:hideMark/>
          </w:tcPr>
          <w:p w14:paraId="7053365D" w14:textId="3BEA1D97"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Shen 2014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{"citationItems":[{"id":"ITEM-1","itemData":{"DOI":"10.1007/s10120-014-0351-5","ISSN":"14363305","PMID":"24557418","abstract":"BACKGROUND: In the AVAGAST study, fluoropyrimidine and cisplatin plus bevacizumab did not significantly improve overall survival (OS) versus fluoropyrimidine and cisplatin plus placebo in patients with advanced gastric cancer. Geographic differences in efficacy were observed in AVAGAST, but the study only included 12 Chinese patients. AVATAR, a study similar in design to AVAGAST, was a randomized, double-blind, phase III study conducted in Chinese patients with advanced gastric cancer.\\n\\nMETHODS: Patients more than 18 years of age with gastric adenocarcinoma were randomized 1:1 to capecitabine-cisplatin plus either bevacizumab or placebo. The primary endpoint was OS; secondary endpoints included progression-free survival (PFS) and safety.\\n\\nRESULTS: In total, 202 patients were included (placebo n = 102; bevacizumab n = 100). Baseline characteristics were well balanced. The primary analysis result did not show a difference in OS for the bevacizumab arm compared to the placebo arm [hazard ratio, 1.11 (95 % CI, 0.79-1.56); P = 0.5567]. Median PFS was also similar in both arms. Bevacizumab plus capecitabine-cisplatin was well tolerated. Grade 3-5 adverse events (AEs) occurred in 60 % of bevacizumab-treated and 68 % of placebo-treated patients, respectively. Grade 3-5 AEs of special interest with bevacizumab occurred in 8 % of bevacizumab-treated patients and 15 % of placebo-treated patients, mainly grade 3-5 hemorrhage (bevacizumab 4 %, placebo 12 %).\\n\\nCONCLUSIONS: Addition of bevacizumab to capecitabine-cisplatin in Chinese patients with advanced gastric cancer did not improve outcomes in AVATAR. There was no difference in OS between the two arms and PFS was similar in both arms. Safety findings were as previously experienced with bevacizumab, including AVAGAST; no new safety signals were reported.","author":[{"dropping-particle":"","family":"Shen","given":"Lin","non-dropping-particle":"","parse-names":false,"suffix":""},{"dropping-particle":"","family":"Li","given":"Jin","non-dropping-particle":"","parse-names":false,"suffix":""},{"dropping-particle":"","family":"Xu","given":"Jianming","non-dropping-particle":"","parse-names":false,"suffix":""},{"dropping-particle":"","family":"Pan","given":"Hongming","non-dropping-particle":"","parse-names":false,"suffix":""},{"dropping-particle":"","family":"Dai","given":"Guanghai","non-dropping-particle":"","parse-names":false,"suffix":""},{"dropping-particle":"","family":"Qin","given":"Shukui","non-dropping-particle":"","parse-names":false,"suffix":""},{"dropping-particle":"","family":"Wang","given":"Liwei","non-dropping-particle":"","parse-names":false,"suffix":""},{"dropping-particle":"","family":"Wang","given":"Jinwan","non-dropping-particle":"","parse-names":false,"suffix":""},{"dropping-particle":"","family":"Yang","given":"Zhenzhou","non-dropping-particle":"","parse-names":false,"suffix":""},{"dropping-particle":"","family":"Shu","given":"Yongqian","non-dropping-particle":"","parse-names":false,"suffix":""},{"dropping-particle":"","family":"Xu","given":"Ruihua","non-dropping-particle":"","parse-names":false,"suffix":""},{"dropping-particle":"","family":"Chen","given":"Lei","non-dropping-particle":"","parse-names":false,"suffix":""},{"dropping-particle":"","family":"Liu","given":"Yunpeng","non-dropping-particle":"","parse-names":false,"suffix":""},{"dropping-particle":"","family":"Yu","given":"Shiying","non-dropping-particle":"","parse-names":false,"suffix":""},{"dropping-particle":"","family":"Bu","given":"Lilian","non-dropping-particle":"","parse-names":false,"suffix":""},{"dropping-particle":"","family":"Piao","given":"Yongzhe","non-dropping-particle":"","parse-names":false,"suffix":""}],"container-title":"Gastric Cancer","id":"ITEM-1","issue":"1","issued":{"date-parts":[["2014"]]},"page":"168-176","title":"Bevacizumab plus capecitabine and cisplatin in Chinese patients with inoperable locally advanced or metastatic gastric or gastroesophageal junction cancer: randomized, double-blind, phase III study (AVATAR study)","type":"article-journal","volume":"18"},"uris":["http://www.mendeley.com/documents/?uuid=d4fd5b02-9207-47e1-aa2c-4bc29ebdbf83"]}],"mendeley":{"formattedCitation":"[50]","plainTextFormattedCitation":"[50]","previouslyFormattedCitation":"[50]"},"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[50]</w:t>
            </w:r>
            <w:r w:rsidRPr="007D2E2F">
              <w:rPr>
                <w:rFonts w:ascii="Times New Roman" w:eastAsia="Times New Roman" w:hAnsi="Times New Roman"/>
                <w:sz w:val="16"/>
                <w:szCs w:val="16"/>
              </w:rPr>
              <w:fldChar w:fldCharType="end"/>
            </w:r>
          </w:p>
        </w:tc>
        <w:tc>
          <w:tcPr>
            <w:tcW w:w="456" w:type="dxa"/>
            <w:shd w:val="clear" w:color="auto" w:fill="auto"/>
            <w:noWrap/>
            <w:hideMark/>
          </w:tcPr>
          <w:p w14:paraId="4359701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102</w:t>
            </w:r>
          </w:p>
        </w:tc>
        <w:tc>
          <w:tcPr>
            <w:tcW w:w="1708" w:type="dxa"/>
            <w:gridSpan w:val="2"/>
            <w:shd w:val="clear" w:color="auto" w:fill="auto"/>
            <w:noWrap/>
            <w:hideMark/>
          </w:tcPr>
          <w:p w14:paraId="592E082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Cap+Cis</w:t>
            </w:r>
          </w:p>
        </w:tc>
        <w:tc>
          <w:tcPr>
            <w:tcW w:w="1322" w:type="dxa"/>
            <w:shd w:val="clear" w:color="auto" w:fill="auto"/>
            <w:noWrap/>
            <w:hideMark/>
          </w:tcPr>
          <w:p w14:paraId="55FCC72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74 (73)</w:t>
            </w:r>
          </w:p>
        </w:tc>
        <w:tc>
          <w:tcPr>
            <w:tcW w:w="1623" w:type="dxa"/>
            <w:gridSpan w:val="2"/>
            <w:shd w:val="clear" w:color="auto" w:fill="auto"/>
            <w:noWrap/>
            <w:hideMark/>
          </w:tcPr>
          <w:p w14:paraId="5D70A8A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(NA)</w:t>
            </w:r>
          </w:p>
        </w:tc>
        <w:tc>
          <w:tcPr>
            <w:tcW w:w="1379" w:type="dxa"/>
            <w:shd w:val="clear" w:color="auto" w:fill="auto"/>
            <w:noWrap/>
            <w:hideMark/>
          </w:tcPr>
          <w:p w14:paraId="4602590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102 (100)</w:t>
            </w:r>
          </w:p>
        </w:tc>
        <w:tc>
          <w:tcPr>
            <w:tcW w:w="797" w:type="dxa"/>
            <w:shd w:val="clear" w:color="auto" w:fill="auto"/>
            <w:noWrap/>
            <w:hideMark/>
          </w:tcPr>
          <w:p w14:paraId="631DEC8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 (5)</w:t>
            </w:r>
          </w:p>
        </w:tc>
      </w:tr>
      <w:tr w:rsidR="00B61A3A" w:rsidRPr="007D2E2F" w14:paraId="149D3F66" w14:textId="77777777" w:rsidTr="00B61A3A">
        <w:trPr>
          <w:trHeight w:val="255"/>
        </w:trPr>
        <w:tc>
          <w:tcPr>
            <w:tcW w:w="2552" w:type="dxa"/>
            <w:shd w:val="clear" w:color="auto" w:fill="auto"/>
            <w:noWrap/>
            <w:hideMark/>
          </w:tcPr>
          <w:p w14:paraId="092B61D8" w14:textId="669B6CC6"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Kang 2009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{"citationItems":[{"id":"ITEM-1","itemData":{"DOI":"10.1093/annonc/mdn717","ISBN":"1569-8041 (Electronic) 0923-7534 (Linking)","ISSN":"09237534","PMID":"19153121","author":[{"dropping-particle":"","family":"Kang","given":"Y. K.","non-dropping-particle":"","parse-names":false,"suffix":""},{"dropping-particle":"","family":"Kang","given":"W. K.","non-dropping-particle":"","parse-names":false,"suffix":""},{"dropping-particle":"","family":"Shin","given":"D. B.","non-dropping-particle":"","parse-names":false,"suffix":""},{"dropping-particle":"","family":"Chen","given":"J.","non-dropping-particle":"","parse-names":false,"suffix":""},{"dropping-particle":"","family":"Xiong","given":"J.","non-dropping-particle":"","parse-names":false,"suffix":""},{"dropping-particle":"","family":"Wang","given":"J.","non-dropping-particle":"","parse-names":false,"suffix":""},{"dropping-particle":"","family":"Lichinitser","given":"M.","non-dropping-particle":"","parse-names":false,"suffix":""},{"dropping-particle":"","family":"Guan","given":"Z.","non-dropping-particle":"","parse-names":false,"suffix":""},{"dropping-particle":"","family":"Khasanov","given":"R.","non-dropping-particle":"","parse-names":false,"suffix":""},{"dropping-particle":"","family":"Zheng","given":"L.","non-dropping-particle":"","parse-names":false,"suffix":""},{"dropping-particle":"","family":"Philco-Salas","given":"M.","non-dropping-particle":"","parse-names":false,"suffix":""},{"dropping-particle":"","family":"Suarez","given":"T.","non-dropping-particle":"","parse-names":false,"suffix":""},{"dropping-particle":"","family":"Santamaria","given":"J.","non-dropping-particle":"","parse-names":false,"suffix":""},{"dropping-particle":"","family":"Forster","given":"G.","non-dropping-particle":"","parse-names":false,"suffix":""},{"dropping-particle":"","family":"McCloud","given":"P. I.","non-dropping-particle":"","parse-names":false,"suffix":""}],"container-title":"Annals of Oncology","id":"ITEM-1","issue":"4","issued":{"date-parts":[["2009"]]},"page":"666-673","title":"Capecitabine/cisplatin versus 5-fluorouracil/cisplatin as first-line therapy in patients with advanced gastric cancer: A randomised phase III noninferiority trial","type":"article-journal","volume":"20"},"uris":["http://www.mendeley.com/documents/?uuid=f62c155a-8635-48a7-8847-b8838ab0b637"]}],"mendeley":{"formattedCitation":"[34]","plainTextFormattedCitation":"[34]","previouslyFormattedCitation":"[34]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60555F3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160</w:t>
            </w:r>
          </w:p>
        </w:tc>
        <w:tc>
          <w:tcPr>
            <w:tcW w:w="1708" w:type="dxa"/>
            <w:gridSpan w:val="2"/>
            <w:shd w:val="clear" w:color="auto" w:fill="auto"/>
            <w:noWrap/>
            <w:hideMark/>
          </w:tcPr>
          <w:p w14:paraId="46322F8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Cap+Cis</w:t>
            </w:r>
          </w:p>
        </w:tc>
        <w:tc>
          <w:tcPr>
            <w:tcW w:w="1322" w:type="dxa"/>
            <w:shd w:val="clear" w:color="auto" w:fill="auto"/>
            <w:noWrap/>
            <w:hideMark/>
          </w:tcPr>
          <w:p w14:paraId="0E55F52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103 (64)</w:t>
            </w:r>
          </w:p>
        </w:tc>
        <w:tc>
          <w:tcPr>
            <w:tcW w:w="1623" w:type="dxa"/>
            <w:gridSpan w:val="2"/>
            <w:shd w:val="clear" w:color="auto" w:fill="auto"/>
            <w:noWrap/>
            <w:hideMark/>
          </w:tcPr>
          <w:p w14:paraId="12AAD25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(26-74)</w:t>
            </w:r>
          </w:p>
        </w:tc>
        <w:tc>
          <w:tcPr>
            <w:tcW w:w="1379" w:type="dxa"/>
            <w:shd w:val="clear" w:color="auto" w:fill="auto"/>
            <w:noWrap/>
            <w:hideMark/>
          </w:tcPr>
          <w:p w14:paraId="3E53AF5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160 (100)</w:t>
            </w:r>
          </w:p>
        </w:tc>
        <w:tc>
          <w:tcPr>
            <w:tcW w:w="797" w:type="dxa"/>
            <w:shd w:val="clear" w:color="auto" w:fill="auto"/>
            <w:noWrap/>
            <w:hideMark/>
          </w:tcPr>
          <w:p w14:paraId="2B7A79B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 (10)‡</w:t>
            </w:r>
          </w:p>
        </w:tc>
      </w:tr>
      <w:tr w:rsidR="00B61A3A" w:rsidRPr="007D2E2F" w14:paraId="05B44906" w14:textId="77777777" w:rsidTr="00B61A3A">
        <w:trPr>
          <w:trHeight w:val="255"/>
        </w:trPr>
        <w:tc>
          <w:tcPr>
            <w:tcW w:w="2552" w:type="dxa"/>
            <w:shd w:val="clear" w:color="auto" w:fill="auto"/>
            <w:noWrap/>
            <w:hideMark/>
          </w:tcPr>
          <w:p w14:paraId="6F95E991" w14:textId="0E32AC20"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Yun 2010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{"citationItems":[{"id":"ITEM-1","itemData":{"DOI":"10.1016/j.ejca.2009.12.015","ISSN":"1879-0852","PMID":"20060288","abstract":"BACKGROUND: Both cisplatin/capecitabine (CX) and epirubicin plus CX (ECX) have clearly demonstrated efficacy against advanced gastric cancer (AGC).\n\nMETHODS: Chemotherapy-naïve patients with histologically confirmed, measurable AGC were randomised to receive CX (cisplatin 75mg/m(2) iv on day 1 and capecitabine 1000mg/m(2) bid po on days 1-14) or ECX (epirubicin 50mg/m(2) plus CX) every 3weeks. The primary endpoint was progression-free survival (PFS).\n\nRESULTS: Of the 91 registered patients, 45 patients were treated with CX and 44 with ECX. A total of 241 CX (median, 6; range, 1-12) and 201 ECX (median, 5; range, 1-11) cycles were delivered. Treatment duration was similar for both arms (4.4 for CX versus 4.2months for ECX). There was no relevant difference in the occurrence of overall grade 3 or 4 toxicities between the CX and ECX arms (80% versus 78%, respectively; P=0.516). However, none in the CX and 12% in the ECX arm discontinued treatment because of toxicity. There were no significant differences in therapeutic efficacy between CX and ECX with respect to the response rate (38% versus 37%, respectively) and PFS (6.4 versus 6.5months).\n\nCONCLUSION: Both CX and ECX appear to be active as first-line chemotherapy for AGC, and the safety profiles are acceptable. Given the comparable efficacy results, CX could be a reasonable standard chemotherapy for untreated AGC patients.","author":[{"dropping-particle":"","family":"Yun","given":"Jina","non-dropping-particle":"","parse-names":false,"suffix":""},{"dropping-particle":"","family":"Lee","given":"Jeeyun","non-dropping-particle":"","parse-names":false,"suffix":""},{"dropping-particle":"","family":"Park","given":"Se Hoon","non-dropping-particle":"","parse-names":false,"suffix":""},{"dropping-particle":"","family":"Park","given":"Joon Oh","non-dropping-particle":"","parse-names":false,"suffix":""},{"dropping-particle":"","family":"Park","given":"Young Suk","non-dropping-particle":"","parse-names":false,"suffix":""},{"dropping-particle":"","family":"Lim","given":"Ho Yeong","non-dropping-particle":"","parse-names":false,"suffix":""},{"dropping-particle":"","family":"Kang","given":"Won Ki","non-dropping-particle":"","parse-names":false,"suffix":""}],"container-title":"European journal of cancer (Oxford, England : 1990)","id":"ITEM-1","issue":"5","issued":{"date-parts":[["2010","3"]]},"page":"885-91","publisher":"Elsevier Ltd","title":"A randomised phase II study of combination chemotherapy with epirubicin, cisplatin and capecitabine (ECX) or cisplatin and capecitabine (CX) in advanced gastric cancer.","type":"article-journal","volume":"46"},"uris":["http://www.mendeley.com/documents/?uuid=53b07b7a-7b6f-4003-b90f-c86910d1182b"]}],"mendeley":{"formattedCitation":"[51]","plainTextFormattedCitation":"[51]","previouslyFormattedCitation":"[51]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[51]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652E64B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w:t>
            </w:r>
          </w:p>
        </w:tc>
        <w:tc>
          <w:tcPr>
            <w:tcW w:w="1708" w:type="dxa"/>
            <w:gridSpan w:val="2"/>
            <w:shd w:val="clear" w:color="auto" w:fill="auto"/>
            <w:noWrap/>
            <w:hideMark/>
          </w:tcPr>
          <w:p w14:paraId="3FDBE40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Cap+Cis</w:t>
            </w:r>
          </w:p>
        </w:tc>
        <w:tc>
          <w:tcPr>
            <w:tcW w:w="1322" w:type="dxa"/>
            <w:shd w:val="clear" w:color="auto" w:fill="auto"/>
            <w:noWrap/>
            <w:hideMark/>
          </w:tcPr>
          <w:p w14:paraId="71C6D46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34 (76)</w:t>
            </w:r>
          </w:p>
        </w:tc>
        <w:tc>
          <w:tcPr>
            <w:tcW w:w="1623" w:type="dxa"/>
            <w:gridSpan w:val="2"/>
            <w:shd w:val="clear" w:color="auto" w:fill="auto"/>
            <w:noWrap/>
            <w:hideMark/>
          </w:tcPr>
          <w:p w14:paraId="73D0402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58 (33-75)</w:t>
            </w:r>
          </w:p>
        </w:tc>
        <w:tc>
          <w:tcPr>
            <w:tcW w:w="1379" w:type="dxa"/>
            <w:shd w:val="clear" w:color="auto" w:fill="auto"/>
            <w:noWrap/>
            <w:hideMark/>
          </w:tcPr>
          <w:p w14:paraId="173ACB7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459BD12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(9)</w:t>
            </w:r>
          </w:p>
        </w:tc>
      </w:tr>
      <w:tr w:rsidR="00B61A3A" w:rsidRPr="001A6F97" w14:paraId="1EAB9524" w14:textId="77777777" w:rsidTr="00B61A3A">
        <w:trPr>
          <w:trHeight w:val="255"/>
        </w:trPr>
        <w:tc>
          <w:tcPr>
            <w:tcW w:w="2552" w:type="dxa"/>
            <w:shd w:val="clear" w:color="auto" w:fill="auto"/>
            <w:noWrap/>
            <w:hideMark/>
          </w:tcPr>
          <w:p w14:paraId="70621BF5" w14:textId="3835A470" w:rsidR="00B61A3A" w:rsidRPr="00022291"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Bang 2010 (ToGA)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{"citationItems":[{"id":"ITEM-1","itemData":{"DOI":"10.1016/S0140-6736(10)61121-X","ISBN":"01406736 (ISSN)","ISSN":"01406736","PMID":"20728210","abstract":"Background Trastuzumab, a monoclonal antibody against human epidermal growth factor receptor 2 (HER2; also known as ERBB2), was investigated in combination with chemotherapy for first-line treatment of HER2-positive advanced gastric or gastro-oesophageal junction cancer. Methods ToGA (Trastuzumab for Gastric Cancer) was an open-label, international, phase 3, randomised controlled trial undertaken in 122 centres in 24 countries. Patients with gastric or gastro-oesophageal junction cancer were eligible for inclusion if their tumours showed overexpression of HER2 protein by immunohistochemistry or gene amplification by fluorescence in-situ hybridisation. Participants were randomly assigned in a 1:1 ratio to receive a chemotherapy regimen consisting of capecitabine plus cisplatin or fluorouracil plus cisplatin given every 3 weeks for six cycles or chemotherapy in combination with intravenous trastuzumab. Allocation was by block randomisation stratified by Eastern Cooperative Oncology Group performance status, chemotherapy regimen, extent of disease, primary cancer site, and measurability of disease, implemented with a central interactive voice recognition system. The primary endpoint was overall survival in all randomised patients who received study medication at least once. This trial is registered with ClinicalTrials.gov, number NCT01041404. Findings 594 patients were randomly assigned to study treatment (trastuzumab plus chemotherapy, n=298; chemotherapy alone, n=296), of whom 584 were included in the primary analysis (n=294; n=290). Median follow-up was 18·6 months (IQR 11-25) in the trastuzumab plus chemotherapy group and 17·1 months (9-25) in the chemotherapy alone group. Median overall survival was 13·8 months (95 CI 12-16) in those assigned to trastuzumab plus chemotherapy compared with 11·1 months (10-13) in those assigned to chemotherapy alone (hazard ratio 0·74; 95 CI 0·60-0·91; p=0·0046). The most common adverse events in both groups were nausea (trastuzumab plus chemotherapy, 197 [67] vs chemotherapy alone, 184 [63]), vomiting (147 [50] vs 134 [46]), and neutropenia (157 [53] vs 165 [57]). Rates of overall grade 3 or 4 adverse events (201 [68] vs 198 [68]) and cardiac adverse events (17 [6] vs 18 [6]) did not differ between groups. Interpretaion Trastuzumab in combination with chemotherapy can be considered as a new standard option for patients with HER2-positive advanced gastric or gastro-oesophageal junction cancer. Funding F Hoffmann-La Roch…","author":[{"dropping-particle":"","family":"Bang","given":"Yung Jue","non-dropping-particle":"","parse-names":false,"suffix":""},{"dropping-particle":"","family":"Cutsem","given":"Eric","non-dropping-particle":"Van","parse-names":false,"suffix":""},{"dropping-particle":"","family":"Feyereislova","given":"Andrea","non-dropping-particle":"","parse-names":false,"suffix":""},{"dropping-particle":"","family":"Chung","given":"Hyun C.","non-dropping-particle":"","parse-names":false,"suffix":""},{"dropping-particle":"","family":"Shen","given":"Lin","non-dropping-particle":"","parse-names":false,"suffix":""},{"dropping-particle":"","family":"Sawaki","given":"Akira","non-dropping-particle":"","parse-names":false,"suffix":""},{"dropping-particle":"","family":"Lordick","given":"Florian","non-dropping-particle":"","parse-names":false,"suffix":""},{"dropping-particle":"","family":"Ohtsu","given":"Atsushi","non-dropping-particle":"","parse-names":false,"suffix":""},{"dropping-particle":"","family":"Omuro","given":"Yasushi","non-dropping-particle":"","parse-names":false,"suffix":""},{"dropping-particle":"","family":"Sa</w:instrText>
            </w:r>
            <w:r w:rsidR="006739B2" w:rsidRPr="006739B2">
              <w:rPr>
                <w:rFonts w:ascii="Times New Roman" w:eastAsia="Times New Roman" w:hAnsi="Times New Roman"/>
                <w:b/>
                <w:color w:val="000000"/>
                <w:sz w:val="16"/>
                <w:szCs w:val="16"/>
                <w:lang w:val="en-US"/>
              </w:rPr>
              <w:instrText>toh","given":"Taroh","non-dropping-particle":"","parse-names":false,"suffix":""},{"dropping-particle":"","family":"Aprile","given":"Giuseppe","non-dropping-particle":"","parse-names":false,"suffix":""},{"dropping-particle":"","family":"Kulikov","given":"Evgeny","non-dropping-particle":"","parse-names":false,"suffix":""},{"dropping-particle":"","family":"Hill","given":"Julie","non-dropping-particle":"","parse-names":false,"suffix":""},{"dropping-particle":"","family":"Lehle","given":"Michaela","non-dropping-particle":"","parse-names":false,"suffix":""},{"dropping-particle":"","family":"Rüschoff","given":"Josef","non-dropping-particle":"","parse-names":false,"suffix":""},{"dropping-particle":"","family":"Kang","given":"Yoon Koo","non-dropping-particle":"","parse-names":false,"suffix":""}],"container-title":"The Lancet","id":"ITEM-1","issue":"9742","issued":{"date-parts":[["2010"]]},"page":"687-697","title":"Trastuzumab in combination with chemotherapy versus chemotherapy alone for treatment of HER2-positive advanced gastric or gastro-oesophageal junction cancer (ToGA): A phase 3, open-label, randomised controlled trial","type":"article-journal","volume":"376"},"uris":["http://www.mendeley.com/documents/?uuid=39565e48-7819-4c07-a6be-0aa9acad3966"]}],"mendeley":{"formattedCitation":"[52]","plainTextFormattedCitation":"[52]","previouslyFormattedCitation":"[52]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[52]</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ED7695B"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290</w:t>
            </w:r>
          </w:p>
        </w:tc>
        <w:tc>
          <w:tcPr>
            <w:tcW w:w="1708" w:type="dxa"/>
            <w:gridSpan w:val="2"/>
            <w:shd w:val="clear" w:color="auto" w:fill="auto"/>
            <w:noWrap/>
            <w:hideMark/>
          </w:tcPr>
          <w:p w14:paraId="28F1C2DE"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proofErr w:type="spellStart"/>
            <w:r w:rsidRPr="00022291">
              <w:rPr>
                <w:rFonts w:ascii="Times New Roman" w:eastAsia="Times New Roman" w:hAnsi="Times New Roman"/>
                <w:color w:val="000000"/>
                <w:sz w:val="16"/>
                <w:szCs w:val="16"/>
                <w:lang w:val="en-US"/>
              </w:rPr>
              <w:t>Cap+Cis</w:t>
            </w:r>
            <w:proofErr w:type="spellEnd"/>
          </w:p>
        </w:tc>
        <w:tc>
          <w:tcPr>
            <w:tcW w:w="1322" w:type="dxa"/>
            <w:shd w:val="clear" w:color="auto" w:fill="auto"/>
            <w:noWrap/>
            <w:hideMark/>
          </w:tcPr>
          <w:p w14:paraId="5DCD8D66"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218 (75)</w:t>
            </w:r>
          </w:p>
        </w:tc>
        <w:tc>
          <w:tcPr>
            <w:tcW w:w="1623" w:type="dxa"/>
            <w:gridSpan w:val="2"/>
            <w:shd w:val="clear" w:color="auto" w:fill="auto"/>
            <w:noWrap/>
            <w:hideMark/>
          </w:tcPr>
          <w:p w14:paraId="31B65839"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59 (48-70)</w:t>
            </w:r>
          </w:p>
        </w:tc>
        <w:tc>
          <w:tcPr>
            <w:tcW w:w="1379" w:type="dxa"/>
            <w:shd w:val="clear" w:color="auto" w:fill="auto"/>
            <w:noWrap/>
            <w:hideMark/>
          </w:tcPr>
          <w:p w14:paraId="3B635833"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280 (97)</w:t>
            </w:r>
          </w:p>
        </w:tc>
        <w:tc>
          <w:tcPr>
            <w:tcW w:w="797" w:type="dxa"/>
            <w:shd w:val="clear" w:color="auto" w:fill="auto"/>
            <w:noWrap/>
            <w:hideMark/>
          </w:tcPr>
          <w:p w14:paraId="6D3B8008"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27 (9)</w:t>
            </w:r>
          </w:p>
        </w:tc>
      </w:tr>
      <w:tr w:rsidR="00B61A3A" w:rsidRPr="001A6F97" w14:paraId="063ACA97" w14:textId="77777777" w:rsidTr="00B61A3A">
        <w:trPr>
          <w:trHeight w:val="255"/>
        </w:trPr>
        <w:tc>
          <w:tcPr>
            <w:tcW w:w="2552" w:type="dxa"/>
            <w:shd w:val="clear" w:color="auto" w:fill="auto"/>
            <w:noWrap/>
            <w:hideMark/>
          </w:tcPr>
          <w:p w14:paraId="14E79819"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proofErr w:type="spellStart"/>
            <w:r w:rsidRPr="00022291">
              <w:rPr>
                <w:rFonts w:ascii="Times New Roman" w:hAnsi="Times New Roman"/>
                <w:color w:val="000000"/>
                <w:sz w:val="16"/>
                <w:szCs w:val="16"/>
                <w:u w:val="single"/>
                <w:lang w:val="en-US"/>
              </w:rPr>
              <w:t>Cisplatin+Irinotecan</w:t>
            </w:r>
            <w:proofErr w:type="spellEnd"/>
          </w:p>
        </w:tc>
        <w:tc>
          <w:tcPr>
            <w:tcW w:w="456" w:type="dxa"/>
            <w:shd w:val="clear" w:color="auto" w:fill="auto"/>
            <w:noWrap/>
            <w:hideMark/>
          </w:tcPr>
          <w:p w14:paraId="13C2AFA8"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p>
        </w:tc>
        <w:tc>
          <w:tcPr>
            <w:tcW w:w="1708" w:type="dxa"/>
            <w:gridSpan w:val="2"/>
            <w:shd w:val="clear" w:color="auto" w:fill="auto"/>
            <w:noWrap/>
            <w:hideMark/>
          </w:tcPr>
          <w:p w14:paraId="2ED978D4" w14:textId="77777777" w:rsidR="00B61A3A" w:rsidRPr="00022291" w:rsidRDefault="00B61A3A" w:rsidP="00B61A3A">
            <w:pPr>
              <w:spacing w:before="240" w:line="360" w:lineRule="auto"/>
              <w:rPr>
                <w:rFonts w:ascii="Times New Roman" w:eastAsia="Times New Roman" w:hAnsi="Times New Roman"/>
                <w:b/>
                <w:color w:val="000000"/>
                <w:sz w:val="16"/>
                <w:szCs w:val="16"/>
                <w:lang w:val="en-US"/>
              </w:rPr>
            </w:pPr>
            <w:r w:rsidRPr="00022291">
              <w:rPr>
                <w:rFonts w:ascii="Times New Roman" w:hAnsi="Times New Roman"/>
                <w:b/>
                <w:color w:val="000000"/>
                <w:sz w:val="16"/>
                <w:szCs w:val="16"/>
                <w:u w:val="single"/>
                <w:lang w:val="en-US"/>
              </w:rPr>
              <w:t>CI</w:t>
            </w:r>
          </w:p>
        </w:tc>
        <w:tc>
          <w:tcPr>
            <w:tcW w:w="1322" w:type="dxa"/>
            <w:shd w:val="clear" w:color="auto" w:fill="auto"/>
            <w:noWrap/>
            <w:hideMark/>
          </w:tcPr>
          <w:p w14:paraId="67FD2AB7"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hAnsi="Times New Roman"/>
                <w:color w:val="000000"/>
                <w:sz w:val="16"/>
                <w:szCs w:val="16"/>
                <w:lang w:val="en-US"/>
              </w:rPr>
              <w:t> </w:t>
            </w:r>
          </w:p>
        </w:tc>
        <w:tc>
          <w:tcPr>
            <w:tcW w:w="1623" w:type="dxa"/>
            <w:gridSpan w:val="2"/>
            <w:shd w:val="clear" w:color="auto" w:fill="auto"/>
            <w:noWrap/>
            <w:hideMark/>
          </w:tcPr>
          <w:p w14:paraId="765C962E"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hAnsi="Times New Roman"/>
                <w:color w:val="000000"/>
                <w:sz w:val="16"/>
                <w:szCs w:val="16"/>
                <w:lang w:val="en-US"/>
              </w:rPr>
              <w:t> </w:t>
            </w:r>
          </w:p>
        </w:tc>
        <w:tc>
          <w:tcPr>
            <w:tcW w:w="1379" w:type="dxa"/>
            <w:shd w:val="clear" w:color="auto" w:fill="auto"/>
            <w:noWrap/>
            <w:hideMark/>
          </w:tcPr>
          <w:p w14:paraId="58FA4B89"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hAnsi="Times New Roman"/>
                <w:color w:val="000000"/>
                <w:sz w:val="16"/>
                <w:szCs w:val="16"/>
                <w:lang w:val="en-US"/>
              </w:rPr>
              <w:t> </w:t>
            </w:r>
          </w:p>
        </w:tc>
        <w:tc>
          <w:tcPr>
            <w:tcW w:w="797" w:type="dxa"/>
            <w:shd w:val="clear" w:color="auto" w:fill="auto"/>
            <w:noWrap/>
            <w:hideMark/>
          </w:tcPr>
          <w:p w14:paraId="1530A51B"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hAnsi="Times New Roman"/>
                <w:color w:val="000000"/>
                <w:sz w:val="16"/>
                <w:szCs w:val="16"/>
                <w:lang w:val="en-US"/>
              </w:rPr>
              <w:t> </w:t>
            </w:r>
          </w:p>
        </w:tc>
      </w:tr>
      <w:tr w:rsidR="00B61A3A" w:rsidRPr="007D2E2F" w14:paraId="53B7B743" w14:textId="77777777" w:rsidTr="00B61A3A">
        <w:trPr>
          <w:trHeight w:val="255"/>
        </w:trPr>
        <w:tc>
          <w:tcPr>
            <w:tcW w:w="2552" w:type="dxa"/>
            <w:shd w:val="clear" w:color="auto" w:fill="auto"/>
            <w:noWrap/>
          </w:tcPr>
          <w:p w14:paraId="187AA4CD" w14:textId="6705F850" w:rsidR="00B61A3A" w:rsidRPr="007D2E2F" w:rsidRDefault="00B61A3A" w:rsidP="00B61A3A">
            <w:pPr>
              <w:spacing w:before="240" w:line="360" w:lineRule="auto"/>
              <w:rPr>
                <w:rFonts w:ascii="Times New Roman" w:eastAsia="Times New Roman" w:hAnsi="Times New Roman"/>
                <w:b/>
                <w:color w:val="000000"/>
                <w:sz w:val="16"/>
                <w:szCs w:val="16"/>
              </w:rPr>
            </w:pPr>
            <w:proofErr w:type="spellStart"/>
            <w:r w:rsidRPr="00022291">
              <w:rPr>
                <w:rFonts w:ascii="Times New Roman" w:hAnsi="Times New Roman"/>
                <w:b/>
                <w:color w:val="000000"/>
                <w:sz w:val="16"/>
                <w:szCs w:val="16"/>
                <w:lang w:val="en-US"/>
              </w:rPr>
              <w:t>Boku</w:t>
            </w:r>
            <w:proofErr w:type="spellEnd"/>
            <w:r w:rsidRPr="00022291">
              <w:rPr>
                <w:rFonts w:ascii="Times New Roman" w:hAnsi="Times New Roman"/>
                <w:b/>
                <w:color w:val="000000"/>
                <w:sz w:val="16"/>
                <w:szCs w:val="16"/>
                <w:lang w:val="en-US"/>
              </w:rPr>
              <w:t xml:space="preserve"> 2009 </w:t>
            </w:r>
            <w:r w:rsidRPr="007D2E2F">
              <w:rPr>
                <w:rFonts w:ascii="Times New Roman" w:hAnsi="Times New Roman"/>
                <w:color w:val="000000"/>
                <w:sz w:val="16"/>
                <w:szCs w:val="16"/>
              </w:rPr>
              <w:fldChar w:fldCharType="begin" w:fldLock="1"/>
            </w:r>
            <w:r w:rsidR="006739B2">
              <w:rPr>
                <w:rFonts w:ascii="Times New Roman" w:hAnsi="Times New Roman"/>
                <w:b/>
                <w:color w:val="000000"/>
                <w:sz w:val="16"/>
                <w:szCs w:val="16"/>
                <w:lang w:val="en-US"/>
              </w:rPr>
              <w:instrText>ADDIN CSL_CITATION {"citationItems":[{"id":"ITEM-1","itemData":{"DOI":"10.1016/S1470-2045(09)70259-1","ISSN":"1474-5488","PMID":"19818685","abstract":"BACKGROUND: The best chemotherapy regimen for metastatic gastric cancer is uncertain, but promising findings have been reported with irinotecan plus cisplatin and S-1 (tegafur, 5-chloro-2,4-dihydropyrimidine, and potassium oxonate). We aimed to investigate the superiority of irinotecan plus cisplatin and non-inferiority of S-1 compared with fluorouracil, with respect to overall survival, in patients with metastatic gastric cancer.\n\nMETHODS: We undertook a phase 3 open label randomised trial in 34 institutions in Japan. We enrolled patients aged 20-75 years or younger, who had histologically proven gastric adenocarcinoma, and randomly assigned them by minimisation to receive either: a continuous infusion of fluorouracil (800 mg/m(2) per day, on days 1-5) every 4 weeks (n=234); intravenous irinotecan (70 mg/m(2), on days 1 and 15) and cisplatin (80 mg/m(2), on day 1) every 4 weeks (n=236); or oral S-1 (40 mg/m(2), twice a day, on days 1-28) every 6 weeks (n=234). The primary endpoint was overall survival. Analyses were done by intention to treat. This study is registered with Clinicaltrials.gov, number NCT00142350, and with UMIN-CTR, number C000000062.\n\nFINDINGS: All randomised patients were included in the primary analysis. Median overall survival was 10.8 months (IQR 5.7-17.8) for individuals assigned fluorouracil, 12.3 months (8.1-19.5) for those allocated irinotecan plus cisplatin (hazard ratio 0.85 [95% CI 0.70-1.04]; p=0.0552), and 11.4 months (6.4-21.3) for those assigned S-1 (0.83 [0.68-1.01]; p=0.0005 for non-inferiority). Three treatment-related deaths occurred in the irinotecan plus cisplatin group and one was recorded in the S-1 group.\n\nINTERPRETATION: S-1 is non-inferior to fluorouracil and, in view of the convenience of an oral administration, could replace intravenous fluorouracil for treatment of unresectable or recurrent gastric cancer, at least in Asia. Irinotecan plus cisplatin is not superior to fluorouracil in this setting.","author":[{"dropping-particle":"","family":"Boku","given":"Narikazu","non-dropping-particle":"","parse-names":false,"suffix":""},{"dropping-particle":"","family":"Yamamoto","given":"Seiichiro","non-dropping-particle":"","parse-names":false,"suffix":""},{"dropping-particle":"","family":"Fukuda","given":"Haruhiko","non-dropping-particle":"","parse-names":false,"suffix":""},{"dropping-particle":"","family":"Shirao","given":"Kuniaki","non-dropping-particle":"","parse-names":false,"suffix":""},{"dropping-particle":"","family":"Doi","given":"Toshihiko","non-dropping-particle":"","parse-names":false,"suffix":""},{"dropping-particle":"","family":"Sawaki","given":"Akira","non-dropping-particle":"","parse-names":false,"suffix":""},{"dropping-particle":"","family":"Koizumi","given":"Wasaburo","non-dropping-particle":"","parse-names":false,"suffix":""},{"dropping-particle":"","family":"Saito","given":"Hiroshi","non-dropping-particle":"","parse-names":false,"suffix":""},{"dropping-particle":"","family":"Yamaguchi","given":"Kensei","non-dropping-particle":"","parse-names":false,"suffix":""},{"dropping-particle":"","family":"Takiuchi","given":"Hiroya","non-dropping-particle":"","parse-names":false,"suffix":""},{"dropping-particle":"","family":"Nasu","given":"Junichiro","non-dropping-particle":"","parse-names":false,"suffix":""},{"dropping-particle":"","family":"Ohtsu","given":"Atsushi","non-dropping-particle":"","parse-names":false,"suffix":""}],"container-title":"The Lancet. Oncology","id":"ITEM-1","issue":"11","issued":{"date-parts":[["2009","11"]]},"page":"1063-9","publisher":"Elsevier Ltd","title":"Fluorouracil versus combination of irinotecan plus cisplatin versus S-1 in metastatic gastric cancer: a randomised phase 3 study.","type":"article-journal","volume":"10"},"uris":["http://www.mendeley.com/documents/?uuid=6efc4023-7536-4615-beef-a1b3de84a06f"]}],"mendeley":{"formattedCitation":"[5]","plainTextFormattedCitation":"[5]","previouslyFormattedCitation":"[5]"},"properties":{"noteIndex":0},"schema":"https://github.com/citation-style-language/schema/raw/master/csl-citation.json"}</w:instrText>
            </w:r>
            <w:r w:rsidRPr="007D2E2F">
              <w:rPr>
                <w:rFonts w:ascii="Times New Roman" w:hAnsi="Times New Roman"/>
                <w:color w:val="000000"/>
                <w:sz w:val="16"/>
                <w:szCs w:val="16"/>
              </w:rPr>
              <w:fldChar w:fldCharType="separate"/>
            </w:r>
            <w:r w:rsidR="006739B2" w:rsidRPr="006739B2">
              <w:rPr>
                <w:rFonts w:ascii="Times New Roman" w:hAnsi="Times New Roman"/>
                <w:noProof/>
                <w:color w:val="000000"/>
                <w:sz w:val="16"/>
                <w:szCs w:val="16"/>
              </w:rPr>
              <w:t>[5]</w:t>
            </w:r>
            <w:r w:rsidRPr="007D2E2F">
              <w:rPr>
                <w:rFonts w:ascii="Times New Roman" w:hAnsi="Times New Roman"/>
                <w:color w:val="000000"/>
                <w:sz w:val="16"/>
                <w:szCs w:val="16"/>
              </w:rPr>
              <w:fldChar w:fldCharType="end"/>
            </w:r>
          </w:p>
        </w:tc>
        <w:tc>
          <w:tcPr>
            <w:tcW w:w="456" w:type="dxa"/>
            <w:shd w:val="clear" w:color="auto" w:fill="auto"/>
            <w:noWrap/>
          </w:tcPr>
          <w:p w14:paraId="34110AD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rPr>
              <w:t>216</w:t>
            </w:r>
          </w:p>
        </w:tc>
        <w:tc>
          <w:tcPr>
            <w:tcW w:w="1708" w:type="dxa"/>
            <w:gridSpan w:val="2"/>
            <w:shd w:val="clear" w:color="auto" w:fill="auto"/>
            <w:noWrap/>
          </w:tcPr>
          <w:p w14:paraId="0CD8AC33"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rPr>
              <w:t>Cis+Iri</w:t>
            </w:r>
          </w:p>
        </w:tc>
        <w:tc>
          <w:tcPr>
            <w:tcW w:w="1322" w:type="dxa"/>
            <w:shd w:val="clear" w:color="auto" w:fill="auto"/>
            <w:noWrap/>
          </w:tcPr>
          <w:p w14:paraId="6F52E3C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165 (76)</w:t>
            </w:r>
          </w:p>
        </w:tc>
        <w:tc>
          <w:tcPr>
            <w:tcW w:w="1623" w:type="dxa"/>
            <w:gridSpan w:val="2"/>
            <w:shd w:val="clear" w:color="auto" w:fill="auto"/>
            <w:noWrap/>
          </w:tcPr>
          <w:p w14:paraId="59FA80B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63 (32-75)</w:t>
            </w:r>
          </w:p>
        </w:tc>
        <w:tc>
          <w:tcPr>
            <w:tcW w:w="1379" w:type="dxa"/>
            <w:shd w:val="clear" w:color="auto" w:fill="auto"/>
            <w:noWrap/>
          </w:tcPr>
          <w:p w14:paraId="7A2A05A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NA</w:t>
            </w:r>
          </w:p>
        </w:tc>
        <w:tc>
          <w:tcPr>
            <w:tcW w:w="797" w:type="dxa"/>
            <w:shd w:val="clear" w:color="auto" w:fill="auto"/>
            <w:noWrap/>
          </w:tcPr>
          <w:p w14:paraId="3928224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3 (1)</w:t>
            </w:r>
          </w:p>
        </w:tc>
      </w:tr>
      <w:tr w:rsidR="00B61A3A" w:rsidRPr="007D2E2F" w14:paraId="2B2848A6" w14:textId="77777777" w:rsidTr="00DF4D7C">
        <w:trPr>
          <w:trHeight w:val="255"/>
        </w:trPr>
        <w:tc>
          <w:tcPr>
            <w:tcW w:w="2552" w:type="dxa"/>
            <w:shd w:val="clear" w:color="auto" w:fill="auto"/>
            <w:noWrap/>
          </w:tcPr>
          <w:p w14:paraId="49FE6B64" w14:textId="618544FC"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hAnsi="Times New Roman"/>
                <w:b/>
                <w:color w:val="000000"/>
                <w:sz w:val="16"/>
                <w:szCs w:val="16"/>
              </w:rPr>
              <w:t xml:space="preserve">Pozzo 2004 </w:t>
            </w:r>
            <w:r w:rsidRPr="007D2E2F">
              <w:rPr>
                <w:rFonts w:ascii="Times New Roman" w:hAnsi="Times New Roman"/>
                <w:color w:val="000000"/>
                <w:sz w:val="16"/>
                <w:szCs w:val="16"/>
              </w:rPr>
              <w:fldChar w:fldCharType="begin" w:fldLock="1"/>
            </w:r>
            <w:r w:rsidR="006739B2">
              <w:rPr>
                <w:rFonts w:ascii="Times New Roman" w:hAnsi="Times New Roman"/>
                <w:b/>
                <w:color w:val="000000"/>
                <w:sz w:val="16"/>
                <w:szCs w:val="16"/>
              </w:rPr>
              <w:instrText>ADDIN CSL_CITATION {"citationItems":[{"id":"ITEM-1","itemData":{"DOI":"10.1093/annonc/mdh473","ISBN":"0923-7534","ISSN":"09237534","PMID":"15550582","abstract":"BACKGROUND: To identify the most effective of two combinations, irinotecan/5-fluorouracil (5-FU)/folinic acid (FA) and irinotecan/cisplatin, in the treatment of advanced gastric cancer, for investigation in a phase III trial. PATIENTS AND METHODS: Patients were randomized to receive irinotecan [80 mg/m2 intravenously (i.v.)], FA (500 mg/m2 i.v.) and a 22-h infusion of 5-FU (2000 mg/m2 i.v.), weekly for 6 weeks with a 1-week rest, or irinotecan (200 mg/m2 i.v.) and cisplatin (60 mg/m2 i.v.), on day 1 for 3 weeks. RESULTS: A total of 115 patients were eligible for analysis in the per-protocol population. The overall response rate in the irinotecan/5-FU/FA arm (n=59) was 42.4%, with a complete response rate of 5.1%. Corresponding figures for the irinotecan/cisplatin arm (n=56) were 32.1% and 1.8%, respectively. The median time to progression was 6.5 months (irinotecan/5-FU/FA) and 4.2 months (irinotecan/cisplatin) (P &lt; 0.0001), with median survival times of 10.7 and 6.9 months, respectively (P=0.0018). The major toxicity was grade 3/4 neutropenia, which was more pronounced with irinotecan/cisplatin than with irinotecan/5-FU/FA (65.7% versus 27%). Diarrhea was the main grade 3/4 non-hematological toxicity with both irinotecan/5-FU/FA (27.0%) and irinotecan/cisplatin (18.1%). CONCLUSIONS: Both combinations were active, with acceptable safety profiles. Irinotecan/5-FU/FA was selected as the most effective combination for investigation in a phase III trial in advanced gastric cancer.","author":[{"dropping-particle":"","family":"Pozzo","given":"C.","non-dropping-particle":"","parse-names":false,"suffix":""},{"dropping-particle":"","family":"Barone","given":"Carlo","non-dropping-particle":"","parse-names":false,"suffix":""},{"dropping-particle":"","family":"Szanto","given":"J.","non-dropping-particle":"","parse-names":false,"suffix":""},{"dropping-particle":"","family":"Padi","given":"E.","non-dropping-particle":"","parse-names":false,"suffix":""},{"dropping-particle":"","family":"Peschel","given":"C.","non-dropping-particle":"","parse-names":false,"suffix":""},{"dropping-particle":"","family":"B??kki","given":"J.","non-dropping-particle":"","parse-names":false,"suffix":""},{"dropping-particle":"","family":"Gorbunova","given":"V.","non-dropping-particle":"","parse-names":false,"suffix":""},{"dropping-particle":"","family":"Valvere","given":"V.","non-dropping-particle":"","parse-names":false,"suffix":""},{"dropping-particle":"","family":"Zaluski","given":"J.","non-dropping-particle":"","parse-names":false,"suffix":""},{"dropping-particle":"","family":"Biakhov","given":"M.","non-dropping-particle":"","parse-names":false,"suffix":""},{"dropping-particle":"","family":"Zuber","given":"E.","non-dropping-particle":"","parse-names":false,"suffix":""},{"dropping-particle":"","family":"Jacques","given":"C.","non-dropping-particle":"","parse-names":false,"suffix":""},{"dropping-particle":"","family":"Bugat","given":"R.","non-dropping-particle":"","parse-names":false,"suffix":""}],"container-title":"Annals of Oncology","id":"ITEM-1","issue":"12","issued":{"date-parts":[["2004"]]},"page":"1773-1781","title":"Irinotecan in combination with 5-fluorouracil and folinic acid or with cisplatin in patients with advanced gastric or esophageal-gastric junction adenocarcinoma: Results of a randomized phase II study","type":"article-journal","volume":"15"},"uris":["http://www.mendeley.com/documents/?uuid=39015c61-82e9-413b-8d42-eaa09753e261"]}],"mendeley":{"formattedCitation":"[53]","plainTextFormattedCitation":"[53]","previouslyFormattedCitation":"[53]"},"properties":{"noteIndex":0},"schema":"https://github.com/citation-style-language/schema/raw/master/csl-citation.json"}</w:instrText>
            </w:r>
            <w:r w:rsidRPr="007D2E2F">
              <w:rPr>
                <w:rFonts w:ascii="Times New Roman" w:hAnsi="Times New Roman"/>
                <w:color w:val="000000"/>
                <w:sz w:val="16"/>
                <w:szCs w:val="16"/>
              </w:rPr>
              <w:fldChar w:fldCharType="separate"/>
            </w:r>
            <w:r w:rsidR="006739B2" w:rsidRPr="006739B2">
              <w:rPr>
                <w:rFonts w:ascii="Times New Roman" w:hAnsi="Times New Roman"/>
                <w:noProof/>
                <w:color w:val="000000"/>
                <w:sz w:val="16"/>
                <w:szCs w:val="16"/>
              </w:rPr>
              <w:t>[53]</w:t>
            </w:r>
            <w:r w:rsidRPr="007D2E2F">
              <w:rPr>
                <w:rFonts w:ascii="Times New Roman" w:hAnsi="Times New Roman"/>
                <w:color w:val="000000"/>
                <w:sz w:val="16"/>
                <w:szCs w:val="16"/>
              </w:rPr>
              <w:fldChar w:fldCharType="end"/>
            </w:r>
          </w:p>
        </w:tc>
        <w:tc>
          <w:tcPr>
            <w:tcW w:w="456" w:type="dxa"/>
            <w:shd w:val="clear" w:color="auto" w:fill="auto"/>
            <w:noWrap/>
          </w:tcPr>
          <w:p w14:paraId="406AC44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rPr>
              <w:t>72</w:t>
            </w:r>
          </w:p>
        </w:tc>
        <w:tc>
          <w:tcPr>
            <w:tcW w:w="1708" w:type="dxa"/>
            <w:gridSpan w:val="2"/>
            <w:shd w:val="clear" w:color="auto" w:fill="auto"/>
            <w:noWrap/>
          </w:tcPr>
          <w:p w14:paraId="5AF9AA2B"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rPr>
              <w:t>Cis+Iri</w:t>
            </w:r>
          </w:p>
        </w:tc>
        <w:tc>
          <w:tcPr>
            <w:tcW w:w="1322" w:type="dxa"/>
            <w:shd w:val="clear" w:color="auto" w:fill="auto"/>
            <w:noWrap/>
          </w:tcPr>
          <w:p w14:paraId="3702188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46 (64)</w:t>
            </w:r>
          </w:p>
        </w:tc>
        <w:tc>
          <w:tcPr>
            <w:tcW w:w="1623" w:type="dxa"/>
            <w:gridSpan w:val="2"/>
            <w:shd w:val="clear" w:color="auto" w:fill="auto"/>
            <w:noWrap/>
          </w:tcPr>
          <w:p w14:paraId="6674A66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59 (33-74)</w:t>
            </w:r>
          </w:p>
        </w:tc>
        <w:tc>
          <w:tcPr>
            <w:tcW w:w="1379" w:type="dxa"/>
            <w:shd w:val="clear" w:color="auto" w:fill="auto"/>
            <w:noWrap/>
          </w:tcPr>
          <w:p w14:paraId="2420745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72 (100)</w:t>
            </w:r>
          </w:p>
        </w:tc>
        <w:tc>
          <w:tcPr>
            <w:tcW w:w="797" w:type="dxa"/>
            <w:shd w:val="clear" w:color="auto" w:fill="auto"/>
            <w:noWrap/>
          </w:tcPr>
          <w:p w14:paraId="0C1C0CE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0</w:t>
            </w:r>
          </w:p>
        </w:tc>
      </w:tr>
      <w:tr w:rsidR="00B61A3A" w:rsidRPr="007D2E2F" w14:paraId="3F4FD5EA" w14:textId="77777777" w:rsidTr="00DF4D7C">
        <w:trPr>
          <w:trHeight w:val="255"/>
        </w:trPr>
        <w:tc>
          <w:tcPr>
            <w:tcW w:w="2552" w:type="dxa"/>
            <w:tcBorders>
              <w:bottom w:val="single" w:sz="4" w:space="0" w:color="auto"/>
            </w:tcBorders>
            <w:shd w:val="clear" w:color="auto" w:fill="auto"/>
            <w:noWrap/>
          </w:tcPr>
          <w:p w14:paraId="4377C16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u w:val="single"/>
              </w:rPr>
              <w:t>Cisplatin+Docetaxel</w:t>
            </w:r>
          </w:p>
        </w:tc>
        <w:tc>
          <w:tcPr>
            <w:tcW w:w="456" w:type="dxa"/>
            <w:tcBorders>
              <w:bottom w:val="single" w:sz="4" w:space="0" w:color="auto"/>
            </w:tcBorders>
            <w:shd w:val="clear" w:color="auto" w:fill="auto"/>
            <w:noWrap/>
          </w:tcPr>
          <w:p w14:paraId="64434FA0" w14:textId="77777777" w:rsidR="00B61A3A" w:rsidRPr="007D2E2F" w:rsidRDefault="00B61A3A" w:rsidP="00B61A3A">
            <w:pPr>
              <w:spacing w:before="240" w:line="360" w:lineRule="auto"/>
              <w:rPr>
                <w:rFonts w:ascii="Times New Roman" w:eastAsia="Times New Roman" w:hAnsi="Times New Roman"/>
                <w:color w:val="000000"/>
                <w:sz w:val="16"/>
                <w:szCs w:val="16"/>
              </w:rPr>
            </w:pPr>
          </w:p>
        </w:tc>
        <w:tc>
          <w:tcPr>
            <w:tcW w:w="1708" w:type="dxa"/>
            <w:gridSpan w:val="2"/>
            <w:tcBorders>
              <w:bottom w:val="single" w:sz="4" w:space="0" w:color="auto"/>
            </w:tcBorders>
            <w:shd w:val="clear" w:color="auto" w:fill="auto"/>
            <w:noWrap/>
          </w:tcPr>
          <w:p w14:paraId="0552AAB5" w14:textId="77777777"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hAnsi="Times New Roman"/>
                <w:b/>
                <w:color w:val="000000"/>
                <w:sz w:val="16"/>
                <w:szCs w:val="16"/>
                <w:u w:val="single"/>
              </w:rPr>
              <w:t>CT</w:t>
            </w:r>
          </w:p>
        </w:tc>
        <w:tc>
          <w:tcPr>
            <w:tcW w:w="1322" w:type="dxa"/>
            <w:tcBorders>
              <w:bottom w:val="single" w:sz="4" w:space="0" w:color="auto"/>
            </w:tcBorders>
            <w:shd w:val="clear" w:color="auto" w:fill="auto"/>
            <w:noWrap/>
          </w:tcPr>
          <w:p w14:paraId="4F6BA5B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 </w:t>
            </w:r>
          </w:p>
        </w:tc>
        <w:tc>
          <w:tcPr>
            <w:tcW w:w="1623" w:type="dxa"/>
            <w:gridSpan w:val="2"/>
            <w:tcBorders>
              <w:bottom w:val="single" w:sz="4" w:space="0" w:color="auto"/>
            </w:tcBorders>
            <w:shd w:val="clear" w:color="auto" w:fill="auto"/>
            <w:noWrap/>
          </w:tcPr>
          <w:p w14:paraId="6FC12DA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 </w:t>
            </w:r>
          </w:p>
        </w:tc>
        <w:tc>
          <w:tcPr>
            <w:tcW w:w="1379" w:type="dxa"/>
            <w:tcBorders>
              <w:bottom w:val="single" w:sz="4" w:space="0" w:color="auto"/>
            </w:tcBorders>
            <w:shd w:val="clear" w:color="auto" w:fill="auto"/>
            <w:noWrap/>
          </w:tcPr>
          <w:p w14:paraId="6101472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 </w:t>
            </w:r>
          </w:p>
        </w:tc>
        <w:tc>
          <w:tcPr>
            <w:tcW w:w="797" w:type="dxa"/>
            <w:tcBorders>
              <w:bottom w:val="single" w:sz="4" w:space="0" w:color="auto"/>
            </w:tcBorders>
            <w:shd w:val="clear" w:color="auto" w:fill="auto"/>
            <w:noWrap/>
          </w:tcPr>
          <w:p w14:paraId="09132A7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 </w:t>
            </w:r>
          </w:p>
        </w:tc>
      </w:tr>
      <w:tr w:rsidR="001A6F97" w:rsidRPr="00BA62DB" w14:paraId="3DFF3D42" w14:textId="77777777" w:rsidTr="00DF4D7C">
        <w:trPr>
          <w:trHeight w:val="255"/>
        </w:trPr>
        <w:tc>
          <w:tcPr>
            <w:tcW w:w="3008" w:type="dxa"/>
            <w:gridSpan w:val="2"/>
            <w:tcBorders>
              <w:top w:val="single" w:sz="4" w:space="0" w:color="auto"/>
              <w:bottom w:val="single" w:sz="4" w:space="0" w:color="auto"/>
            </w:tcBorders>
            <w:shd w:val="clear" w:color="auto" w:fill="auto"/>
            <w:noWrap/>
          </w:tcPr>
          <w:p w14:paraId="51472A61"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w:hAnsi="Times New Roman"/>
                <w:bCs/>
                <w:sz w:val="16"/>
                <w:szCs w:val="24"/>
                <w:lang w:val="en-US"/>
              </w:rPr>
              <w:lastRenderedPageBreak/>
              <w:t>Supplementary table 2. (continued)</w:t>
            </w:r>
          </w:p>
        </w:tc>
        <w:tc>
          <w:tcPr>
            <w:tcW w:w="1708" w:type="dxa"/>
            <w:gridSpan w:val="2"/>
            <w:tcBorders>
              <w:top w:val="single" w:sz="4" w:space="0" w:color="auto"/>
              <w:bottom w:val="single" w:sz="4" w:space="0" w:color="auto"/>
            </w:tcBorders>
            <w:shd w:val="clear" w:color="auto" w:fill="auto"/>
            <w:noWrap/>
          </w:tcPr>
          <w:p w14:paraId="3231BC4E"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p>
        </w:tc>
        <w:tc>
          <w:tcPr>
            <w:tcW w:w="1322" w:type="dxa"/>
            <w:tcBorders>
              <w:top w:val="single" w:sz="4" w:space="0" w:color="auto"/>
              <w:bottom w:val="single" w:sz="4" w:space="0" w:color="auto"/>
            </w:tcBorders>
            <w:shd w:val="clear" w:color="auto" w:fill="auto"/>
            <w:noWrap/>
          </w:tcPr>
          <w:p w14:paraId="3911D9D9"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623" w:type="dxa"/>
            <w:gridSpan w:val="2"/>
            <w:tcBorders>
              <w:top w:val="single" w:sz="4" w:space="0" w:color="auto"/>
              <w:bottom w:val="single" w:sz="4" w:space="0" w:color="auto"/>
            </w:tcBorders>
            <w:shd w:val="clear" w:color="auto" w:fill="auto"/>
            <w:noWrap/>
          </w:tcPr>
          <w:p w14:paraId="7CDF27AE"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379" w:type="dxa"/>
            <w:tcBorders>
              <w:top w:val="single" w:sz="4" w:space="0" w:color="auto"/>
              <w:bottom w:val="single" w:sz="4" w:space="0" w:color="auto"/>
            </w:tcBorders>
            <w:shd w:val="clear" w:color="auto" w:fill="auto"/>
            <w:noWrap/>
          </w:tcPr>
          <w:p w14:paraId="180233DA"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797" w:type="dxa"/>
            <w:tcBorders>
              <w:top w:val="single" w:sz="4" w:space="0" w:color="auto"/>
              <w:bottom w:val="single" w:sz="4" w:space="0" w:color="auto"/>
            </w:tcBorders>
            <w:shd w:val="clear" w:color="auto" w:fill="auto"/>
            <w:noWrap/>
          </w:tcPr>
          <w:p w14:paraId="278BEC91"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r>
      <w:tr w:rsidR="001A6F97" w:rsidRPr="001F70C0" w14:paraId="6D4F6BC3" w14:textId="77777777" w:rsidTr="00DF4D7C">
        <w:trPr>
          <w:trHeight w:val="255"/>
        </w:trPr>
        <w:tc>
          <w:tcPr>
            <w:tcW w:w="2552" w:type="dxa"/>
            <w:tcBorders>
              <w:top w:val="single" w:sz="4" w:space="0" w:color="auto"/>
              <w:bottom w:val="single" w:sz="4" w:space="0" w:color="auto"/>
            </w:tcBorders>
            <w:shd w:val="clear" w:color="auto" w:fill="auto"/>
            <w:noWrap/>
          </w:tcPr>
          <w:p w14:paraId="03DDEADE" w14:textId="77777777" w:rsidR="001A6F97" w:rsidRPr="001F70C0"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New Roman" w:hAnsi="Times New Roman"/>
                <w:bCs/>
                <w:color w:val="000000"/>
                <w:sz w:val="16"/>
                <w:szCs w:val="16"/>
                <w:lang w:val="en-US"/>
              </w:rPr>
              <w:t>Studies</w:t>
            </w:r>
          </w:p>
        </w:tc>
        <w:tc>
          <w:tcPr>
            <w:tcW w:w="456" w:type="dxa"/>
            <w:tcBorders>
              <w:top w:val="single" w:sz="4" w:space="0" w:color="auto"/>
              <w:bottom w:val="single" w:sz="4" w:space="0" w:color="auto"/>
            </w:tcBorders>
            <w:shd w:val="clear" w:color="auto" w:fill="auto"/>
            <w:noWrap/>
          </w:tcPr>
          <w:p w14:paraId="7387EA9C"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No.</w:t>
            </w:r>
          </w:p>
        </w:tc>
        <w:tc>
          <w:tcPr>
            <w:tcW w:w="1708" w:type="dxa"/>
            <w:gridSpan w:val="2"/>
            <w:tcBorders>
              <w:top w:val="single" w:sz="4" w:space="0" w:color="auto"/>
              <w:bottom w:val="single" w:sz="4" w:space="0" w:color="auto"/>
            </w:tcBorders>
            <w:shd w:val="clear" w:color="auto" w:fill="auto"/>
            <w:noWrap/>
          </w:tcPr>
          <w:p w14:paraId="40406A11"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322" w:type="dxa"/>
            <w:tcBorders>
              <w:top w:val="single" w:sz="4" w:space="0" w:color="auto"/>
              <w:bottom w:val="single" w:sz="4" w:space="0" w:color="auto"/>
            </w:tcBorders>
            <w:shd w:val="clear" w:color="auto" w:fill="auto"/>
            <w:noWrap/>
          </w:tcPr>
          <w:p w14:paraId="0231F0B6"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50EC241F"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1623" w:type="dxa"/>
            <w:gridSpan w:val="2"/>
            <w:tcBorders>
              <w:top w:val="single" w:sz="4" w:space="0" w:color="auto"/>
              <w:bottom w:val="single" w:sz="4" w:space="0" w:color="auto"/>
            </w:tcBorders>
            <w:shd w:val="clear" w:color="auto" w:fill="auto"/>
            <w:noWrap/>
          </w:tcPr>
          <w:p w14:paraId="0E32A756"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484A5234"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Median (range)</w:t>
            </w:r>
          </w:p>
        </w:tc>
        <w:tc>
          <w:tcPr>
            <w:tcW w:w="1379" w:type="dxa"/>
            <w:tcBorders>
              <w:top w:val="single" w:sz="4" w:space="0" w:color="auto"/>
              <w:bottom w:val="single" w:sz="4" w:space="0" w:color="auto"/>
            </w:tcBorders>
            <w:shd w:val="clear" w:color="auto" w:fill="auto"/>
            <w:noWrap/>
          </w:tcPr>
          <w:p w14:paraId="66406510"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4F71FE4A"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797" w:type="dxa"/>
            <w:tcBorders>
              <w:top w:val="single" w:sz="4" w:space="0" w:color="auto"/>
              <w:bottom w:val="single" w:sz="4" w:space="0" w:color="auto"/>
            </w:tcBorders>
            <w:shd w:val="clear" w:color="auto" w:fill="auto"/>
            <w:noWrap/>
          </w:tcPr>
          <w:p w14:paraId="633530CD"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WHO&gt;2 </w:t>
            </w:r>
          </w:p>
          <w:p w14:paraId="0A9E1319"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r>
      <w:tr w:rsidR="00B61A3A" w:rsidRPr="00BA62DB" w14:paraId="7613E08F" w14:textId="77777777" w:rsidTr="00B61A3A">
        <w:trPr>
          <w:trHeight w:val="255"/>
        </w:trPr>
        <w:tc>
          <w:tcPr>
            <w:tcW w:w="2552" w:type="dxa"/>
            <w:shd w:val="clear" w:color="auto" w:fill="auto"/>
            <w:noWrap/>
          </w:tcPr>
          <w:p w14:paraId="74CE59EE" w14:textId="792CE68A" w:rsidR="00B61A3A" w:rsidRPr="00F72E17"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hAnsi="Times New Roman"/>
                <w:b/>
                <w:color w:val="000000"/>
                <w:sz w:val="16"/>
                <w:szCs w:val="16"/>
              </w:rPr>
              <w:t xml:space="preserve">Ajani 2005 </w:t>
            </w:r>
            <w:r w:rsidRPr="007D2E2F">
              <w:rPr>
                <w:rFonts w:ascii="Times New Roman" w:hAnsi="Times New Roman"/>
                <w:color w:val="000000"/>
                <w:sz w:val="16"/>
                <w:szCs w:val="16"/>
              </w:rPr>
              <w:fldChar w:fldCharType="begin" w:fldLock="1"/>
            </w:r>
            <w:r w:rsidR="006739B2">
              <w:rPr>
                <w:rFonts w:ascii="Times New Roman" w:hAnsi="Times New Roman"/>
                <w:b/>
                <w:color w:val="000000"/>
                <w:sz w:val="16"/>
                <w:szCs w:val="16"/>
              </w:rPr>
              <w:instrText>ADDIN CSL_CITATION {"citationItems":[{"id":"ITEM-1","itemData":{"DOI":"10.1200/JCO.2005.17.376","ISSN":"0732-183X","PMID":"16110025","abstract":"PURPOSE: The purpose of this study was to define the contribution of docetaxel to combination chemotherapy in the outcome of patients with advanced gastric or gastroesophageal adenocarcinoma. We compared the overall response rate (ORR) and safety of docetaxel plus cisplatin (DC) with DC plus fluorouracil (DCF) to select either DC or DCF as the experimental treatment in the ensuing phase III part of trial V-325.\n\nPATIENTS AND METHODS: In this phase II randomized study, untreated patients with confirmed advanced gastric or gastroesophageal adenocarcinoma received either DCF (docetaxel 75 mg/m2, cisplatin 75 mg/m2 on day 1, and fluorouracil 750 mg/m2/d as continuous infusion on days 1 to 5) or DC (docetaxel 85 mg/m2 and cisplatin 75 mg/m2 on day 1) every 3 weeks. An independent data monitoring committee (IDMC) was to select one of the two regimens based primarily on ORR and safety profile.\n\nRESULTS: Of 158 randomly assigned patients, 155 (DCF, n = 79; DC, n = 76) received treatment. The confirmed ORR was 43% for DCF (n = 79) and 26% for DC (n = 76). Median time to progression was 5.9 months for DCF and 5.0 months for DC. Median overall survival time was 9.6 months for DCF and 10.5 months for DC. The most frequent grade 3 and 4 events per patient included neutropenia (DCF = 86%; DC = 87%) and GI (DCF = 56%; DC = 30%).\n\nCONCLUSION: Both regimens were active, but DCF produced a higher confirmed ORR than DC. Toxicity profiles of DCF were considered manageable. The IDMC chose DCF for the phase III part of V-325, which compares DCF with cisplatin plus fluorouracil.","author":[{"dropping-particle":"","family":"Ajani","given":"Jaffer a","non-dropping-particle":"","parse-names":false,"suffix":""},{"dropping-particle":"","family":"Fodor","given":"Miguel B","non-dropping-particle":"","parse-names":false,"suffix":""},{"dropping-particle":"","family":"Tjulandin","given":"Sergei a","non-dropping-particle":"","parse-names":false,"suffix":""},{"dropping-particle":"","family":"Moiseyenko","given":"Vladimir M","non-dropping-particle":"","parse-names":false,"suffix":""},{"dropping-particle":"","family":"Chao","given":"Yee","non-dropping-particle":"","parse-names":false,"suffix":""},{"dropping-particle":"","family":"Cabral Filho","given":"Sebastiao","non-dropping-particle":"","parse-names":false,"suffix":""},{"dropping-particle":"","family":"Majlis","given":"Alejandro","non-dropping-particle":"","parse-names":false,"suffix":""},{"dropping-particle":"","family":"Assadourian","given":"Sylvie","non-dropping-particle":"","parse-names":false,"suffix":""},{"dropping-particle":"","family":"Cutsem","given":"Eric","non-dropping-particle":"Van","parse-names":false,"suffix":""}],"container-title":"Journal of clinical oncology : official journal of the American Society of Clinical Oncology","id":"ITEM-1","issue":"24","issued":{"date-parts":[["2005","8","20"]]},"page":"5660-7","title":"Phase II multi-institutional randomized trial of docetaxel plus cisplatin with or without fluorouracil in patients with untreated, advanced gastric, or gastroesophageal adenocarcinoma.","type":"article-journal","volume":"23"},"uris":["http://www.mendeley.com/documents/?uuid=7e68d50c-d9c1-4598-9b2e-88f205c26488"]}],"mendeley":{"formattedCitation":"[54]","plainTextFormattedCitation":"[54]","previouslyFormattedCitation":"[54]"},"properties":{"noteIndex":0},"schema":"https://github.com/citation-style-language/schema/raw/master/csl-citation.json"}</w:instrText>
            </w:r>
            <w:r w:rsidRPr="007D2E2F">
              <w:rPr>
                <w:rFonts w:ascii="Times New Roman" w:hAnsi="Times New Roman"/>
                <w:color w:val="000000"/>
                <w:sz w:val="16"/>
                <w:szCs w:val="16"/>
              </w:rPr>
              <w:fldChar w:fldCharType="separate"/>
            </w:r>
            <w:r w:rsidR="006739B2" w:rsidRPr="006739B2">
              <w:rPr>
                <w:rFonts w:ascii="Times New Roman" w:hAnsi="Times New Roman"/>
                <w:noProof/>
                <w:color w:val="000000"/>
                <w:sz w:val="16"/>
                <w:szCs w:val="16"/>
                <w:lang w:val="en-US"/>
              </w:rPr>
              <w:t>[54]</w:t>
            </w:r>
            <w:r w:rsidRPr="007D2E2F">
              <w:rPr>
                <w:rFonts w:ascii="Times New Roman" w:hAnsi="Times New Roman"/>
                <w:color w:val="000000"/>
                <w:sz w:val="16"/>
                <w:szCs w:val="16"/>
              </w:rPr>
              <w:fldChar w:fldCharType="end"/>
            </w:r>
          </w:p>
        </w:tc>
        <w:tc>
          <w:tcPr>
            <w:tcW w:w="456" w:type="dxa"/>
            <w:shd w:val="clear" w:color="auto" w:fill="auto"/>
            <w:noWrap/>
          </w:tcPr>
          <w:p w14:paraId="2B5CFD31"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76</w:t>
            </w:r>
          </w:p>
        </w:tc>
        <w:tc>
          <w:tcPr>
            <w:tcW w:w="1708" w:type="dxa"/>
            <w:gridSpan w:val="2"/>
            <w:shd w:val="clear" w:color="auto" w:fill="auto"/>
            <w:noWrap/>
          </w:tcPr>
          <w:p w14:paraId="296A12D9"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proofErr w:type="spellStart"/>
            <w:r w:rsidRPr="00F72E17">
              <w:rPr>
                <w:rFonts w:ascii="Times New Roman" w:hAnsi="Times New Roman"/>
                <w:color w:val="000000"/>
                <w:sz w:val="16"/>
                <w:szCs w:val="16"/>
                <w:lang w:val="en-US"/>
              </w:rPr>
              <w:t>Cis+DTX</w:t>
            </w:r>
            <w:proofErr w:type="spellEnd"/>
          </w:p>
        </w:tc>
        <w:tc>
          <w:tcPr>
            <w:tcW w:w="1322" w:type="dxa"/>
            <w:shd w:val="clear" w:color="auto" w:fill="auto"/>
            <w:noWrap/>
          </w:tcPr>
          <w:p w14:paraId="6561E4B3"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53 (70)</w:t>
            </w:r>
          </w:p>
        </w:tc>
        <w:tc>
          <w:tcPr>
            <w:tcW w:w="1623" w:type="dxa"/>
            <w:gridSpan w:val="2"/>
            <w:shd w:val="clear" w:color="auto" w:fill="auto"/>
            <w:noWrap/>
          </w:tcPr>
          <w:p w14:paraId="778F8702"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57 (21-83)</w:t>
            </w:r>
          </w:p>
        </w:tc>
        <w:tc>
          <w:tcPr>
            <w:tcW w:w="1379" w:type="dxa"/>
            <w:shd w:val="clear" w:color="auto" w:fill="auto"/>
            <w:noWrap/>
          </w:tcPr>
          <w:p w14:paraId="583B4BB7"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76 (100)</w:t>
            </w:r>
          </w:p>
        </w:tc>
        <w:tc>
          <w:tcPr>
            <w:tcW w:w="797" w:type="dxa"/>
            <w:shd w:val="clear" w:color="auto" w:fill="auto"/>
            <w:noWrap/>
          </w:tcPr>
          <w:p w14:paraId="75D48C36"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1 (1)</w:t>
            </w:r>
          </w:p>
        </w:tc>
      </w:tr>
      <w:tr w:rsidR="00B61A3A" w:rsidRPr="007D2E2F" w14:paraId="0AF06041" w14:textId="77777777" w:rsidTr="00B61A3A">
        <w:trPr>
          <w:trHeight w:val="255"/>
        </w:trPr>
        <w:tc>
          <w:tcPr>
            <w:tcW w:w="2552" w:type="dxa"/>
            <w:shd w:val="clear" w:color="auto" w:fill="auto"/>
            <w:noWrap/>
          </w:tcPr>
          <w:p w14:paraId="739AD258" w14:textId="4B00A2B8" w:rsidR="00B61A3A" w:rsidRPr="007D2E2F" w:rsidRDefault="00B61A3A" w:rsidP="00B61A3A">
            <w:pPr>
              <w:spacing w:before="240" w:line="360" w:lineRule="auto"/>
              <w:rPr>
                <w:rFonts w:ascii="Times New Roman" w:eastAsia="Times New Roman" w:hAnsi="Times New Roman"/>
                <w:b/>
                <w:color w:val="000000"/>
                <w:sz w:val="16"/>
                <w:szCs w:val="16"/>
              </w:rPr>
            </w:pPr>
            <w:r w:rsidRPr="00F72E17">
              <w:rPr>
                <w:rFonts w:ascii="Times New Roman" w:hAnsi="Times New Roman"/>
                <w:b/>
                <w:color w:val="000000"/>
                <w:sz w:val="16"/>
                <w:szCs w:val="16"/>
                <w:lang w:val="en-US"/>
              </w:rPr>
              <w:t xml:space="preserve">Roth 2007 </w:t>
            </w:r>
            <w:r w:rsidRPr="007D2E2F">
              <w:rPr>
                <w:rFonts w:ascii="Times New Roman" w:hAnsi="Times New Roman"/>
                <w:color w:val="000000"/>
                <w:sz w:val="16"/>
                <w:szCs w:val="16"/>
              </w:rPr>
              <w:fldChar w:fldCharType="begin" w:fldLock="1"/>
            </w:r>
            <w:r w:rsidR="006739B2">
              <w:rPr>
                <w:rFonts w:ascii="Times New Roman" w:hAnsi="Times New Roman"/>
                <w:b/>
                <w:color w:val="000000"/>
                <w:sz w:val="16"/>
                <w:szCs w:val="16"/>
                <w:lang w:val="en-US"/>
              </w:rPr>
              <w:instrText>ADDIN CSL_CITATION {"citationItems":[{"id":"ITEM-1","itemData":{"DOI":"10.1200/JCO.2006.08.0135","ISBN":"0732183X (ISSN)","ISSN":"0732183X","PMID":"17664469","abstract":"This randomized phase II trial evaluated two docetaxel-based regimens to see which would be most promising according to overall response rate (ORR) for comparison in a phase III trial with epirubicin-cisplatin-fluorouracil (ECF) as first-line advanced gastric cancer therapy.","author":[{"dropping-particle":"","family":"Roth","given":"Arnaud D.","non-dropping-particle":"","parse-names":false,"suffix":""},{"dropping-particle":"","family":"Fazio","given":"Nicola","non-dropping-particle":"","parse-names":false,"suffix":""},{"dropping-particle":"","family":"Stupp","given":"Roger","non-dropping-particle":"","parse-names":false,"suffix":""},{"dropping-particle":"","family":"Falk","given":"Stephen","non-dropping-particle":"","parse-names":false,"suffix":""},{"dropping-particle":"","family":"Bernhard","given":"Jürg","non-dropping-particle":"","parse-names":false,"suffix":""},{"dropping-particle":"","family":"Saletti","given":"Piercarlo","non-dropping-particle":"","parse-names":false,"suffix":""},{"dropping-particle":"","family":"Köberle","given":"Dieter","non-dropping-particle":"","parse-names":false,"suffix":""},{"dropping-particle":"","family":"Borner","given":"Markus M.","non-dropping-particle":"","parse-names":false,"suffix":""},{"dropping-particle":"","family":"Rufibach","given":"Kaspar","non-dropping-particle":"","parse-names":false,"suffix":""},{"dropping-particle":"","family":"Maibach","given":"Rudolf","non-dropping-particle":"","parse-names":false,"suffix":""},{"dropping-particle":"","family":"Wernli","given":"Martin","non-dropping-particle":"","parse-names":false,"suffix":""},{"dropping-particle":"","family":"Leslie","given":"Martin","non-dropping-particle":"","parse-names":false,"suffix":""},{"dropping-particle":"","family":"Glynne-Jones","given":"Robert","non-dropping-particle":"","parse-names":false,"suffix":""},{"dropping-particle":"","family":"Widmer","given":"Lukas","non-dropping-particle":"","parse-names":false,"suffix":""},{"dropping-particle":"","family":"Seymour","given":"Matthew","non-dropping-particle":"","parse-names":false,"suffix":""},{"dropping-particle":"","family":"Braud","given":"Filippo","non-dropping-particle":"De","parse-names":false,"suffix":""}],"container-title":"Journal of Clinical Oncology","id":"ITEM-1","issue":"22","issued":{"date-parts":[["2007"]]},"page":"3217-3223","title":"Docetaxel, cisplatin, and fluorouracil; docetaxel and cisplatin; and epirubicin, cisplatin, and fluorouracil as systemic treatment for advanced gastric carcinoma: A randomized phase II trial of the Swiss group for clinical cancer research","type":"article-journal","volume":"25"},"uris":["http://www.mendeley.com/documents/?uuid=118b5d76-7eb0-4a5c-b7b0-63dd193d3aca"]}],"mendeley":{"formattedCitation":"[55]","plainTextFormattedCitation":"[55]","previouslyFormattedCitation":"[55]"},"properties":{"noteIndex":0},"schema":"https://github.com/citation-style-language/schema/raw/master/csl-citation.json"}</w:instrText>
            </w:r>
            <w:r w:rsidRPr="007D2E2F">
              <w:rPr>
                <w:rFonts w:ascii="Times New Roman" w:hAnsi="Times New Roman"/>
                <w:color w:val="000000"/>
                <w:sz w:val="16"/>
                <w:szCs w:val="16"/>
              </w:rPr>
              <w:fldChar w:fldCharType="separate"/>
            </w:r>
            <w:r w:rsidR="006739B2" w:rsidRPr="006739B2">
              <w:rPr>
                <w:rFonts w:ascii="Times New Roman" w:hAnsi="Times New Roman"/>
                <w:noProof/>
                <w:color w:val="000000"/>
                <w:sz w:val="16"/>
                <w:szCs w:val="16"/>
              </w:rPr>
              <w:t>[55]</w:t>
            </w:r>
            <w:r w:rsidRPr="007D2E2F">
              <w:rPr>
                <w:rFonts w:ascii="Times New Roman" w:hAnsi="Times New Roman"/>
                <w:color w:val="000000"/>
                <w:sz w:val="16"/>
                <w:szCs w:val="16"/>
              </w:rPr>
              <w:fldChar w:fldCharType="end"/>
            </w:r>
          </w:p>
        </w:tc>
        <w:tc>
          <w:tcPr>
            <w:tcW w:w="456" w:type="dxa"/>
            <w:shd w:val="clear" w:color="auto" w:fill="auto"/>
            <w:noWrap/>
          </w:tcPr>
          <w:p w14:paraId="158478A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rPr>
              <w:t>38</w:t>
            </w:r>
          </w:p>
        </w:tc>
        <w:tc>
          <w:tcPr>
            <w:tcW w:w="1708" w:type="dxa"/>
            <w:gridSpan w:val="2"/>
            <w:shd w:val="clear" w:color="auto" w:fill="auto"/>
            <w:noWrap/>
          </w:tcPr>
          <w:p w14:paraId="16163E5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rPr>
              <w:t>Cis+DTX</w:t>
            </w:r>
          </w:p>
        </w:tc>
        <w:tc>
          <w:tcPr>
            <w:tcW w:w="1322" w:type="dxa"/>
            <w:shd w:val="clear" w:color="auto" w:fill="auto"/>
            <w:noWrap/>
          </w:tcPr>
          <w:p w14:paraId="6E618F7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29 (76)</w:t>
            </w:r>
          </w:p>
        </w:tc>
        <w:tc>
          <w:tcPr>
            <w:tcW w:w="1623" w:type="dxa"/>
            <w:gridSpan w:val="2"/>
            <w:shd w:val="clear" w:color="auto" w:fill="auto"/>
            <w:noWrap/>
          </w:tcPr>
          <w:p w14:paraId="2FCA244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58 (40-70)</w:t>
            </w:r>
          </w:p>
        </w:tc>
        <w:tc>
          <w:tcPr>
            <w:tcW w:w="1379" w:type="dxa"/>
            <w:shd w:val="clear" w:color="auto" w:fill="auto"/>
            <w:noWrap/>
          </w:tcPr>
          <w:p w14:paraId="78DF3D8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31 (82)</w:t>
            </w:r>
          </w:p>
        </w:tc>
        <w:tc>
          <w:tcPr>
            <w:tcW w:w="797" w:type="dxa"/>
            <w:shd w:val="clear" w:color="auto" w:fill="auto"/>
            <w:noWrap/>
          </w:tcPr>
          <w:p w14:paraId="2747DCD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0 (0)</w:t>
            </w:r>
          </w:p>
        </w:tc>
      </w:tr>
      <w:tr w:rsidR="00B61A3A" w:rsidRPr="007D2E2F" w14:paraId="1D063428" w14:textId="77777777" w:rsidTr="00B61A3A">
        <w:trPr>
          <w:trHeight w:val="255"/>
        </w:trPr>
        <w:tc>
          <w:tcPr>
            <w:tcW w:w="2552" w:type="dxa"/>
            <w:shd w:val="clear" w:color="auto" w:fill="auto"/>
            <w:noWrap/>
          </w:tcPr>
          <w:p w14:paraId="42A954E9" w14:textId="7DC3BCBE"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hAnsi="Times New Roman"/>
                <w:b/>
                <w:color w:val="000000"/>
                <w:sz w:val="16"/>
                <w:szCs w:val="16"/>
              </w:rPr>
              <w:t xml:space="preserve">Ridwelski 2008 </w:t>
            </w:r>
            <w:r w:rsidRPr="007D2E2F">
              <w:rPr>
                <w:rFonts w:ascii="Times New Roman" w:hAnsi="Times New Roman"/>
                <w:color w:val="000000"/>
                <w:sz w:val="16"/>
                <w:szCs w:val="16"/>
              </w:rPr>
              <w:fldChar w:fldCharType="begin" w:fldLock="1"/>
            </w:r>
            <w:r w:rsidR="006739B2">
              <w:rPr>
                <w:rFonts w:ascii="Times New Roman" w:hAnsi="Times New Roman"/>
                <w:b/>
                <w:color w:val="000000"/>
                <w:sz w:val="16"/>
                <w:szCs w:val="16"/>
              </w:rPr>
              <w:instrText xml:space="preserve">ADDIN CSL_CITATION {"citationItems":[{"id":"ITEM-1","itemData":{"DOI":"10.1200/jco.2008.26.15_suppl.4512","ISSN":"0732-183X","abstract":"4512 Background: Based on promising phase II studies, this randomized, multicenter phase III study compared DC with a </w:instrText>
            </w:r>
            <w:r w:rsidR="006739B2">
              <w:rPr>
                <w:rFonts w:ascii="Times New Roman" w:hAnsi="Times New Roman" w:hint="eastAsia"/>
                <w:b/>
                <w:color w:val="000000"/>
                <w:sz w:val="16"/>
                <w:szCs w:val="16"/>
              </w:rPr>
              <w:instrText xml:space="preserve">commonly used regimen, FLC. Methods: Patients (pts) aged 18?75 years with stage III (T4, nonresectable) or IV gastric cancer, Karnofsky performance status (KPS) </w:instrText>
            </w:r>
            <w:r w:rsidR="006739B2">
              <w:rPr>
                <w:rFonts w:ascii="Times New Roman" w:hAnsi="Times New Roman" w:hint="eastAsia"/>
                <w:b/>
                <w:color w:val="000000"/>
                <w:sz w:val="16"/>
                <w:szCs w:val="16"/>
              </w:rPr>
              <w:instrText>≥</w:instrText>
            </w:r>
            <w:r w:rsidR="006739B2">
              <w:rPr>
                <w:rFonts w:ascii="Times New Roman" w:hAnsi="Times New Roman" w:hint="eastAsia"/>
                <w:b/>
                <w:color w:val="000000"/>
                <w:sz w:val="16"/>
                <w:szCs w:val="16"/>
              </w:rPr>
              <w:instrText xml:space="preserve">60%, and life expectancy </w:instrText>
            </w:r>
            <w:r w:rsidR="006739B2">
              <w:rPr>
                <w:rFonts w:ascii="Times New Roman" w:hAnsi="Times New Roman" w:hint="eastAsia"/>
                <w:b/>
                <w:color w:val="000000"/>
                <w:sz w:val="16"/>
                <w:szCs w:val="16"/>
              </w:rPr>
              <w:instrText>≥</w:instrText>
            </w:r>
            <w:r w:rsidR="006739B2">
              <w:rPr>
                <w:rFonts w:ascii="Times New Roman" w:hAnsi="Times New Roman" w:hint="eastAsia"/>
                <w:b/>
                <w:color w:val="000000"/>
                <w:sz w:val="16"/>
                <w:szCs w:val="16"/>
              </w:rPr>
              <w:instrText xml:space="preserve">3 months were randomized to receive </w:instrText>
            </w:r>
            <w:r w:rsidR="006739B2">
              <w:rPr>
                <w:rFonts w:ascii="Times New Roman" w:hAnsi="Times New Roman" w:hint="eastAsia"/>
                <w:b/>
                <w:color w:val="000000"/>
                <w:sz w:val="16"/>
                <w:szCs w:val="16"/>
              </w:rPr>
              <w:instrText>≤</w:instrText>
            </w:r>
            <w:r w:rsidR="006739B2">
              <w:rPr>
                <w:rFonts w:ascii="Times New Roman" w:hAnsi="Times New Roman" w:hint="eastAsia"/>
                <w:b/>
                <w:color w:val="000000"/>
                <w:sz w:val="16"/>
                <w:szCs w:val="16"/>
              </w:rPr>
              <w:instrText>6 cycles of DC (D 75 mg/m</w:instrText>
            </w:r>
            <w:r w:rsidR="006739B2">
              <w:rPr>
                <w:rFonts w:ascii="Times New Roman" w:hAnsi="Times New Roman" w:hint="eastAsia"/>
                <w:b/>
                <w:color w:val="000000"/>
                <w:sz w:val="16"/>
                <w:szCs w:val="16"/>
              </w:rPr>
              <w:instrText>²</w:instrText>
            </w:r>
            <w:r w:rsidR="006739B2">
              <w:rPr>
                <w:rFonts w:ascii="Times New Roman" w:hAnsi="Times New Roman" w:hint="eastAsia"/>
                <w:b/>
                <w:color w:val="000000"/>
                <w:sz w:val="16"/>
                <w:szCs w:val="16"/>
              </w:rPr>
              <w:instrText xml:space="preserve"> and C 75 mg/m</w:instrText>
            </w:r>
            <w:r w:rsidR="006739B2">
              <w:rPr>
                <w:rFonts w:ascii="Times New Roman" w:hAnsi="Times New Roman" w:hint="eastAsia"/>
                <w:b/>
                <w:color w:val="000000"/>
                <w:sz w:val="16"/>
                <w:szCs w:val="16"/>
              </w:rPr>
              <w:instrText>²</w:instrText>
            </w:r>
            <w:r w:rsidR="006739B2">
              <w:rPr>
                <w:rFonts w:ascii="Times New Roman" w:hAnsi="Times New Roman" w:hint="eastAsia"/>
                <w:b/>
                <w:color w:val="000000"/>
                <w:sz w:val="16"/>
                <w:szCs w:val="16"/>
              </w:rPr>
              <w:instrText xml:space="preserve">; both as 1-h infusions d1q3w) or </w:instrText>
            </w:r>
            <w:r w:rsidR="006739B2">
              <w:rPr>
                <w:rFonts w:ascii="Times New Roman" w:hAnsi="Times New Roman" w:hint="eastAsia"/>
                <w:b/>
                <w:color w:val="000000"/>
                <w:sz w:val="16"/>
                <w:szCs w:val="16"/>
              </w:rPr>
              <w:instrText>≤</w:instrText>
            </w:r>
            <w:r w:rsidR="006739B2">
              <w:rPr>
                <w:rFonts w:ascii="Times New Roman" w:hAnsi="Times New Roman" w:hint="eastAsia"/>
                <w:b/>
                <w:color w:val="000000"/>
                <w:sz w:val="16"/>
                <w:szCs w:val="16"/>
              </w:rPr>
              <w:instrText>4 cycles of FLC (5-FU 2,000 mg/m</w:instrText>
            </w:r>
            <w:r w:rsidR="006739B2">
              <w:rPr>
                <w:rFonts w:ascii="Times New Roman" w:hAnsi="Times New Roman" w:hint="eastAsia"/>
                <w:b/>
                <w:color w:val="000000"/>
                <w:sz w:val="16"/>
                <w:szCs w:val="16"/>
              </w:rPr>
              <w:instrText>²</w:instrText>
            </w:r>
            <w:r w:rsidR="006739B2">
              <w:rPr>
                <w:rFonts w:ascii="Times New Roman" w:hAnsi="Times New Roman" w:hint="eastAsia"/>
                <w:b/>
                <w:color w:val="000000"/>
                <w:sz w:val="16"/>
                <w:szCs w:val="16"/>
              </w:rPr>
              <w:instrText xml:space="preserve"> [24-h infusion] and L 500 mg/m</w:instrText>
            </w:r>
            <w:r w:rsidR="006739B2">
              <w:rPr>
                <w:rFonts w:ascii="Times New Roman" w:hAnsi="Times New Roman" w:hint="eastAsia"/>
                <w:b/>
                <w:color w:val="000000"/>
                <w:sz w:val="16"/>
                <w:szCs w:val="16"/>
              </w:rPr>
              <w:instrText>²</w:instrText>
            </w:r>
            <w:r w:rsidR="006739B2">
              <w:rPr>
                <w:rFonts w:ascii="Times New Roman" w:hAnsi="Times New Roman" w:hint="eastAsia"/>
                <w:b/>
                <w:color w:val="000000"/>
                <w:sz w:val="16"/>
                <w:szCs w:val="16"/>
              </w:rPr>
              <w:instrText xml:space="preserve"> [2-h infusion], both d1, 8, 15, 22, 29, 36 q7w, plus C 50 mg/m</w:instrText>
            </w:r>
            <w:r w:rsidR="006739B2">
              <w:rPr>
                <w:rFonts w:ascii="Times New Roman" w:hAnsi="Times New Roman" w:hint="eastAsia"/>
                <w:b/>
                <w:color w:val="000000"/>
                <w:sz w:val="16"/>
                <w:szCs w:val="16"/>
              </w:rPr>
              <w:instrText>²</w:instrText>
            </w:r>
            <w:r w:rsidR="006739B2">
              <w:rPr>
                <w:rFonts w:ascii="Times New Roman" w:hAnsi="Times New Roman" w:hint="eastAsia"/>
                <w:b/>
                <w:color w:val="000000"/>
                <w:sz w:val="16"/>
                <w:szCs w:val="16"/>
              </w:rPr>
              <w:instrText xml:space="preserve"> [1-h infusion], d1, 15, 29 q7w). C was omitted in FLC Cycle 4. Treatment was st</w:instrText>
            </w:r>
            <w:r w:rsidR="006739B2">
              <w:rPr>
                <w:rFonts w:ascii="Times New Roman" w:hAnsi="Times New Roman"/>
                <w:b/>
                <w:color w:val="000000"/>
                <w:sz w:val="16"/>
                <w:szCs w:val="16"/>
              </w:rPr>
              <w:instrText>opped in the event of disease progression, intolerable toxicity, or consent withdrawal. Tumors were staged on D 40, 85, 135, and 190. The study endpoints were time to progression (primary) and toxicity, response rate, quality of life, and overall survival (secondary). Results: At 12 months? follow-up, of 273 randomly assigned pts preliminary data are available for 235 pts (DC: 112, FLC: 123; median age 62 [range: 32?74] years; median KPS 80% [range: 60?100%]. Baseline characteristics were similar in both arms. Median cycles administered were 5 (DC) and 2 (FLC). The ORR (PR+CR) was 29.5% for DC and 29,3% for FLC. Median time to progression was 6.3 months (DC) and 6.6 months (FLC). Median overall survival time was 9.4 months for DC and 10.2 months for FLC. The most relevant grade 3 and 4 events per patient included neutropenia (DC = 41.1%; FLC = 12.2%) and GI (DC: 19.6%; FLC: 28.5%). Conclusions: Both regimens were active. No significant differences in the examined parameters were observed. DC was well tolerated with a predictable toxicity profile. Author Disclosure Employment or Leadership Consultant or Advisory Role Stock Ownership Honoraria Research Expert Testimony Other Remuneration Merck, Roche, sanofi-aventis","author":[{"dropping-particle":"","family":"Ridwelski","given":"K","non-dropping-particle":"","parse-names":false,"suffix":""},{"dropping-particle":"","family":"Fahlke","given":"J","non-dropping-particle":"","parse-names":false,"suffix":""},{"dropping-particle":"","family":"Kettner","given":"E","non-dropping-particle":"","parse-names":false,"suffix":""},{"dropping-particle":"","family":"Schmidt","given":"C","non-dropping-particle":"","parse-names":false,"suffix":""},{"dropping-particle":"","family":"Keilholz","given":"U","non-dropping-particle":"","parse-names":false,"suffix":""},{"dropping-particle":"","family":"Quietzsch","given":"D","non-dropping-particle":"","parse-names":false,"suffix":""},{"dropping-particle":"","family":"Assmann","given":"M","non-dropping-particle":"","parse-names":false,"suffix":""},{"dropping-particle":"","family":"Stauch","given":"M","non-dropping-particle":"","parse-names":false,"suffix":""},{"dropping-particle":"","family":"Zierau","given":"K","non-dropping-particle":"","parse-names":false,"suffix":""},{"dropping-particle":"","family":"Lippert","given":"H","non-dropping-particle":"","parse-names":false,"suffix":""}],"container-title":"Journal of Clinical Oncology","id":"ITEM-1","issue":"15_suppl","issued":{"date-parts":[["2008","5","20"]]},"note":"doi: 10.1200/jco.2008.26.15_suppl.4512","page":"4512","publisher":"American Society of Clinical Oncology","title":"Docetaxel-cisplatin (DC) versus 5-fluorouracil-leucovorin-cisplatin (FLC) as first-line treatment for locally advanced or metastatic gastric cancer: Preliminary results of a phase III study","type":"article-journal","volume":"26"},"uris":["http://www.mendeley.com/documents/?uuid=f0c4ac05-9572-46a3-b304-fb0661693126"]}],"mendeley":{"formattedCitation":"[30]","plainTextFormattedCitation":"[30]","previouslyFormattedCitation":"[30]"},"properties":{"noteIndex":0},"schema":"https://github.com/citation-style-language/schema/raw/master/csl-citation.json"}</w:instrText>
            </w:r>
            <w:r w:rsidRPr="007D2E2F">
              <w:rPr>
                <w:rFonts w:ascii="Times New Roman" w:hAnsi="Times New Roman"/>
                <w:color w:val="000000"/>
                <w:sz w:val="16"/>
                <w:szCs w:val="16"/>
              </w:rPr>
              <w:fldChar w:fldCharType="separate"/>
            </w:r>
            <w:r w:rsidR="006739B2" w:rsidRPr="006739B2">
              <w:rPr>
                <w:rFonts w:ascii="Times New Roman" w:hAnsi="Times New Roman"/>
                <w:noProof/>
                <w:color w:val="000000"/>
                <w:sz w:val="16"/>
                <w:szCs w:val="16"/>
              </w:rPr>
              <w:t>[30]</w:t>
            </w:r>
            <w:r w:rsidRPr="007D2E2F">
              <w:rPr>
                <w:rFonts w:ascii="Times New Roman" w:hAnsi="Times New Roman"/>
                <w:color w:val="000000"/>
                <w:sz w:val="16"/>
                <w:szCs w:val="16"/>
              </w:rPr>
              <w:fldChar w:fldCharType="end"/>
            </w:r>
          </w:p>
        </w:tc>
        <w:tc>
          <w:tcPr>
            <w:tcW w:w="456" w:type="dxa"/>
            <w:shd w:val="clear" w:color="auto" w:fill="auto"/>
            <w:noWrap/>
          </w:tcPr>
          <w:p w14:paraId="752B4A6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rPr>
              <w:t>133</w:t>
            </w:r>
          </w:p>
        </w:tc>
        <w:tc>
          <w:tcPr>
            <w:tcW w:w="1708" w:type="dxa"/>
            <w:gridSpan w:val="2"/>
            <w:shd w:val="clear" w:color="auto" w:fill="auto"/>
            <w:noWrap/>
          </w:tcPr>
          <w:p w14:paraId="18D34B5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rPr>
              <w:t>Cis+DTX</w:t>
            </w:r>
          </w:p>
        </w:tc>
        <w:tc>
          <w:tcPr>
            <w:tcW w:w="1322" w:type="dxa"/>
            <w:shd w:val="clear" w:color="auto" w:fill="auto"/>
            <w:noWrap/>
          </w:tcPr>
          <w:p w14:paraId="7CFEC36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NA</w:t>
            </w:r>
          </w:p>
        </w:tc>
        <w:tc>
          <w:tcPr>
            <w:tcW w:w="1623" w:type="dxa"/>
            <w:gridSpan w:val="2"/>
            <w:shd w:val="clear" w:color="auto" w:fill="auto"/>
            <w:noWrap/>
          </w:tcPr>
          <w:p w14:paraId="549AAB4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NA</w:t>
            </w:r>
          </w:p>
        </w:tc>
        <w:tc>
          <w:tcPr>
            <w:tcW w:w="1379" w:type="dxa"/>
            <w:shd w:val="clear" w:color="auto" w:fill="auto"/>
            <w:noWrap/>
          </w:tcPr>
          <w:p w14:paraId="4CAA3FA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NA</w:t>
            </w:r>
          </w:p>
        </w:tc>
        <w:tc>
          <w:tcPr>
            <w:tcW w:w="797" w:type="dxa"/>
            <w:shd w:val="clear" w:color="auto" w:fill="auto"/>
            <w:noWrap/>
          </w:tcPr>
          <w:p w14:paraId="3A59AB1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NA</w:t>
            </w:r>
          </w:p>
        </w:tc>
      </w:tr>
      <w:tr w:rsidR="00B61A3A" w:rsidRPr="007D2E2F" w14:paraId="5086DCA5" w14:textId="77777777" w:rsidTr="00B61A3A">
        <w:trPr>
          <w:trHeight w:val="255"/>
        </w:trPr>
        <w:tc>
          <w:tcPr>
            <w:tcW w:w="2552" w:type="dxa"/>
            <w:shd w:val="clear" w:color="auto" w:fill="auto"/>
            <w:noWrap/>
          </w:tcPr>
          <w:p w14:paraId="120B93FD" w14:textId="3DA8B5D3"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hAnsi="Times New Roman"/>
                <w:b/>
                <w:color w:val="000000"/>
                <w:sz w:val="16"/>
                <w:szCs w:val="16"/>
              </w:rPr>
              <w:t xml:space="preserve">Jeung 2011 </w:t>
            </w:r>
            <w:r w:rsidRPr="007D2E2F">
              <w:rPr>
                <w:rFonts w:ascii="Times New Roman" w:hAnsi="Times New Roman"/>
                <w:color w:val="000000"/>
                <w:sz w:val="16"/>
                <w:szCs w:val="16"/>
              </w:rPr>
              <w:fldChar w:fldCharType="begin" w:fldLock="1"/>
            </w:r>
            <w:r w:rsidR="006739B2">
              <w:rPr>
                <w:rFonts w:ascii="Times New Roman" w:hAnsi="Times New Roman"/>
                <w:b/>
                <w:color w:val="000000"/>
                <w:sz w:val="16"/>
                <w:szCs w:val="16"/>
              </w:rPr>
              <w:instrText>ADDIN CSL_CITATION {"citationItems":[{"id":"ITEM-1","itemData":{"DOI":"10.1002/cncr.25729","ISSN":"0008-543X","PMID":"21523716","abstract":"BACKGROUND: The purpose of this study was to compare 2 weekly docetaxel-based regimens as first-line treatments for advanced gastric cancer and to investigate the expression of secreted protein acidic and rich in cysteine (SPARC) and its abilities to predict treatment-related clinical outcomes.\n\nMETHODS: Patients were randomly selected to receive 3 weekly cycles of docetaxel (35 mg/m(2) on days 1 and 8) plus S-1 (35 mg/m(2) each twice daily on days 1-14) (DS), or docetaxel plus cisplatin (35 mg/m(2) each on days 1 and 8) (DC). Endpoints included overall response rate (primary), survival, toxicity, and quality of life (secondary). SPARC expression in prechemotherapy specimens of primary gastric tumors was evaluated via immunohistochemical analysis.\n\nRESULTS: Eighty patients were enrolled in the study. Confirmed overall response rates were 46% (95% confidence interv</w:instrText>
            </w:r>
            <w:r w:rsidR="006739B2">
              <w:rPr>
                <w:rFonts w:ascii="Times New Roman" w:hAnsi="Times New Roman" w:hint="eastAsia"/>
                <w:b/>
                <w:color w:val="000000"/>
                <w:sz w:val="16"/>
                <w:szCs w:val="16"/>
              </w:rPr>
              <w:instrText xml:space="preserve">al, 30%-62%) for DS and 24% (95% confidence interval, 11%-38%) for DC via intent-to-treat analysis. Median progression-free survival was 7.3 and 4.9 months and overall survival was 16.0 and 8.3 months for DS and DC, respectively. The most common grade </w:instrText>
            </w:r>
            <w:r w:rsidR="006739B2">
              <w:rPr>
                <w:rFonts w:ascii="Times New Roman" w:hAnsi="Times New Roman" w:hint="eastAsia"/>
                <w:b/>
                <w:color w:val="000000"/>
                <w:sz w:val="16"/>
                <w:szCs w:val="16"/>
              </w:rPr>
              <w:instrText>≥</w:instrText>
            </w:r>
            <w:r w:rsidR="006739B2">
              <w:rPr>
                <w:rFonts w:ascii="Times New Roman" w:hAnsi="Times New Roman" w:hint="eastAsia"/>
                <w:b/>
                <w:color w:val="000000"/>
                <w:sz w:val="16"/>
                <w:szCs w:val="16"/>
              </w:rPr>
              <w:instrText xml:space="preserve"> 3 toxicity was neutropenia. Grade </w:instrText>
            </w:r>
            <w:r w:rsidR="006739B2">
              <w:rPr>
                <w:rFonts w:ascii="Times New Roman" w:hAnsi="Times New Roman" w:hint="eastAsia"/>
                <w:b/>
                <w:color w:val="000000"/>
                <w:sz w:val="16"/>
                <w:szCs w:val="16"/>
              </w:rPr>
              <w:instrText>≥</w:instrText>
            </w:r>
            <w:r w:rsidR="006739B2">
              <w:rPr>
                <w:rFonts w:ascii="Times New Roman" w:hAnsi="Times New Roman" w:hint="eastAsia"/>
                <w:b/>
                <w:color w:val="000000"/>
                <w:sz w:val="16"/>
                <w:szCs w:val="16"/>
              </w:rPr>
              <w:instrText xml:space="preserve"> 3 mucositis (18%) and hand-foot syndrome (8%) were the toxicities most associated with DS, whereas anorexia (20%) and lethargy (20%) were more common with DC. High SPARC expression was related to early progression (hazar</w:instrText>
            </w:r>
            <w:r w:rsidR="006739B2">
              <w:rPr>
                <w:rFonts w:ascii="Times New Roman" w:hAnsi="Times New Roman"/>
                <w:b/>
                <w:color w:val="000000"/>
                <w:sz w:val="16"/>
                <w:szCs w:val="16"/>
              </w:rPr>
              <w:instrText>d ratio, 3.67; P = .042) and poor overall survival (hazard ratio, 2.01; P = .010) in docetaxel chemotherapy on multivariate analysis.\n\nCONCLUSIONS: The outcomes in this study favored DS over DC for further phase 3 study. The findings suggest that split-dose weekly docetaxel alleviates hematological toxicity without compromising efficacy, and that SPARC expression may help individualize therapy in advanced gastric cancer.","author":[{"dropping-particle":"","family":"Jeung","given":"Hei-Cheul","non-dropping-particle":"","parse-names":false,"suffix":""},{"dropping-particle":"","family":"Rha","given":"Sun Young","non-dropping-particle":"","parse-names":false,"suffix":""},{"dropping-particle":"","family":"Im","given":"Chong Kun","non-dropping-particle":"","parse-names":false,"suffix":""},{"dropping-particle":"","family":"Shin","given":"Sang Joon","non-dropping-particle":"","parse-names":false,"suffix":""},{"dropping-particle":"","family":"Ahn","given":"Joong Bae","non-dropping-particle":"","parse-names":false,"suffix":""},{"dropping-particle":"","family":"Yang","given":"Woo Ick","non-dropping-particle":"","parse-names":false,"suffix":""},{"dropping-particle":"","family":"Roh","given":"Jae Kyung","non-dropping-particle":"","parse-names":false,"suffix":""},{"dropping-particle":"","family":"Noh","given":"Sung Hoon","non-dropping-particle":"","parse-names":false,"suffix":""},{"dropping-particle":"","family":"Chung","given":"Hyun Cheol","non-dropping-particle":"","parse-names":false,"suffix":""}],"container-title":"Cancer","id":"ITEM-1","issue":"10","issued":{"date-parts":[["2011","5","15"]]},"page":"2050-7","title":"A randomized phase 2 study of docetaxel and S-1 versus docetaxel and cisplatin in advanced gastric cancer with an evaluation of SPARC expression for personalized therapy.","type":"article-journal","volume":"117"},"uris":["http://www.mendeley.com/documents/?uuid=9601ce59-51a3-4ad4-9fd8-9e145bf9ed94"]}],"mendeley":{"formattedCitation":"[56]","plainTextFormattedCitation":"[56]","previouslyFormattedCitation":"[56]"},"properties":{"noteIndex":0},"schema":"https://github.com/citation-style-language/schema/raw/master/csl-citation.json"}</w:instrText>
            </w:r>
            <w:r w:rsidRPr="007D2E2F">
              <w:rPr>
                <w:rFonts w:ascii="Times New Roman" w:hAnsi="Times New Roman"/>
                <w:color w:val="000000"/>
                <w:sz w:val="16"/>
                <w:szCs w:val="16"/>
              </w:rPr>
              <w:fldChar w:fldCharType="separate"/>
            </w:r>
            <w:r w:rsidR="006739B2" w:rsidRPr="006739B2">
              <w:rPr>
                <w:rFonts w:ascii="Times New Roman" w:hAnsi="Times New Roman"/>
                <w:noProof/>
                <w:color w:val="000000"/>
                <w:sz w:val="16"/>
                <w:szCs w:val="16"/>
              </w:rPr>
              <w:t>[56]</w:t>
            </w:r>
            <w:r w:rsidRPr="007D2E2F">
              <w:rPr>
                <w:rFonts w:ascii="Times New Roman" w:hAnsi="Times New Roman"/>
                <w:color w:val="000000"/>
                <w:sz w:val="16"/>
                <w:szCs w:val="16"/>
              </w:rPr>
              <w:fldChar w:fldCharType="end"/>
            </w:r>
          </w:p>
        </w:tc>
        <w:tc>
          <w:tcPr>
            <w:tcW w:w="456" w:type="dxa"/>
            <w:shd w:val="clear" w:color="auto" w:fill="auto"/>
            <w:noWrap/>
          </w:tcPr>
          <w:p w14:paraId="6138FFE3"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rPr>
              <w:t>41</w:t>
            </w:r>
          </w:p>
        </w:tc>
        <w:tc>
          <w:tcPr>
            <w:tcW w:w="1708" w:type="dxa"/>
            <w:gridSpan w:val="2"/>
            <w:shd w:val="clear" w:color="auto" w:fill="auto"/>
            <w:noWrap/>
          </w:tcPr>
          <w:p w14:paraId="62BDA36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hAnsi="Times New Roman"/>
                <w:color w:val="000000"/>
                <w:sz w:val="16"/>
                <w:szCs w:val="16"/>
              </w:rPr>
              <w:t>Cis+DTX</w:t>
            </w:r>
          </w:p>
        </w:tc>
        <w:tc>
          <w:tcPr>
            <w:tcW w:w="1322" w:type="dxa"/>
            <w:shd w:val="clear" w:color="auto" w:fill="auto"/>
            <w:noWrap/>
          </w:tcPr>
          <w:p w14:paraId="2032442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28 (74)</w:t>
            </w:r>
          </w:p>
        </w:tc>
        <w:tc>
          <w:tcPr>
            <w:tcW w:w="1623" w:type="dxa"/>
            <w:gridSpan w:val="2"/>
            <w:shd w:val="clear" w:color="auto" w:fill="auto"/>
            <w:noWrap/>
          </w:tcPr>
          <w:p w14:paraId="436DDD5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60 (22-75)</w:t>
            </w:r>
          </w:p>
        </w:tc>
        <w:tc>
          <w:tcPr>
            <w:tcW w:w="1379" w:type="dxa"/>
            <w:shd w:val="clear" w:color="auto" w:fill="auto"/>
            <w:noWrap/>
          </w:tcPr>
          <w:p w14:paraId="68D23E6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38 (100)</w:t>
            </w:r>
          </w:p>
        </w:tc>
        <w:tc>
          <w:tcPr>
            <w:tcW w:w="797" w:type="dxa"/>
            <w:shd w:val="clear" w:color="auto" w:fill="auto"/>
            <w:noWrap/>
          </w:tcPr>
          <w:p w14:paraId="64B00A4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hAnsi="Times New Roman"/>
                <w:color w:val="000000"/>
                <w:sz w:val="16"/>
                <w:szCs w:val="16"/>
              </w:rPr>
              <w:t>6 (15)</w:t>
            </w:r>
          </w:p>
        </w:tc>
      </w:tr>
      <w:tr w:rsidR="00B61A3A" w:rsidRPr="001A6F97" w14:paraId="2BE268A9" w14:textId="77777777" w:rsidTr="00B61A3A">
        <w:trPr>
          <w:trHeight w:val="255"/>
        </w:trPr>
        <w:tc>
          <w:tcPr>
            <w:tcW w:w="2552" w:type="dxa"/>
            <w:shd w:val="clear" w:color="auto" w:fill="auto"/>
            <w:noWrap/>
          </w:tcPr>
          <w:p w14:paraId="60CB8F24" w14:textId="296218BB" w:rsidR="00B61A3A" w:rsidRPr="00F72E17"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hAnsi="Times New Roman"/>
                <w:b/>
                <w:color w:val="000000"/>
                <w:sz w:val="16"/>
                <w:szCs w:val="16"/>
              </w:rPr>
              <w:t xml:space="preserve">Sym 2014 </w:t>
            </w:r>
            <w:r w:rsidRPr="007D2E2F">
              <w:rPr>
                <w:rFonts w:ascii="Times New Roman" w:hAnsi="Times New Roman"/>
                <w:color w:val="000000"/>
                <w:sz w:val="16"/>
                <w:szCs w:val="16"/>
              </w:rPr>
              <w:fldChar w:fldCharType="begin" w:fldLock="1"/>
            </w:r>
            <w:r w:rsidR="006739B2">
              <w:rPr>
                <w:rFonts w:ascii="Times New Roman" w:hAnsi="Times New Roman"/>
                <w:b/>
                <w:color w:val="000000"/>
                <w:sz w:val="16"/>
                <w:szCs w:val="16"/>
              </w:rPr>
              <w:instrText>ADDIN CSL_CITATION {"citationItems":[{"id":"ITEM-1","itemData":{"DOI":"10.1007/s00280-012-2027-3","ISSN":"1432-0843","PMID":"23192279","abstract":"BACKGROUND: The aim of this study was to evaluate the efficacy of irinotecan (CPT-11) monotherapy and CPT-11 plus 5-fluorouracil (5-FU)/leucovorin (LV) combination (mFOLFIRI) as second-line treatment in patients with advanced gastric cancer (AGC).\n\nMETHODS: A total of 59 patients were randomly assigned to either CPT-11 (150 mg/m(2) iv on day 1) or mFOLFIRI (CPT-11 150 mg/m(2) plus LV 20 mg/m(2) on day 1 followed by 5-FU 2,000 mg/m(2) over 48 h), every 2 weeks. The primary end point was objective response rate (ORR).\n\nRESULTS: Following random assignment, 29 patients received CPT-11 and 30 patients mFOLFIRI. The ORR was 17.2 % [95 % confidence interval (CI) 3.4-30.9] and 20.0 % (95 % CI 5.6-34.3) for the CPT-11 and mFOLFIRI arms, respectively (P = 0.525). There was no significant difference in median progression-free survival: 2.2 months (95 % CI 0.2-4.3) for CPT-11 versus 3.0 months (95 % CI 2.0-3.7) for mFOLFIRI (P = 0.481) or in median overall survival: 5.8 months (95 % CI 3.0-8.7), compared with 6.7 months (95 % CI 5.3-8.2) (P = 0.514). Grade 3/4 toxicity was observed in 21 and 28 events in the CPT-11 and mFOLFIRI arms, respectively.\n\nCONCLUSIONS: Although this study had a small sample size and limited statistical power, CPT-11 monotherapy and mFOLFIRI appear to be equally active and tolerable as second-line chemotherapy for AGC. The addition of 5-FU/LV to CPT-11 did not significantly improve efficacy.","author":[{"dropping-particle":"","family":"Sym","given":"Sun Jin","non-dropping-particle":"","parse-names":false,"suffix":""},{"dropping-particle":"","family":"Hong","given":"Junshik","non-dropping-particle":"","parse-names":false,"suffix":""},{"dropping-particle":"","family":"Park","given":"Jinny","non-dropping-particle":"","parse-names":false,"suffix":""},{"dropping-particle":"","family":"Cho","given":"Eun Kyung","non-dropping-particle":"","parse-names":false,"suffix":""},{"dropping-particle":"","family":"Lee","given":"Jae Hoon","non-dropping-particle":</w:instrText>
            </w:r>
            <w:r w:rsidR="006739B2" w:rsidRPr="006739B2">
              <w:rPr>
                <w:rFonts w:ascii="Times New Roman" w:hAnsi="Times New Roman"/>
                <w:b/>
                <w:color w:val="000000"/>
                <w:sz w:val="16"/>
                <w:szCs w:val="16"/>
                <w:lang w:val="en-US"/>
              </w:rPr>
              <w:instrText>"","parse-names":false,"suffix":""},{"dropping-particle":"","family":"Park","given":"Yeon Ho","non-dropping-particle":"","parse-names":false,"suffix":""},{"dropping-particle":"","family":"Lee","given":"Woon Ki","non-dropping-particle":"","parse-names":false,"suffix":""},{"dropping-particle":"","family":"Chung","given":"Min","non-dropping-particle":"","parse-names":false,"suffix":""},{"dropping-particle":"","family":"Kim","given":"Hyung-Sik","non-dropping-particle":"","parse-names":false,"suffix":""},{"dropping-particle":"","family":"Park","given":"Se Hoon","non-dropping-particle":"","parse-names":false,"suffix":""},{"dropping-particle":"","family":"Shin","given":"Dong Bok","non-dropping-particle":"","parse-names":false,"suffix":""}],"container-title":"Cancer chemotherapy and pharmacology","id":"ITEM-1","issue":"2","issued":{"date-parts":[["2013","2"]]},"page":"481-8","title":"A randomized phase II study of biweekly irinotecan monotherapy or a combination of irinotecan plus 5-fluorouracil/leucovorin (mFOLFIRI) in patients with metastatic gastric adenocarcinoma refractory to or progressive after first-line chemotherapy.","type":"article-journal","volume":"71"},"uris":["http://www.mendeley.com/documents/?uuid=b29e456e-6bdc-495a-b9cb-b5f70ad6d000"]}],"mendeley":{"formattedCitation":"[57]","plainTextFormattedCitation":"[57]","previouslyFormattedCitation":"[57]"},"properties":{"noteIndex":0},"schema":"https://github.com/citation-style-language/schema/raw/master/csl-citation.json"}</w:instrText>
            </w:r>
            <w:r w:rsidRPr="007D2E2F">
              <w:rPr>
                <w:rFonts w:ascii="Times New Roman" w:hAnsi="Times New Roman"/>
                <w:color w:val="000000"/>
                <w:sz w:val="16"/>
                <w:szCs w:val="16"/>
              </w:rPr>
              <w:fldChar w:fldCharType="separate"/>
            </w:r>
            <w:r w:rsidR="006739B2" w:rsidRPr="006739B2">
              <w:rPr>
                <w:rFonts w:ascii="Times New Roman" w:hAnsi="Times New Roman"/>
                <w:noProof/>
                <w:color w:val="000000"/>
                <w:sz w:val="16"/>
                <w:szCs w:val="16"/>
                <w:lang w:val="en-US"/>
              </w:rPr>
              <w:t>[57]</w:t>
            </w:r>
            <w:r w:rsidRPr="007D2E2F">
              <w:rPr>
                <w:rFonts w:ascii="Times New Roman" w:hAnsi="Times New Roman"/>
                <w:color w:val="000000"/>
                <w:sz w:val="16"/>
                <w:szCs w:val="16"/>
              </w:rPr>
              <w:fldChar w:fldCharType="end"/>
            </w:r>
          </w:p>
        </w:tc>
        <w:tc>
          <w:tcPr>
            <w:tcW w:w="456" w:type="dxa"/>
            <w:shd w:val="clear" w:color="auto" w:fill="auto"/>
            <w:noWrap/>
          </w:tcPr>
          <w:p w14:paraId="7C3F32D0"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38</w:t>
            </w:r>
          </w:p>
        </w:tc>
        <w:tc>
          <w:tcPr>
            <w:tcW w:w="1708" w:type="dxa"/>
            <w:gridSpan w:val="2"/>
            <w:shd w:val="clear" w:color="auto" w:fill="auto"/>
            <w:noWrap/>
          </w:tcPr>
          <w:p w14:paraId="1F8D547E"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proofErr w:type="spellStart"/>
            <w:r w:rsidRPr="00F72E17">
              <w:rPr>
                <w:rFonts w:ascii="Times New Roman" w:hAnsi="Times New Roman"/>
                <w:color w:val="000000"/>
                <w:sz w:val="16"/>
                <w:szCs w:val="16"/>
                <w:lang w:val="en-US"/>
              </w:rPr>
              <w:t>Cis+DTX</w:t>
            </w:r>
            <w:proofErr w:type="spellEnd"/>
          </w:p>
        </w:tc>
        <w:tc>
          <w:tcPr>
            <w:tcW w:w="1322" w:type="dxa"/>
            <w:shd w:val="clear" w:color="auto" w:fill="auto"/>
            <w:noWrap/>
          </w:tcPr>
          <w:p w14:paraId="0BEF343A"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28 (74)</w:t>
            </w:r>
          </w:p>
        </w:tc>
        <w:tc>
          <w:tcPr>
            <w:tcW w:w="1623" w:type="dxa"/>
            <w:gridSpan w:val="2"/>
            <w:shd w:val="clear" w:color="auto" w:fill="auto"/>
            <w:noWrap/>
          </w:tcPr>
          <w:p w14:paraId="72B34F5D"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56 (35-74)</w:t>
            </w:r>
          </w:p>
        </w:tc>
        <w:tc>
          <w:tcPr>
            <w:tcW w:w="1379" w:type="dxa"/>
            <w:shd w:val="clear" w:color="auto" w:fill="auto"/>
            <w:noWrap/>
          </w:tcPr>
          <w:p w14:paraId="63F888C3"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21 (55)</w:t>
            </w:r>
          </w:p>
        </w:tc>
        <w:tc>
          <w:tcPr>
            <w:tcW w:w="797" w:type="dxa"/>
            <w:shd w:val="clear" w:color="auto" w:fill="auto"/>
            <w:noWrap/>
          </w:tcPr>
          <w:p w14:paraId="50A382EC"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5 (13)</w:t>
            </w:r>
          </w:p>
        </w:tc>
      </w:tr>
      <w:tr w:rsidR="00B61A3A" w:rsidRPr="001A6F97" w14:paraId="5FF13D38" w14:textId="77777777" w:rsidTr="00B61A3A">
        <w:trPr>
          <w:trHeight w:val="255"/>
        </w:trPr>
        <w:tc>
          <w:tcPr>
            <w:tcW w:w="4716" w:type="dxa"/>
            <w:gridSpan w:val="4"/>
            <w:shd w:val="clear" w:color="auto" w:fill="auto"/>
            <w:noWrap/>
            <w:hideMark/>
          </w:tcPr>
          <w:p w14:paraId="27D5D577" w14:textId="77777777" w:rsidR="00B61A3A" w:rsidRPr="00F72E17" w:rsidRDefault="00B61A3A" w:rsidP="00B61A3A">
            <w:pPr>
              <w:spacing w:before="240" w:line="360" w:lineRule="auto"/>
              <w:rPr>
                <w:rFonts w:ascii="Times New Roman" w:eastAsia="Times New Roman" w:hAnsi="Times New Roman"/>
                <w:sz w:val="16"/>
                <w:szCs w:val="16"/>
                <w:lang w:val="en-US"/>
              </w:rPr>
            </w:pPr>
            <w:r w:rsidRPr="00F72E17">
              <w:rPr>
                <w:rFonts w:ascii="Times New Roman" w:eastAsia="Times New Roman" w:hAnsi="Times New Roman"/>
                <w:sz w:val="16"/>
                <w:szCs w:val="16"/>
                <w:lang w:val="en-US"/>
              </w:rPr>
              <w:t>Non-Cisplatin based Fluoropyrimidine doublets</w:t>
            </w:r>
          </w:p>
        </w:tc>
        <w:tc>
          <w:tcPr>
            <w:tcW w:w="1322" w:type="dxa"/>
            <w:shd w:val="clear" w:color="auto" w:fill="auto"/>
            <w:noWrap/>
            <w:hideMark/>
          </w:tcPr>
          <w:p w14:paraId="516B074D"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623" w:type="dxa"/>
            <w:gridSpan w:val="2"/>
            <w:shd w:val="clear" w:color="auto" w:fill="auto"/>
            <w:noWrap/>
            <w:hideMark/>
          </w:tcPr>
          <w:p w14:paraId="12040358"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379" w:type="dxa"/>
            <w:shd w:val="clear" w:color="auto" w:fill="auto"/>
            <w:noWrap/>
            <w:hideMark/>
          </w:tcPr>
          <w:p w14:paraId="3F010FCD"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797" w:type="dxa"/>
            <w:shd w:val="clear" w:color="auto" w:fill="auto"/>
            <w:noWrap/>
            <w:hideMark/>
          </w:tcPr>
          <w:p w14:paraId="26C7F43B"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r>
      <w:tr w:rsidR="00B61A3A" w:rsidRPr="001A6F97" w14:paraId="779E5057" w14:textId="77777777" w:rsidTr="00B61A3A">
        <w:trPr>
          <w:trHeight w:val="255"/>
        </w:trPr>
        <w:tc>
          <w:tcPr>
            <w:tcW w:w="2552" w:type="dxa"/>
            <w:shd w:val="clear" w:color="auto" w:fill="auto"/>
            <w:noWrap/>
            <w:hideMark/>
          </w:tcPr>
          <w:p w14:paraId="44C6799D" w14:textId="77777777" w:rsidR="00B61A3A" w:rsidRPr="00F72E17" w:rsidRDefault="00B61A3A" w:rsidP="00B61A3A">
            <w:pPr>
              <w:spacing w:before="240" w:line="360" w:lineRule="auto"/>
              <w:rPr>
                <w:rFonts w:ascii="Times New Roman" w:eastAsia="Times New Roman" w:hAnsi="Times New Roman"/>
                <w:sz w:val="16"/>
                <w:szCs w:val="16"/>
                <w:u w:val="single"/>
                <w:lang w:val="en-US"/>
              </w:rPr>
            </w:pPr>
            <w:r w:rsidRPr="00F72E17">
              <w:rPr>
                <w:rFonts w:ascii="Times New Roman" w:eastAsia="Times New Roman" w:hAnsi="Times New Roman"/>
                <w:sz w:val="16"/>
                <w:szCs w:val="16"/>
                <w:u w:val="single"/>
                <w:lang w:val="en-US"/>
              </w:rPr>
              <w:t>5-FU+Irinotecan</w:t>
            </w:r>
          </w:p>
        </w:tc>
        <w:tc>
          <w:tcPr>
            <w:tcW w:w="456" w:type="dxa"/>
            <w:shd w:val="clear" w:color="auto" w:fill="auto"/>
            <w:noWrap/>
            <w:hideMark/>
          </w:tcPr>
          <w:p w14:paraId="0D3467EF" w14:textId="77777777" w:rsidR="00B61A3A" w:rsidRPr="00F72E17" w:rsidRDefault="00B61A3A" w:rsidP="00B61A3A">
            <w:pPr>
              <w:spacing w:before="240" w:line="360" w:lineRule="auto"/>
              <w:rPr>
                <w:rFonts w:ascii="Times New Roman" w:eastAsia="Times New Roman" w:hAnsi="Times New Roman"/>
                <w:sz w:val="16"/>
                <w:szCs w:val="16"/>
                <w:u w:val="single"/>
                <w:lang w:val="en-US"/>
              </w:rPr>
            </w:pPr>
          </w:p>
        </w:tc>
        <w:tc>
          <w:tcPr>
            <w:tcW w:w="1708" w:type="dxa"/>
            <w:gridSpan w:val="2"/>
            <w:shd w:val="clear" w:color="auto" w:fill="auto"/>
            <w:noWrap/>
            <w:hideMark/>
          </w:tcPr>
          <w:p w14:paraId="2E8404E1" w14:textId="77777777" w:rsidR="00B61A3A" w:rsidRPr="00F72E17" w:rsidRDefault="00B61A3A" w:rsidP="00B61A3A">
            <w:pPr>
              <w:spacing w:before="240" w:line="360" w:lineRule="auto"/>
              <w:rPr>
                <w:rFonts w:ascii="Times New Roman" w:eastAsia="Times New Roman" w:hAnsi="Times New Roman"/>
                <w:b/>
                <w:sz w:val="16"/>
                <w:szCs w:val="16"/>
                <w:u w:val="single"/>
                <w:lang w:val="en-US"/>
              </w:rPr>
            </w:pPr>
            <w:r w:rsidRPr="00F72E17">
              <w:rPr>
                <w:rFonts w:ascii="Times New Roman" w:eastAsia="Times New Roman" w:hAnsi="Times New Roman"/>
                <w:b/>
                <w:sz w:val="16"/>
                <w:szCs w:val="16"/>
                <w:u w:val="single"/>
                <w:lang w:val="en-US"/>
              </w:rPr>
              <w:t>FI</w:t>
            </w:r>
          </w:p>
        </w:tc>
        <w:tc>
          <w:tcPr>
            <w:tcW w:w="1322" w:type="dxa"/>
            <w:shd w:val="clear" w:color="auto" w:fill="auto"/>
            <w:noWrap/>
            <w:hideMark/>
          </w:tcPr>
          <w:p w14:paraId="19BC0967"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623" w:type="dxa"/>
            <w:gridSpan w:val="2"/>
            <w:shd w:val="clear" w:color="auto" w:fill="auto"/>
            <w:noWrap/>
            <w:hideMark/>
          </w:tcPr>
          <w:p w14:paraId="5DC169D7"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379" w:type="dxa"/>
            <w:shd w:val="clear" w:color="auto" w:fill="auto"/>
            <w:noWrap/>
            <w:hideMark/>
          </w:tcPr>
          <w:p w14:paraId="60064A80"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797" w:type="dxa"/>
            <w:shd w:val="clear" w:color="auto" w:fill="auto"/>
            <w:noWrap/>
            <w:hideMark/>
          </w:tcPr>
          <w:p w14:paraId="6C64F1D4"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r>
      <w:tr w:rsidR="00B61A3A" w:rsidRPr="007D2E2F" w14:paraId="4B984291" w14:textId="77777777" w:rsidTr="00B61A3A">
        <w:trPr>
          <w:trHeight w:val="255"/>
        </w:trPr>
        <w:tc>
          <w:tcPr>
            <w:tcW w:w="2552" w:type="dxa"/>
            <w:shd w:val="clear" w:color="auto" w:fill="auto"/>
            <w:noWrap/>
            <w:hideMark/>
          </w:tcPr>
          <w:p w14:paraId="0F7D2367" w14:textId="25F43953" w:rsidR="00B61A3A" w:rsidRPr="007D2E2F" w:rsidRDefault="00B61A3A" w:rsidP="00B61A3A">
            <w:pPr>
              <w:spacing w:before="240" w:line="360" w:lineRule="auto"/>
              <w:rPr>
                <w:rFonts w:ascii="Times New Roman" w:eastAsia="Times New Roman" w:hAnsi="Times New Roman"/>
                <w:b/>
                <w:color w:val="000000"/>
                <w:sz w:val="16"/>
                <w:szCs w:val="16"/>
              </w:rPr>
            </w:pPr>
            <w:proofErr w:type="spellStart"/>
            <w:r w:rsidRPr="00F72E17">
              <w:rPr>
                <w:rFonts w:ascii="Times New Roman" w:eastAsia="Times New Roman" w:hAnsi="Times New Roman"/>
                <w:b/>
                <w:color w:val="000000"/>
                <w:sz w:val="16"/>
                <w:szCs w:val="16"/>
                <w:lang w:val="en-US"/>
              </w:rPr>
              <w:t>Bouché</w:t>
            </w:r>
            <w:proofErr w:type="spellEnd"/>
            <w:r w:rsidRPr="00F72E17">
              <w:rPr>
                <w:rFonts w:ascii="Times New Roman" w:eastAsia="Times New Roman" w:hAnsi="Times New Roman"/>
                <w:b/>
                <w:color w:val="000000"/>
                <w:sz w:val="16"/>
                <w:szCs w:val="16"/>
                <w:lang w:val="en-US"/>
              </w:rPr>
              <w:t xml:space="preserve"> 2004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10.1200/JCO.2004.01.140","ISSN":"0732183X","author":[{"dropping-particle":"","family":"Bouché","given":"Olivier","non-dropping-particle":"","parse-names":false,"suffix":""},{"dropping-particle":"","family":"Raoul","given":"Jean Luc","non-dropping-particle":"","parse-names":false,"suffix":""},{"dropping-particle":"","family":"Bonnetain","given":"Franck","non-dropping-particle":"","parse-names":false,"suffix":""},{"dropping-particle":"","family":"Giovannini","given":"Marc","non-dropping-particle":"","parse-names":false,"suffix":""},{"dropping-particle":"","family":"Etienne","given":"Pierre Luc","non-dropping-particle":"","parse-names":false,"suffix":""},{"dropping-particle":"","family":"Lledo","given":"Gérard","non-dropping-particle":"","parse-names":false,"suffix":""},{"dropping-particle":"","family":"Arsène","given":"Dominique","non-dropping-particle":"","parse-names":false,"suffix":""},{"dropping-particle":"","family":"Paitel","given":"Jean Francois","non-dropping-particle":"","parse-names":false,"suffix":""},{"dropping-particle":"","family":"Guérin-Meyer","given":"Véronique","non-dropping-particle":"","parse-names":false,"suffix":""},{"dropping-particle":"","family":"Mitry","given":"Emmanuel","non-dropping-particle":"","parse-names":false,"suffix":""},{"dropping-particle":"","family":"Buecher","given":"Bruno","non-dropping-particle":"","parse-names":false,"suffix":""},{"dropping-particle":"","family":"Kaminsky","given":"Marie Christine","non-dropping-particle":"","parse-names":false,"suffix":""},{"dropping-particle":"","family":"Seitz","given":"Jean François","non-dropping-particle":"","parse-names":false,"suffix":""},{"dropping-particle":"","family":"Rangier","given":"Philippe","non-dropping-particle":"","parse-names":false,"suffix":""},{"dropping-particle":"","family":"Bedenne","given":"Laurent","non-dropping-particle":"","parse-names":false,"suffix":""},{"dropping-particle":"","family":"Milan","given":"Chantal","non-dropping-particle":"","parse-names":false,"suffix":""}],"container-title":"Journal of Clinical Oncology","id":"ITEM-1","issue":"21","issued":{"date-parts":[["2004"]]},"page":"4319-4328","title":"Randomized multicenter phase II trial of a biweekly regimen of fluorouracil and leucovorin (LV5FU2), LV5FU2 plus cisplatin, or LV5FU2 plus irinotecan in patients with previously untreated metastatic gastric cancer: A Fédération Francophone de Cancérologie","type":"article-journal","volume":"22"},"uris":["http://www.mendeley.com/documents/?uuid=012e2b10-1da7-44c8-9339-80f65d3cf38f"]}],"mendeley":{"formattedCitation":"[4]","plainTextFormattedCitation":"[4]","previouslyFormattedCitation":"[4]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w:t>
            </w:r>
            <w:r w:rsidRPr="007D2E2F">
              <w:rPr>
                <w:rFonts w:ascii="Times New Roman" w:eastAsia="Times New Roman" w:hAnsi="Times New Roman"/>
                <w:color w:val="000000"/>
                <w:sz w:val="16"/>
                <w:szCs w:val="16"/>
              </w:rPr>
              <w:fldChar w:fldCharType="end"/>
            </w:r>
            <w:r w:rsidRPr="007D2E2F">
              <w:rPr>
                <w:rFonts w:ascii="Times New Roman" w:eastAsia="Times New Roman" w:hAnsi="Times New Roman"/>
                <w:b/>
                <w:color w:val="000000"/>
                <w:sz w:val="16"/>
                <w:szCs w:val="16"/>
              </w:rPr>
              <w:t xml:space="preserve"> </w:t>
            </w:r>
          </w:p>
        </w:tc>
        <w:tc>
          <w:tcPr>
            <w:tcW w:w="456" w:type="dxa"/>
            <w:shd w:val="clear" w:color="auto" w:fill="auto"/>
            <w:noWrap/>
            <w:hideMark/>
          </w:tcPr>
          <w:p w14:paraId="4EC3DB6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w:t>
            </w:r>
          </w:p>
        </w:tc>
        <w:tc>
          <w:tcPr>
            <w:tcW w:w="1708" w:type="dxa"/>
            <w:gridSpan w:val="2"/>
            <w:shd w:val="clear" w:color="auto" w:fill="auto"/>
            <w:noWrap/>
            <w:hideMark/>
          </w:tcPr>
          <w:p w14:paraId="4AC4754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5FU/LV+Iri</w:t>
            </w:r>
          </w:p>
        </w:tc>
        <w:tc>
          <w:tcPr>
            <w:tcW w:w="1322" w:type="dxa"/>
            <w:shd w:val="clear" w:color="auto" w:fill="auto"/>
            <w:noWrap/>
            <w:hideMark/>
          </w:tcPr>
          <w:p w14:paraId="6DD3F87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38 (84)</w:t>
            </w:r>
          </w:p>
        </w:tc>
        <w:tc>
          <w:tcPr>
            <w:tcW w:w="1623" w:type="dxa"/>
            <w:gridSpan w:val="2"/>
            <w:shd w:val="clear" w:color="auto" w:fill="auto"/>
            <w:noWrap/>
            <w:hideMark/>
          </w:tcPr>
          <w:p w14:paraId="77F0A92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(37-76)</w:t>
            </w:r>
          </w:p>
        </w:tc>
        <w:tc>
          <w:tcPr>
            <w:tcW w:w="1379" w:type="dxa"/>
            <w:shd w:val="clear" w:color="auto" w:fill="auto"/>
            <w:noWrap/>
            <w:hideMark/>
          </w:tcPr>
          <w:p w14:paraId="6695290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 (100)</w:t>
            </w:r>
          </w:p>
        </w:tc>
        <w:tc>
          <w:tcPr>
            <w:tcW w:w="797" w:type="dxa"/>
            <w:shd w:val="clear" w:color="auto" w:fill="auto"/>
            <w:noWrap/>
            <w:hideMark/>
          </w:tcPr>
          <w:p w14:paraId="0354143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 (22)</w:t>
            </w:r>
          </w:p>
        </w:tc>
      </w:tr>
      <w:tr w:rsidR="00B61A3A" w:rsidRPr="007D2E2F" w14:paraId="67EFA10B" w14:textId="77777777" w:rsidTr="00B61A3A">
        <w:trPr>
          <w:trHeight w:val="255"/>
        </w:trPr>
        <w:tc>
          <w:tcPr>
            <w:tcW w:w="2552" w:type="dxa"/>
            <w:shd w:val="clear" w:color="auto" w:fill="auto"/>
            <w:noWrap/>
            <w:hideMark/>
          </w:tcPr>
          <w:p w14:paraId="2B3EA48C" w14:textId="6508649D"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Dank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{"citationItems":[{"id":"ITEM-1","itemData":{"DOI":"10.1093/annonc/mdn166","ISBN":"0923-7534","ISSN":"09237534","PMID":"18558665","abstract":"BACKGROUND: We aimed to establish the superiority (or noninferiority if superiority was not achieved) in terms of time to progression (TTP) of irinotecan/5-fluorouracil (IF) over cisplatin/5-fluorouracil (CF) in chemonaive patients with adenocarcinoma of the stomach/esophagogastric junction.\\n\\nPATIENTS AND METHODS: Patients received either IF: i.v. irinotecan 80 mg/m(2) 30 min, folinic acid 500 mg/m(2) 2 h, 5-fluorouracil (5-FU) 2000 mg/m(2) 22 h, for 6/7 weeks or CF: cisplatin 100 mg/m(2) 1-3 h, with 5-FU 1000 mg/m(2)/day 24 h, days 1-5, every 4 weeks.\\n\\nRESULTS: In all, 333 patients were randomized and treated (IF 170, CF 163). Patient characteristics were balanced except more IF patients had Karnofsky performance status 100%. TTP for IF was 5.0 months [95% confidence interval (CI) 3.8-5.8] and 4.2 months (95% CI 3.7-5.5) for CF (P = 0.088). Overall survival (OS) was 9.0 versus 8.7 months, response rate 31.8% versus 25.8%, time to treatment failure (TTF) 4.0 versus 3.4 months for IF and CF, respectively. The difference in TTF was statistically significant (P = 0.018). IF was better in terms of toxic deaths (0.6% versus 3%), discontinuation for toxicity (10.0% versus 21.5%), severe neutropenia, thrombocytopenia and stomatitis, but not diarrhea.\\n\\nCONCLUSION: IF did not yield a significant TTP or OS superiority over CF, and the results of noninferiority of IF were borderline. However, IF may provide a viable, platinum-free front-line treatment alternative for metastatic gastric cancer.","author":[{"dropping-particle":"","family":"Dank","given":"M.","non-dropping-particle":"","parse-names":false,"suffix":""},{"dropping-particle":"","family":"Zaluski","given":"J.","non-dropping-particle":"","parse-names":false,"suffix":""},{"dropping-particle":"","family":"Barone","given":"C.","non-dropping-particle":"","parse-names":false,"suffix":""},{"dropping-particle":"","family":"Valvere","given":"V.","non-dropping-particle":"","parse-names":false,"suffix":""},{"dropping-particle":"","family":"Yalcin","given":"S.","non-dropping-particle":"","parse-names":false,"suffix":""},{"dropping-particle":"","family":"Peschel","given":"C.","non-dropping-particle":"","parse-names":false,"suffix":""},{"dropping-particle":"","family":"Wenczl","given":"M.","non-dropping-particle":"","parse-names":false,"suffix":""},{"dropping-particle":"","family":"Goker","given":"E.","non-dropping-particle":"","parse-names":false,"suffix":""},{"dropping-particle":"","family":"Cisar","given":"L.","non-dropping-particle":"","parse-names":false,"suffix":""},{"dropping-particle":"","family":"Wang","given":"K.","non-dropping-particle":"","parse-names":false,"suffix":""},{"dropping-particle":"","family":"Bugat","given":"Ronald","non-dropping-particle":"","parse-names":false,"suffix":""}],"container-title":"Annals of Oncology","id":"ITEM-1","issue":"8","issued":{"date-parts":[["2008"]]},"page":"1450-1457","title":"Randomized phase III study comparing irinotecan combined with 5-fluorouracil and folinic acid to cisplatin combined with 5-fluorouracil in chemotherapy naive patients with advanced adenocarcinoma of the stomach or esophagogastric junction","type":"article-journal","volume":"19"},"uris":["http://www.mendeley.com/documents/?uuid=facbddd4-4150-425f-9ecb-3704e3150e19"]}],"mendeley":{"formattedCitation":"[26]","plainTextFormattedCitation":"[26]","previouslyFormattedCitation":"[26]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D3B609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170</w:t>
            </w:r>
          </w:p>
        </w:tc>
        <w:tc>
          <w:tcPr>
            <w:tcW w:w="1708" w:type="dxa"/>
            <w:gridSpan w:val="2"/>
            <w:shd w:val="clear" w:color="auto" w:fill="auto"/>
            <w:noWrap/>
            <w:hideMark/>
          </w:tcPr>
          <w:p w14:paraId="09F5FAA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5FU/LV+Iri</w:t>
            </w:r>
          </w:p>
        </w:tc>
        <w:tc>
          <w:tcPr>
            <w:tcW w:w="1322" w:type="dxa"/>
            <w:shd w:val="clear" w:color="auto" w:fill="auto"/>
            <w:noWrap/>
            <w:hideMark/>
          </w:tcPr>
          <w:p w14:paraId="3C9E3C3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125 (73)</w:t>
            </w:r>
          </w:p>
        </w:tc>
        <w:tc>
          <w:tcPr>
            <w:tcW w:w="1623" w:type="dxa"/>
            <w:gridSpan w:val="2"/>
            <w:shd w:val="clear" w:color="auto" w:fill="auto"/>
            <w:noWrap/>
            <w:hideMark/>
          </w:tcPr>
          <w:p w14:paraId="1D79493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58 (29-76)</w:t>
            </w:r>
          </w:p>
        </w:tc>
        <w:tc>
          <w:tcPr>
            <w:tcW w:w="1379" w:type="dxa"/>
            <w:shd w:val="clear" w:color="auto" w:fill="auto"/>
            <w:noWrap/>
            <w:hideMark/>
          </w:tcPr>
          <w:p w14:paraId="50F9F1F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163 (97)</w:t>
            </w:r>
          </w:p>
        </w:tc>
        <w:tc>
          <w:tcPr>
            <w:tcW w:w="797" w:type="dxa"/>
            <w:shd w:val="clear" w:color="auto" w:fill="auto"/>
            <w:noWrap/>
            <w:hideMark/>
          </w:tcPr>
          <w:p w14:paraId="1FC51CD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 (1)</w:t>
            </w:r>
          </w:p>
        </w:tc>
      </w:tr>
      <w:tr w:rsidR="00B61A3A" w:rsidRPr="007D2E2F" w14:paraId="5EA72047" w14:textId="77777777" w:rsidTr="00B61A3A">
        <w:trPr>
          <w:trHeight w:val="255"/>
        </w:trPr>
        <w:tc>
          <w:tcPr>
            <w:tcW w:w="2552" w:type="dxa"/>
            <w:shd w:val="clear" w:color="auto" w:fill="auto"/>
            <w:noWrap/>
            <w:hideMark/>
          </w:tcPr>
          <w:p w14:paraId="6F020D64" w14:textId="16E3E7A0"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Guimbaud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{"citationItems":[{"id":"ITEM-1","itemData":{"DOI":"10.1200/JCO.2013.54.1011","ISBN":"1527-7755 (Electronic)\\r0732-183X (Linking)","ISSN":"15277755","PMID":"25287828","abstract":"PURPOSE: To compare epirubicin, cisplatin, and capecitabine (ECX) with fluorouracil, leucovorin, and irinotecan (FOLFIRI) as first-line treatments in patients with advanced gastric or esophagogastric junction (EGJ) adenocarcinoma. PATIENTS AND METHODS: This open, randomized, phase III study was carried out in 71 centers. Patients with locally advanced or metastatic gastric or EGJ cancer were randomly assigned to receive either ECX as first-line treatment (ECX arm) or FOLFIRI (FOLFIRI arm). Second-line treatment was predefined (FOLFIRI for the ECX arm and ECX for the FOLFIRI arm). The primary criterion was time-to-treatment failure (TTF) of the first-line therapy. Secondary criteria were progression-free survival (PFS), overall survival (OS), toxicity, and quality of life. RESULTS: In all, 416 patients were included (median age, 61.4 years; 74% male). After a median follow-up of 31 months, median TTF was significantly longer with FOLFIRI than with ECX (5.1 v 4.2 months; P = .008). There was no significant difference between the two groups in median PFS (5.3 v 5.8 months; P = .96), median OS (9.5 v 9.7 months; P = .95), or response rate (39.2% v 37.8%). First-line FOLFIRI was better tolerated (overall rate of grade 3 to 4 toxicity, 69% v 84%; P &lt; .001; hematologic adverse events [AEs], 38% v 64.5%; P &lt; .001; nonhematologic AEs: 53% v 53.5%; P = .81). CONCLUSION: FOLFIRI as first-line treatment for advanced gastric and EGJ cancer demonstrated significantly better TTF than did ECX. Other outcome results indicate that FOLFIRI is an acceptable first-line regimen in this setting and should be explored as a backbone regimen for targeted agents.","author":[{"dropping-particle":"","family":"Guimbaud","given":"Rosine","non-dropping-particle":"","parse-names":false,"suffix":""},{"dropping-particle":"","family":"Louvet","given":"Christophe","non-dropping-particle":"","parse-names":false,"suffix":""},{"dropping-particle":"","family":"Ries","given":"Pauline","non-dropping-particle":"","parse-names":false,"suffix":""},{"dropping-particle":"","family":"Ychou","given":"Marc","non-dropping-particle":"","parse-names":false,"suffix":""},{"dropping-particle":"","family":"Maillard","given":"Emilie","non-dropping-particle":"","parse-names":false,"suffix":""},{"dropping-particle":"","family":"André","given":"Thierry","non-dropping-particle":"","parse-names":false,"suffix":""},{"dropping-particle":"","family":"Gornet","given":"Jean Marc","non-dropping-particle":"","parse-names":false,"suffix":""},{"dropping-particle":"","family":"Aparicio","given":"Thomas","non-dropping-particle":"","parse-names":false,"suffix":""},{"dropping-particle":"","family":"Nguyen","given":"Suzanne","non-dropping-particle":"","parse-names":false,"suffix":""},{"dropping-particle":"","family":"Azzedine","given":"Ahmed","non-dropping-particle":"","parse-names":false,"suffix":""},{"dropping-particle":"","family":"Etienne","given":"Pierre Luc","non-dropping-particle":"","parse-names":false,"suffix":""},{"dropping-particle":"","family":"Boucher","given":"Eveline","non-dropping-particle":"","parse-names":false,"suffix":""},{"dropping-particle":"","family":"Rebischung","given":"Christine","non-dropping-particle":"","parse-names":false,"suffix":""},{"dropping-particle":"","family":"Hammel","given":"Pascal","non-dropping-particle":"","parse-names":false,"suffix":""},{"dropping-particle":"","family":"Rougier","given":"Philippe","non-dropping-particle":"","parse-names":false,"suffix":""},{"dropping-particle":"","family":"Bedenne","given":"Laurent","non-dropping-particle":"","parse-names":false,"suffix":""},{"dropping-particle":"","family":"Bouché","given":"Olivier","non-dropping-particle":"","parse-names":false,"suffix":""}],"container-title":"Journal of Clinical Oncology","id":"ITEM-1","issue":"31","issued":{"date-parts":[["2014"]]},"page":"3520-3526","title":"Prospective, randomized, multicenter, phase III study of fluorouracil, leucovorin, and irinotecan versus epirubicin, cisplatin, and capecitabine in advanced gastric adenocarcinoma: A French intergroup (Fédération Francophone de Cancérologie Digestive, Féd","type":"article-journal","volume":"32"},"uris":["http://www.mendeley.com/documents/?uuid=d90173de-628f-462e-9b79-90fc0ec386c2"]}],"mendeley":{"formattedCitation":"[58]","plainTextFormattedCitation":"[58]","previouslyFormattedCitation":"[58]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[58]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3CC8B2D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203</w:t>
            </w:r>
          </w:p>
        </w:tc>
        <w:tc>
          <w:tcPr>
            <w:tcW w:w="1708" w:type="dxa"/>
            <w:gridSpan w:val="2"/>
            <w:shd w:val="clear" w:color="auto" w:fill="auto"/>
            <w:noWrap/>
            <w:hideMark/>
          </w:tcPr>
          <w:p w14:paraId="7A8178C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5FU/LV+Iri</w:t>
            </w:r>
          </w:p>
        </w:tc>
        <w:tc>
          <w:tcPr>
            <w:tcW w:w="1322" w:type="dxa"/>
            <w:shd w:val="clear" w:color="auto" w:fill="auto"/>
            <w:noWrap/>
            <w:hideMark/>
          </w:tcPr>
          <w:p w14:paraId="5404787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155 (75)</w:t>
            </w:r>
          </w:p>
        </w:tc>
        <w:tc>
          <w:tcPr>
            <w:tcW w:w="1623" w:type="dxa"/>
            <w:gridSpan w:val="2"/>
            <w:shd w:val="clear" w:color="auto" w:fill="auto"/>
            <w:noWrap/>
            <w:hideMark/>
          </w:tcPr>
          <w:p w14:paraId="4A8E29F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61 (29-81)</w:t>
            </w:r>
          </w:p>
        </w:tc>
        <w:tc>
          <w:tcPr>
            <w:tcW w:w="1379" w:type="dxa"/>
            <w:shd w:val="clear" w:color="auto" w:fill="auto"/>
            <w:noWrap/>
            <w:hideMark/>
          </w:tcPr>
          <w:p w14:paraId="4AEE016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176 (85)</w:t>
            </w:r>
          </w:p>
        </w:tc>
        <w:tc>
          <w:tcPr>
            <w:tcW w:w="797" w:type="dxa"/>
            <w:shd w:val="clear" w:color="auto" w:fill="auto"/>
            <w:noWrap/>
            <w:hideMark/>
          </w:tcPr>
          <w:p w14:paraId="27B8266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27 (13)</w:t>
            </w:r>
          </w:p>
        </w:tc>
      </w:tr>
      <w:tr w:rsidR="00B61A3A" w:rsidRPr="007D2E2F" w14:paraId="47940FDA" w14:textId="77777777" w:rsidTr="00B61A3A">
        <w:trPr>
          <w:trHeight w:val="255"/>
        </w:trPr>
        <w:tc>
          <w:tcPr>
            <w:tcW w:w="2552" w:type="dxa"/>
            <w:shd w:val="clear" w:color="auto" w:fill="auto"/>
            <w:noWrap/>
            <w:hideMark/>
          </w:tcPr>
          <w:p w14:paraId="4C8E2739" w14:textId="52F5A38D"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Park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{"citationItems":[{"id":"ITEM-1","itemData":{"DOI":"10.1093/annonc/mdm502","ISSN":"1569-8041","PMID":"18083691","abstract":"BACKGROUND: Irinotecan, in combination with 5-fluorouracil (5-FU) or cisplatin, has demonstrated efficacy against advanced gastric cancer (AGC).\n\nPATIENTS AND METHODS: Chemotherapy-naive AGC patients were randomly assigned to receive irinotecan 150 mg/m(2) on day 1, leucovorin 20 mg/m(2) and a 22-h infusion of 5-FU 1000 mg/m(2) on days 1 and 2 (ILF) or ILF plus cisplatin 30 mg/m(2) on day 2 (PILF). Treatment was repeated every 2 weeks.\n\nRESULTS: Of 91 registered patients, 45 patients were treated with ILF and 45 with PILF. For both arms, 687 chemotherapy cycles were delivered (median = 7 for ILF and 8 for PILF). Both ILF and PILF were generally well tolerated and there was no relevant difference in the occurrence of overall grade 3/4 toxic effects between the two arms. Four patients died during treatment: one in the ILF and three in the PILF arm. The objective response rate was 42% for both arms. There was no significant difference in therapeutic efficacy between ILF and PILF with respect to progression-free survival (4.8 versus 6.2 months; P = 0.523) and overall survival (10.7 versus 10.5 months; P = 0.850).\n\nCONCLUSION: Both ILF and PILF are active as first-line chemotherapy for AGC. The addition of cisplatin, however, has no clear advantage over ILF.","author":[{"dropping-particle":"","family":"Park","given":"S H","non-dropping-particle":"","parse-names":false,"suffix":""},{"dropping-particle":"","family":"Nam","given":"E","non-dropping-particle":"","parse-names":false,"suffix":""},{"dropping-particle":"","family":"Park","given":"J","non-dropping-particle":"","parse-names":false,"suffix":""},{"dropping-particle":"","family":"Cho","given":"E K","non-dropping-particle":"","parse-names":false,"suffix":""},{"dropping-particle":"","family":"Shin","given":"D B","non-dropping-particle":"","parse-names":false,"suffix":""},{"dropping-particle":"","family":"Lee","given":"J H","non-dropping-particle":"","parse-names":false,"suffix":""},{"dropping-particle":"","family":"Lee","given":"W K","non-dropping-particle":"","parse-names":false,"suffix":""},{"dropping-particle":"","family":"Chung","given":"M","non-dropping-particle":"","parse-names":false,"suffix":""},{"dropping-particle":"","family":"Lee","given":"S I","non-dropping-particle":"","parse-names":false,"suffix":""}],"container-title":"Annals of oncology : official journal of the European Society for Medical Oncology / ESMO","id":"ITEM-1","issue":"4","issued":{"date-parts":[["2008","4"]]},"page":"729-33","title":"Randomized phase II study of irinotecan, leucovorin and 5-fluorouracil (ILF) versus cisplatin plus ILF (PILF) combination chemotherapy for advanced gastric cancer.","type":"article-journal","volume":"19"},"uris":["http://www.mendeley.com/documents/?uuid=198c0a6a-c22e-410d-bdc6-89ddc1c05e83"]}],"mendeley":{"formattedCitation":"[59]","plainTextFormattedCitation":"[59]","previouslyFormattedCitation":"[59]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[59]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48390F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w:t>
            </w:r>
          </w:p>
        </w:tc>
        <w:tc>
          <w:tcPr>
            <w:tcW w:w="1708" w:type="dxa"/>
            <w:gridSpan w:val="2"/>
            <w:shd w:val="clear" w:color="auto" w:fill="auto"/>
            <w:noWrap/>
            <w:hideMark/>
          </w:tcPr>
          <w:p w14:paraId="465D5D13"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5FU/LV+Iri</w:t>
            </w:r>
          </w:p>
        </w:tc>
        <w:tc>
          <w:tcPr>
            <w:tcW w:w="1322" w:type="dxa"/>
            <w:shd w:val="clear" w:color="auto" w:fill="auto"/>
            <w:noWrap/>
            <w:hideMark/>
          </w:tcPr>
          <w:p w14:paraId="06C879B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 (65)</w:t>
            </w:r>
          </w:p>
        </w:tc>
        <w:tc>
          <w:tcPr>
            <w:tcW w:w="1623" w:type="dxa"/>
            <w:gridSpan w:val="2"/>
            <w:shd w:val="clear" w:color="auto" w:fill="auto"/>
            <w:noWrap/>
            <w:hideMark/>
          </w:tcPr>
          <w:p w14:paraId="53F25D3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55 (26-73)</w:t>
            </w:r>
          </w:p>
        </w:tc>
        <w:tc>
          <w:tcPr>
            <w:tcW w:w="1379" w:type="dxa"/>
            <w:shd w:val="clear" w:color="auto" w:fill="auto"/>
            <w:noWrap/>
            <w:hideMark/>
          </w:tcPr>
          <w:p w14:paraId="13EDD00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13 (29)</w:t>
            </w:r>
          </w:p>
        </w:tc>
        <w:tc>
          <w:tcPr>
            <w:tcW w:w="797" w:type="dxa"/>
            <w:shd w:val="clear" w:color="auto" w:fill="auto"/>
            <w:noWrap/>
            <w:hideMark/>
          </w:tcPr>
          <w:p w14:paraId="2551A0D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 (24)</w:t>
            </w:r>
          </w:p>
        </w:tc>
      </w:tr>
      <w:tr w:rsidR="00B61A3A" w:rsidRPr="001A6F97" w14:paraId="6108C6FA" w14:textId="77777777" w:rsidTr="00B61A3A">
        <w:trPr>
          <w:trHeight w:val="255"/>
        </w:trPr>
        <w:tc>
          <w:tcPr>
            <w:tcW w:w="2552" w:type="dxa"/>
            <w:shd w:val="clear" w:color="auto" w:fill="auto"/>
            <w:noWrap/>
            <w:hideMark/>
          </w:tcPr>
          <w:p w14:paraId="1630FD6F" w14:textId="06AE1DAF" w:rsidR="00B61A3A" w:rsidRPr="00022291"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Pozzo 2004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{"citationItems":[{"id":"ITEM-1","itemData":{"DOI":"10.1093/annonc/mdh473","ISBN":"0923-7534","ISSN":"09237534","PMID":"15550582","abstract":"BACKGROUND: To identify the most effective of two combinations, irinotecan/5-fluorouracil (5-FU)/folinic acid (FA) and irinotecan/cisplatin, in the treatment of advanced gastric cancer, for investigation in a phase III trial. PATIENTS AND METHODS: Patients were randomized to receive irinotecan [80 mg/m2 intravenously (i.v.)], FA (500 mg/m2 i.v.) and a 22-h infusion of 5-FU (2000 mg/m2 i.v.), weekly for 6 weeks with a 1-week rest, or irinotecan (200 mg/m2 i.v.) and cisplatin (60 mg/m2 i.v.), on day 1 for 3 weeks. RESULTS: A total of 115 patients were eligible for analysis in the per-protocol population. The overall response rate in the irinotecan/5-FU/FA arm (n=59) was 42.4%, with a complete response rate of 5.1%. Corresponding figures for the irinotecan/cisplatin arm (n=56) were 32.1% and 1.8%, respectively. The median time to progression was 6.5 months (irinotecan/5-FU/FA) and 4.2 months (irinotecan/cisplatin) (P &lt; 0.0001), with median survival times of 10.7 and 6.9 months, respectively (P=0.0018). The major toxicity was grade 3/4 neutropenia, which was more pronounced with irinotecan/cisplatin than with irinotecan/5-FU/FA (65.7% versus 27%). Diarrhea was the main grade 3/4 non-hematological toxicity with both irinotecan/5-FU/FA (27.0%) and irinotecan/cisplatin (18.1%). CONCLUSIONS: Both combinations were active, with acceptable safety profiles. Irinotecan/5-FU/FA was selected as the most effective combination for investigation in a phase III trial in advanced gastric cancer.","author":[{"dropping-particle":"","family":"Pozzo","given":"C.","non-dropping-particle":"","parse-names":false,"suffix":""},{"dropping-particle":"","family":"Barone","given":"Carlo","non-dropping-particle":"","parse-names":false,"suffix":""},{"dropping-particle":"","family":"Szanto","given":"J.","non-dropping-particle":"","parse-names":false,"suffix":""},{"dropping-particle":"","family":"Padi","given":"E.","non-dropping-particle":"","parse-names":false,"suffix":""},{"dropping-particle":"","family":"Peschel","given":"C.","non-dropping-particle":"","parse-names":false,"suffix":""},{"dropping-particle":"","family":"B??kki","given":"J.","non-dropping-particle":"","parse-names":false,"suffix":""},{"dro</w:instrText>
            </w:r>
            <w:r w:rsidR="006739B2" w:rsidRPr="006739B2">
              <w:rPr>
                <w:rFonts w:ascii="Times New Roman" w:eastAsia="Times New Roman" w:hAnsi="Times New Roman"/>
                <w:b/>
                <w:color w:val="000000"/>
                <w:sz w:val="16"/>
                <w:szCs w:val="16"/>
                <w:lang w:val="en-US"/>
              </w:rPr>
              <w:instrText>pping-particle":"","family":"Gorbunova","given":"V.","non-dropping-particle":"","parse-names":false,"suffix":""},{"dropping-particle":"","family":"Valvere","given":"V.","non-dropping-particle":"","parse-names":false,"suffix":""},{"dropping-particle":"","family":"Zaluski","given":"J.","non-dropping-particle":"","parse-names":false,"suffix":""},{"dropping-particle":"","family":"Biakhov","given":"M.","non-dropping-particle":"","parse-names":false,"suffix":""},{"dropping-particle":"","family":"Zuber","given":"E.","non-dropping-particle":"","parse-names":false,"suffix":""},{"dropping-particle":"","family":"Jacques","given":"C.","non-dropping-particle":"","parse-names":false,"suffix":""},{"dropping-particle":"","family":"Bugat","given":"R.","non-dropping-particle":"","parse-names":false,"suffix":""}],"container-title":"Annals of Oncology","id":"ITEM-1","issue":"12","issued":{"date-parts":[["2004"]]},"page":"1773-1781","title":"Irinotecan in combination with 5-fluorouracil and folinic acid or with cisplatin in patients with advanced gastric or esophageal-gastric junction adenocarcinoma: Results of a randomized phase II study","type":"article-journal","volume":"15"},"uris":["http://www.mendeley.com/documents/?uuid=39015c61-82e9-413b-8d42-eaa09753e261"]}],"mendeley":{"formattedCitation":"[53]","plainTextFormattedCitation":"[53]","previouslyFormattedCitation":"[53]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[53]</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07739A1"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74</w:t>
            </w:r>
          </w:p>
        </w:tc>
        <w:tc>
          <w:tcPr>
            <w:tcW w:w="1708" w:type="dxa"/>
            <w:gridSpan w:val="2"/>
            <w:shd w:val="clear" w:color="auto" w:fill="auto"/>
            <w:noWrap/>
            <w:hideMark/>
          </w:tcPr>
          <w:p w14:paraId="28EAB912"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5FU/</w:t>
            </w:r>
            <w:proofErr w:type="spellStart"/>
            <w:r w:rsidRPr="00022291">
              <w:rPr>
                <w:rFonts w:ascii="Times New Roman" w:eastAsia="Times New Roman" w:hAnsi="Times New Roman"/>
                <w:color w:val="000000"/>
                <w:sz w:val="16"/>
                <w:szCs w:val="16"/>
                <w:lang w:val="en-US"/>
              </w:rPr>
              <w:t>LV+Iri</w:t>
            </w:r>
            <w:proofErr w:type="spellEnd"/>
          </w:p>
        </w:tc>
        <w:tc>
          <w:tcPr>
            <w:tcW w:w="1322" w:type="dxa"/>
            <w:shd w:val="clear" w:color="auto" w:fill="auto"/>
            <w:noWrap/>
            <w:hideMark/>
          </w:tcPr>
          <w:p w14:paraId="4FCAAA73"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57 (77)</w:t>
            </w:r>
          </w:p>
        </w:tc>
        <w:tc>
          <w:tcPr>
            <w:tcW w:w="1623" w:type="dxa"/>
            <w:gridSpan w:val="2"/>
            <w:shd w:val="clear" w:color="auto" w:fill="auto"/>
            <w:noWrap/>
            <w:hideMark/>
          </w:tcPr>
          <w:p w14:paraId="2CF9DF7C"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57 (39-75)</w:t>
            </w:r>
          </w:p>
        </w:tc>
        <w:tc>
          <w:tcPr>
            <w:tcW w:w="1379" w:type="dxa"/>
            <w:shd w:val="clear" w:color="auto" w:fill="auto"/>
            <w:noWrap/>
            <w:hideMark/>
          </w:tcPr>
          <w:p w14:paraId="08FF6C7F"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73 (99)</w:t>
            </w:r>
          </w:p>
        </w:tc>
        <w:tc>
          <w:tcPr>
            <w:tcW w:w="797" w:type="dxa"/>
            <w:shd w:val="clear" w:color="auto" w:fill="auto"/>
            <w:noWrap/>
            <w:hideMark/>
          </w:tcPr>
          <w:p w14:paraId="49F1EC73"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0 (0)</w:t>
            </w:r>
          </w:p>
        </w:tc>
      </w:tr>
      <w:tr w:rsidR="00B61A3A" w:rsidRPr="007D2E2F" w14:paraId="33315D84" w14:textId="77777777" w:rsidTr="00B61A3A">
        <w:trPr>
          <w:trHeight w:val="255"/>
        </w:trPr>
        <w:tc>
          <w:tcPr>
            <w:tcW w:w="2552" w:type="dxa"/>
            <w:shd w:val="clear" w:color="auto" w:fill="auto"/>
            <w:noWrap/>
            <w:hideMark/>
          </w:tcPr>
          <w:p w14:paraId="6F0543D4" w14:textId="18D0F14C" w:rsidR="00B61A3A" w:rsidRPr="007D2E2F" w:rsidRDefault="00B61A3A" w:rsidP="00B61A3A">
            <w:pPr>
              <w:spacing w:before="240" w:line="360" w:lineRule="auto"/>
              <w:rPr>
                <w:rFonts w:ascii="Times New Roman" w:eastAsia="Times New Roman" w:hAnsi="Times New Roman"/>
                <w:b/>
                <w:color w:val="000000"/>
                <w:sz w:val="16"/>
                <w:szCs w:val="16"/>
              </w:rPr>
            </w:pPr>
            <w:proofErr w:type="spellStart"/>
            <w:r w:rsidRPr="00022291">
              <w:rPr>
                <w:rFonts w:ascii="Times New Roman" w:eastAsia="Times New Roman" w:hAnsi="Times New Roman"/>
                <w:b/>
                <w:color w:val="000000"/>
                <w:sz w:val="16"/>
                <w:szCs w:val="16"/>
                <w:lang w:val="en-US"/>
              </w:rPr>
              <w:t>Moehler</w:t>
            </w:r>
            <w:proofErr w:type="spellEnd"/>
            <w:r w:rsidRPr="00022291">
              <w:rPr>
                <w:rFonts w:ascii="Times New Roman" w:eastAsia="Times New Roman" w:hAnsi="Times New Roman"/>
                <w:b/>
                <w:color w:val="000000"/>
                <w:sz w:val="16"/>
                <w:szCs w:val="16"/>
                <w:lang w:val="en-US"/>
              </w:rPr>
              <w:t xml:space="preserve"> 2005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{"citationItems":[{"id":"ITEM-1","itemData":{"DOI":"10.1038/sj.bjc.6602649","ISBN":"0007-0920","ISSN":"00070920","PMID":"15942629","abstract":"An open-label randomised comparison of efficacy and tolerability of irinotecan plus high-dose 5-fluorouracil (5-FU) and leucovorin (LV) (ILF) with etoposide plus 5-FU/LV (ELF) in patients with untreated metastatic or locally advanced gastric cancer. One cycle of ILF comprised six once-weekly infusions of irinotecan 80 mg m(-2), LV 500 mg m(-2), 24-h 5-FU 2000 mg m(-2), and ELF comprised three once-daily doses of etoposide 120 mg m(-2), LV 300 mg m(-2), 5-FU 500 mg m(-2). In all, 56 patients received ILF and 58 ELF. Median age was 62 years, Karnofsky performance 90%, and disease status was comparable for both arms. The objective clinical response rates after 14 weeks treatment (primary end point) were 30% for ILF and 17% for ELF (risk ratio (RR) 0.57, 95% confidence interval (CI) 0.29-1.13, P = 0.0766). Overall response rates over the entire treatment period for ILF and ELF were 43 and 24%, respectively (RR 0.56, 95% CI 0.33-0.97; P = 0.0467). For ILF and ELF, respectively, median progression-free survival was 4.5 vs 2.3 months, time to treatment failure was 3.6 vs 2.2 months (P = 0.4542), and overall survival was 10.8 vs 8.3 months (P = 0.2818). Both regimens were well tolerated, the main grade 3/4 toxicities being diarrhoea (18%, ILF) and neutropenia (57%, ELF). The data from this randomised phase II study indicate that ILF provides a better response rate than ELF, and that ILF should be investigated further for the treatment of metastatic gastric cancer.","author":[{"dropping-particle":"","family":"Moehler","given":"M.","non-dropping-particle":"","parse-names":false,"suffix":""},{"dropping-particle":"","family":"Eimermacher","given":"A.","non-dropping-particle":"","parse-names":false,"suffix":""},{"dropping-particle":"","family":"Siebler","given":"J.","non-dropping-particle":"","parse-names":false,"suffix":""},{"dropping-particle":"","family":"Höhler","given":"T.","non-dropping-particle":"","parse-names":false,"suffix":""},{"dropping-particle":"","family":"Wein","given":"A.","non-dropping-particle":"","parse-names":false,"suffix":""},{"dropping-particle":"","family":"Menges","given":"M.","non-dropping-particle":"","parse-names":false,"suffix":""},{"dropping-particle":"","family":"Flieger","given":"D.","non-dropping-particle":"","parse-names":false,"suffix":""},{"dropping-particle":"","family":"Junginger","given":"T.","non-dropping-particle":"","parse-names":false,"suffix":""},{"dropping-particle":"","family":"Geer","given":"T.","non-dropping-particle":"","parse-names":false,"suffix":""},{"dropping-particle":"","family":"Gracien","given":"E.","non-dropping-particle":"","parse-names":false,"suffix":""},{"dropping-particle":"","family":"Galle","given":"P. R.","non-dropping-particle":"","parse-names":false,"suffix":""},{"dropping-particle":"","family":"Heike","given":"M.","non-dropping-particle":"","parse-names":false,"suffix":""}],"container-title":"British Journal of Cancer","id":"ITEM-1","issue":"12","issued":{"date-parts":[["2005"]]},"page":"2122-2128","title":"Randomised phase II evaluation of irinotecan plus high-dose 5-fluorouracil and leucovorin (ILF) vs 5-fluorouracil, leucovorin, and etoposide (ELF) in untreated metastatic gastric cancer","type":"article-journal","volume":"92"},"uris":["http://www.mendeley.com/documents/?uuid=9d24bf7e-aacb-4054-87b3-a6a3fe7a43bc"]}],"mendeley":{"formattedCitation":"[60]","plainTextFormattedCitation":"[60]","previouslyFormattedCitation":"[60]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[60]</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38082117" w14:textId="77777777" w:rsidR="00B61A3A" w:rsidRPr="007D2E2F" w:rsidRDefault="00B61A3A"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56</w:t>
            </w:r>
          </w:p>
        </w:tc>
        <w:tc>
          <w:tcPr>
            <w:tcW w:w="1708" w:type="dxa"/>
            <w:gridSpan w:val="2"/>
            <w:shd w:val="clear" w:color="auto" w:fill="auto"/>
            <w:noWrap/>
            <w:hideMark/>
          </w:tcPr>
          <w:p w14:paraId="2AEA399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5FU/LV+Iri</w:t>
            </w:r>
          </w:p>
        </w:tc>
        <w:tc>
          <w:tcPr>
            <w:tcW w:w="1322" w:type="dxa"/>
            <w:shd w:val="clear" w:color="auto" w:fill="auto"/>
            <w:noWrap/>
            <w:hideMark/>
          </w:tcPr>
          <w:p w14:paraId="76B0EFB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40 (71)</w:t>
            </w:r>
          </w:p>
        </w:tc>
        <w:tc>
          <w:tcPr>
            <w:tcW w:w="1623" w:type="dxa"/>
            <w:gridSpan w:val="2"/>
            <w:shd w:val="clear" w:color="auto" w:fill="auto"/>
            <w:noWrap/>
            <w:hideMark/>
          </w:tcPr>
          <w:p w14:paraId="7CE9E5D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61 (41-73)</w:t>
            </w:r>
          </w:p>
        </w:tc>
        <w:tc>
          <w:tcPr>
            <w:tcW w:w="1379" w:type="dxa"/>
            <w:shd w:val="clear" w:color="auto" w:fill="auto"/>
            <w:noWrap/>
            <w:hideMark/>
          </w:tcPr>
          <w:p w14:paraId="34248F7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(100)</w:t>
            </w:r>
          </w:p>
        </w:tc>
        <w:tc>
          <w:tcPr>
            <w:tcW w:w="797" w:type="dxa"/>
            <w:shd w:val="clear" w:color="auto" w:fill="auto"/>
            <w:noWrap/>
            <w:hideMark/>
          </w:tcPr>
          <w:p w14:paraId="79A111B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 (23)‡</w:t>
            </w:r>
          </w:p>
        </w:tc>
      </w:tr>
      <w:tr w:rsidR="00B61A3A" w:rsidRPr="007D2E2F" w14:paraId="47C360A9" w14:textId="77777777" w:rsidTr="00B61A3A">
        <w:trPr>
          <w:trHeight w:val="255"/>
        </w:trPr>
        <w:tc>
          <w:tcPr>
            <w:tcW w:w="3008" w:type="dxa"/>
            <w:gridSpan w:val="2"/>
            <w:shd w:val="clear" w:color="auto" w:fill="auto"/>
            <w:noWrap/>
            <w:hideMark/>
          </w:tcPr>
          <w:p w14:paraId="07DD6819"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 xml:space="preserve">Capecitabine+Irinotecan </w:t>
            </w:r>
          </w:p>
        </w:tc>
        <w:tc>
          <w:tcPr>
            <w:tcW w:w="1708" w:type="dxa"/>
            <w:gridSpan w:val="2"/>
            <w:shd w:val="clear" w:color="auto" w:fill="auto"/>
            <w:noWrap/>
            <w:hideMark/>
          </w:tcPr>
          <w:p w14:paraId="53EF4413" w14:textId="77777777" w:rsidR="00B61A3A" w:rsidRPr="007D2E2F" w:rsidRDefault="00B61A3A" w:rsidP="00B61A3A">
            <w:pPr>
              <w:spacing w:before="240" w:line="360" w:lineRule="auto"/>
              <w:rPr>
                <w:rFonts w:ascii="Times New Roman" w:eastAsia="Times New Roman" w:hAnsi="Times New Roman"/>
                <w:b/>
                <w:color w:val="000000"/>
                <w:sz w:val="16"/>
                <w:szCs w:val="16"/>
                <w:u w:val="single"/>
              </w:rPr>
            </w:pPr>
            <w:r w:rsidRPr="007D2E2F">
              <w:rPr>
                <w:rFonts w:ascii="Times New Roman" w:eastAsia="Times New Roman" w:hAnsi="Times New Roman"/>
                <w:b/>
                <w:color w:val="000000"/>
                <w:sz w:val="16"/>
                <w:szCs w:val="16"/>
                <w:u w:val="single"/>
              </w:rPr>
              <w:t>FI</w:t>
            </w:r>
          </w:p>
        </w:tc>
        <w:tc>
          <w:tcPr>
            <w:tcW w:w="1322" w:type="dxa"/>
            <w:shd w:val="clear" w:color="auto" w:fill="auto"/>
            <w:noWrap/>
            <w:hideMark/>
          </w:tcPr>
          <w:p w14:paraId="1D13613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0B84A24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7A51E22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325D7E4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1E00A440" w14:textId="77777777" w:rsidTr="00DF4D7C">
        <w:trPr>
          <w:trHeight w:val="255"/>
        </w:trPr>
        <w:tc>
          <w:tcPr>
            <w:tcW w:w="2552" w:type="dxa"/>
            <w:shd w:val="clear" w:color="auto" w:fill="auto"/>
            <w:noWrap/>
            <w:hideMark/>
          </w:tcPr>
          <w:p w14:paraId="2D600392" w14:textId="2E4A36DA"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Moehler 2010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p269","ISBN":"4906131177276","ISSN":"09237534","author":[{"dropping-particle":"","family":"Moehler","given":"M.","non-dropping-particle":"","parse-names":false,"suffix":""},{"dropping-particle":"","family":"Kanzler","given":"S.","non-dropping-particle":"","parse-names":false,"suffix":""},{"dropping-particle":"","family":"Geissler","given":"M.","non-dropping-particle":"","parse-names":false,"suffix":""},{"dropping-particle":"","family":"Raedle","given":"J.","non-dropping-particle":"","parse-names":false,"suffix":""},{"dropping-particle":"","family":"Ebert","given":"M. P.","non-dropping-particle":"","parse-names":false,"suffix":""},{"dropping-particle":"","family":"Daum","given":"S.","non-dropping-particle":"","parse-names":false,"suffix":""},{"dropping-particle":"","family":"Flieger","given":"D.","non-dropping-particle":"","parse-names":false,"suffix":""},{"dropping-particle":"","family":"Seufferlein","given":"T.","non-dropping-particle":"","parse-names":false,"suffix":""},{"dropping-particle":"","family":"Galle","given":"P. R.","non-dropping-particle":"","parse-names":false,"suffix":""},{"dropping-particle":"","family":"Hoehler","given":"T.","non-dropping-particle":"","parse-names":false,"suffix":""}],"container-title":"Annals of Oncology","id":"ITEM-1","issue":"1","issued":{"date-parts":[["2010"]]},"page":"71-77","title":"A randomized multicenter phase II study comparing capecitabine with irinotecan or cisplatin in metastatic adenocarcinoma of the stomach or esophagogastric junction","type":"article-journal","volume":"21"},"uris":["http://www.mendeley.com/documents/?uuid=6f5ca2ba-991d-4640-805e-bbfbc78e4d6b"]}],"mendeley":{"formattedCitation":"[45]","plainTextFormattedCitation":"[45]","previouslyFormattedCitation":"[45]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775B92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57</w:t>
            </w:r>
          </w:p>
        </w:tc>
        <w:tc>
          <w:tcPr>
            <w:tcW w:w="1708" w:type="dxa"/>
            <w:gridSpan w:val="2"/>
            <w:shd w:val="clear" w:color="auto" w:fill="auto"/>
            <w:noWrap/>
            <w:hideMark/>
          </w:tcPr>
          <w:p w14:paraId="5A4CE11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Cap+Iri</w:t>
            </w:r>
          </w:p>
        </w:tc>
        <w:tc>
          <w:tcPr>
            <w:tcW w:w="1322" w:type="dxa"/>
            <w:shd w:val="clear" w:color="auto" w:fill="auto"/>
            <w:noWrap/>
            <w:hideMark/>
          </w:tcPr>
          <w:p w14:paraId="5263F39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42 (74)</w:t>
            </w:r>
          </w:p>
        </w:tc>
        <w:tc>
          <w:tcPr>
            <w:tcW w:w="1623" w:type="dxa"/>
            <w:gridSpan w:val="2"/>
            <w:shd w:val="clear" w:color="auto" w:fill="auto"/>
            <w:noWrap/>
            <w:hideMark/>
          </w:tcPr>
          <w:p w14:paraId="5F85BA1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61 (40-76)</w:t>
            </w:r>
          </w:p>
        </w:tc>
        <w:tc>
          <w:tcPr>
            <w:tcW w:w="1379" w:type="dxa"/>
            <w:shd w:val="clear" w:color="auto" w:fill="auto"/>
            <w:noWrap/>
            <w:hideMark/>
          </w:tcPr>
          <w:p w14:paraId="28408E9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57 (100)</w:t>
            </w:r>
          </w:p>
        </w:tc>
        <w:tc>
          <w:tcPr>
            <w:tcW w:w="797" w:type="dxa"/>
            <w:shd w:val="clear" w:color="auto" w:fill="auto"/>
            <w:noWrap/>
            <w:hideMark/>
          </w:tcPr>
          <w:p w14:paraId="4FAC3F2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 (18)‡</w:t>
            </w:r>
          </w:p>
        </w:tc>
      </w:tr>
      <w:tr w:rsidR="00B61A3A" w:rsidRPr="007D2E2F" w14:paraId="5B617A9A" w14:textId="77777777" w:rsidTr="00DF4D7C">
        <w:trPr>
          <w:trHeight w:val="255"/>
        </w:trPr>
        <w:tc>
          <w:tcPr>
            <w:tcW w:w="2552" w:type="dxa"/>
            <w:tcBorders>
              <w:bottom w:val="single" w:sz="4" w:space="0" w:color="auto"/>
            </w:tcBorders>
            <w:shd w:val="clear" w:color="auto" w:fill="auto"/>
            <w:noWrap/>
            <w:hideMark/>
          </w:tcPr>
          <w:p w14:paraId="19A9EB3E"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 xml:space="preserve">S-1+Irinotecan </w:t>
            </w:r>
          </w:p>
        </w:tc>
        <w:tc>
          <w:tcPr>
            <w:tcW w:w="456" w:type="dxa"/>
            <w:tcBorders>
              <w:bottom w:val="single" w:sz="4" w:space="0" w:color="auto"/>
            </w:tcBorders>
            <w:shd w:val="clear" w:color="auto" w:fill="auto"/>
            <w:noWrap/>
            <w:hideMark/>
          </w:tcPr>
          <w:p w14:paraId="26B261A6"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p>
        </w:tc>
        <w:tc>
          <w:tcPr>
            <w:tcW w:w="1708" w:type="dxa"/>
            <w:gridSpan w:val="2"/>
            <w:tcBorders>
              <w:bottom w:val="single" w:sz="4" w:space="0" w:color="auto"/>
            </w:tcBorders>
            <w:shd w:val="clear" w:color="auto" w:fill="auto"/>
            <w:noWrap/>
            <w:hideMark/>
          </w:tcPr>
          <w:p w14:paraId="2458D2A8" w14:textId="77777777" w:rsidR="00B61A3A" w:rsidRPr="007D2E2F" w:rsidRDefault="00B61A3A" w:rsidP="00B61A3A">
            <w:pPr>
              <w:spacing w:before="240" w:line="360" w:lineRule="auto"/>
              <w:rPr>
                <w:rFonts w:ascii="Times New Roman" w:eastAsia="Times New Roman" w:hAnsi="Times New Roman"/>
                <w:b/>
                <w:color w:val="000000"/>
                <w:sz w:val="16"/>
                <w:szCs w:val="16"/>
                <w:u w:val="single"/>
              </w:rPr>
            </w:pPr>
            <w:r w:rsidRPr="007D2E2F">
              <w:rPr>
                <w:rFonts w:ascii="Times New Roman" w:eastAsia="Times New Roman" w:hAnsi="Times New Roman"/>
                <w:b/>
                <w:color w:val="000000"/>
                <w:sz w:val="16"/>
                <w:szCs w:val="16"/>
                <w:u w:val="single"/>
              </w:rPr>
              <w:t>FI</w:t>
            </w:r>
          </w:p>
        </w:tc>
        <w:tc>
          <w:tcPr>
            <w:tcW w:w="1322" w:type="dxa"/>
            <w:tcBorders>
              <w:bottom w:val="single" w:sz="4" w:space="0" w:color="auto"/>
            </w:tcBorders>
            <w:shd w:val="clear" w:color="auto" w:fill="auto"/>
            <w:noWrap/>
            <w:hideMark/>
          </w:tcPr>
          <w:p w14:paraId="7E96371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tcBorders>
              <w:bottom w:val="single" w:sz="4" w:space="0" w:color="auto"/>
            </w:tcBorders>
            <w:shd w:val="clear" w:color="auto" w:fill="auto"/>
            <w:noWrap/>
            <w:hideMark/>
          </w:tcPr>
          <w:p w14:paraId="63CC792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tcBorders>
              <w:bottom w:val="single" w:sz="4" w:space="0" w:color="auto"/>
            </w:tcBorders>
            <w:shd w:val="clear" w:color="auto" w:fill="auto"/>
            <w:noWrap/>
            <w:hideMark/>
          </w:tcPr>
          <w:p w14:paraId="365164B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tcBorders>
              <w:bottom w:val="single" w:sz="4" w:space="0" w:color="auto"/>
            </w:tcBorders>
            <w:shd w:val="clear" w:color="auto" w:fill="auto"/>
            <w:noWrap/>
            <w:hideMark/>
          </w:tcPr>
          <w:p w14:paraId="6B9201F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1A6F97" w:rsidRPr="00BA62DB" w14:paraId="0E35F4BE" w14:textId="77777777" w:rsidTr="00DF4D7C">
        <w:trPr>
          <w:trHeight w:val="255"/>
        </w:trPr>
        <w:tc>
          <w:tcPr>
            <w:tcW w:w="3008" w:type="dxa"/>
            <w:gridSpan w:val="2"/>
            <w:tcBorders>
              <w:top w:val="single" w:sz="4" w:space="0" w:color="auto"/>
              <w:bottom w:val="single" w:sz="4" w:space="0" w:color="auto"/>
            </w:tcBorders>
            <w:shd w:val="clear" w:color="auto" w:fill="auto"/>
            <w:noWrap/>
          </w:tcPr>
          <w:p w14:paraId="651EB5A7"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w:hAnsi="Times New Roman"/>
                <w:bCs/>
                <w:sz w:val="16"/>
                <w:szCs w:val="24"/>
                <w:lang w:val="en-US"/>
              </w:rPr>
              <w:lastRenderedPageBreak/>
              <w:t>Supplementary table 2. (continued)</w:t>
            </w:r>
          </w:p>
        </w:tc>
        <w:tc>
          <w:tcPr>
            <w:tcW w:w="1708" w:type="dxa"/>
            <w:gridSpan w:val="2"/>
            <w:tcBorders>
              <w:top w:val="single" w:sz="4" w:space="0" w:color="auto"/>
              <w:bottom w:val="single" w:sz="4" w:space="0" w:color="auto"/>
            </w:tcBorders>
            <w:shd w:val="clear" w:color="auto" w:fill="auto"/>
            <w:noWrap/>
          </w:tcPr>
          <w:p w14:paraId="662BB06A"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p>
        </w:tc>
        <w:tc>
          <w:tcPr>
            <w:tcW w:w="1322" w:type="dxa"/>
            <w:tcBorders>
              <w:top w:val="single" w:sz="4" w:space="0" w:color="auto"/>
              <w:bottom w:val="single" w:sz="4" w:space="0" w:color="auto"/>
            </w:tcBorders>
            <w:shd w:val="clear" w:color="auto" w:fill="auto"/>
            <w:noWrap/>
          </w:tcPr>
          <w:p w14:paraId="351BD02A"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623" w:type="dxa"/>
            <w:gridSpan w:val="2"/>
            <w:tcBorders>
              <w:top w:val="single" w:sz="4" w:space="0" w:color="auto"/>
              <w:bottom w:val="single" w:sz="4" w:space="0" w:color="auto"/>
            </w:tcBorders>
            <w:shd w:val="clear" w:color="auto" w:fill="auto"/>
            <w:noWrap/>
          </w:tcPr>
          <w:p w14:paraId="070DA631"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379" w:type="dxa"/>
            <w:tcBorders>
              <w:top w:val="single" w:sz="4" w:space="0" w:color="auto"/>
              <w:bottom w:val="single" w:sz="4" w:space="0" w:color="auto"/>
            </w:tcBorders>
            <w:shd w:val="clear" w:color="auto" w:fill="auto"/>
            <w:noWrap/>
          </w:tcPr>
          <w:p w14:paraId="31AD4B7E"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797" w:type="dxa"/>
            <w:tcBorders>
              <w:top w:val="single" w:sz="4" w:space="0" w:color="auto"/>
              <w:bottom w:val="single" w:sz="4" w:space="0" w:color="auto"/>
            </w:tcBorders>
            <w:shd w:val="clear" w:color="auto" w:fill="auto"/>
            <w:noWrap/>
          </w:tcPr>
          <w:p w14:paraId="6035E242"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r>
      <w:tr w:rsidR="001A6F97" w:rsidRPr="001F70C0" w14:paraId="736EC5A6" w14:textId="77777777" w:rsidTr="00DF4D7C">
        <w:trPr>
          <w:trHeight w:val="255"/>
        </w:trPr>
        <w:tc>
          <w:tcPr>
            <w:tcW w:w="2552" w:type="dxa"/>
            <w:tcBorders>
              <w:top w:val="single" w:sz="4" w:space="0" w:color="auto"/>
              <w:bottom w:val="single" w:sz="4" w:space="0" w:color="auto"/>
            </w:tcBorders>
            <w:shd w:val="clear" w:color="auto" w:fill="auto"/>
            <w:noWrap/>
          </w:tcPr>
          <w:p w14:paraId="46FACCAE" w14:textId="77777777" w:rsidR="001A6F97" w:rsidRPr="001F70C0"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New Roman" w:hAnsi="Times New Roman"/>
                <w:bCs/>
                <w:color w:val="000000"/>
                <w:sz w:val="16"/>
                <w:szCs w:val="16"/>
                <w:lang w:val="en-US"/>
              </w:rPr>
              <w:t>Studies</w:t>
            </w:r>
          </w:p>
        </w:tc>
        <w:tc>
          <w:tcPr>
            <w:tcW w:w="456" w:type="dxa"/>
            <w:tcBorders>
              <w:top w:val="single" w:sz="4" w:space="0" w:color="auto"/>
              <w:bottom w:val="single" w:sz="4" w:space="0" w:color="auto"/>
            </w:tcBorders>
            <w:shd w:val="clear" w:color="auto" w:fill="auto"/>
            <w:noWrap/>
          </w:tcPr>
          <w:p w14:paraId="1E8AF6C5"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No.</w:t>
            </w:r>
          </w:p>
        </w:tc>
        <w:tc>
          <w:tcPr>
            <w:tcW w:w="1708" w:type="dxa"/>
            <w:gridSpan w:val="2"/>
            <w:tcBorders>
              <w:top w:val="single" w:sz="4" w:space="0" w:color="auto"/>
              <w:bottom w:val="single" w:sz="4" w:space="0" w:color="auto"/>
            </w:tcBorders>
            <w:shd w:val="clear" w:color="auto" w:fill="auto"/>
            <w:noWrap/>
          </w:tcPr>
          <w:p w14:paraId="5429A8F3"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322" w:type="dxa"/>
            <w:tcBorders>
              <w:top w:val="single" w:sz="4" w:space="0" w:color="auto"/>
              <w:bottom w:val="single" w:sz="4" w:space="0" w:color="auto"/>
            </w:tcBorders>
            <w:shd w:val="clear" w:color="auto" w:fill="auto"/>
            <w:noWrap/>
          </w:tcPr>
          <w:p w14:paraId="5D4353C2"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7AF11F60"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1623" w:type="dxa"/>
            <w:gridSpan w:val="2"/>
            <w:tcBorders>
              <w:top w:val="single" w:sz="4" w:space="0" w:color="auto"/>
              <w:bottom w:val="single" w:sz="4" w:space="0" w:color="auto"/>
            </w:tcBorders>
            <w:shd w:val="clear" w:color="auto" w:fill="auto"/>
            <w:noWrap/>
          </w:tcPr>
          <w:p w14:paraId="0F4DA748"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31171CF2"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Median (range)</w:t>
            </w:r>
          </w:p>
        </w:tc>
        <w:tc>
          <w:tcPr>
            <w:tcW w:w="1379" w:type="dxa"/>
            <w:tcBorders>
              <w:top w:val="single" w:sz="4" w:space="0" w:color="auto"/>
              <w:bottom w:val="single" w:sz="4" w:space="0" w:color="auto"/>
            </w:tcBorders>
            <w:shd w:val="clear" w:color="auto" w:fill="auto"/>
            <w:noWrap/>
          </w:tcPr>
          <w:p w14:paraId="5EBE34B2"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41F88720"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797" w:type="dxa"/>
            <w:tcBorders>
              <w:top w:val="single" w:sz="4" w:space="0" w:color="auto"/>
              <w:bottom w:val="single" w:sz="4" w:space="0" w:color="auto"/>
            </w:tcBorders>
            <w:shd w:val="clear" w:color="auto" w:fill="auto"/>
            <w:noWrap/>
          </w:tcPr>
          <w:p w14:paraId="7664B721"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WHO&gt;2 </w:t>
            </w:r>
          </w:p>
          <w:p w14:paraId="10D26B65"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r>
      <w:tr w:rsidR="00B61A3A" w:rsidRPr="007D2E2F" w14:paraId="4C5AB121" w14:textId="77777777" w:rsidTr="00B61A3A">
        <w:trPr>
          <w:trHeight w:val="255"/>
        </w:trPr>
        <w:tc>
          <w:tcPr>
            <w:tcW w:w="2552" w:type="dxa"/>
            <w:shd w:val="clear" w:color="auto" w:fill="auto"/>
            <w:noWrap/>
            <w:hideMark/>
          </w:tcPr>
          <w:p w14:paraId="45A9501E" w14:textId="6359C6C4"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Komatsu 2011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{"citationItems":[{"id":"ITEM-1","itemData":{"DOI":"10.1097/CAD.0b013e328345b509","ISBN":"1473-5741","ISSN":"09594973","PMID":"21512394","abstract":"The pharmacokinetics of irinotecan vary markedly between individuals. This study sought to compare tailored irinotecan and S-1 therapy with S-1 monotherapy for the treatment of patients with advanced/recurrent gastric cancer. Patients with advanced/recurrent gastric cancer were randomized to receive tailored irinotecan and S-1 (arm A) therapy or S-1 therapy alone (arm B). Arm A received S-1 (80-120 mg/m(2)/day) for 14 days, with irinotecan on days 1 and 15. The initial irinotecan dose of 75 mg/m(2) (level 0) was adjusted for toxicity during an earlier course. In arm B, S-1 (80-120 mg/day) was administered alone for 28 days, followed by 14 days without therapy. Ninety-five patients were randomized (48 patients to arm A and 47 patients to arm B). The response rate of the primary tumor (Japanese criteria) was 25.0% in arm A (12 of 48 patients) and 14.9% in arm B (seven of 47 patients), whereas the response rates according to Response Evaluation Criteria In Solid Tumors were 27.8% (10 of 36) versus 21.9% (seven of 32). Hematological toxicity, anorexia, and diarrhea were significantly more common in arm A, but both arms had similar grades 3-4 toxicities. These findings suggest the usefulness of tailored irinotecan and S-1 therapy for gastric cancer.","author":[{"dropping-particle":"","family":"Komatsu","given":"Yoshito","non-dropping-particle":"","parse-names":false,"suffix":""},{"dropping-particle":"","family":"Takahashi","given":"Yutaka","non-dropping-particle":"","parse-names":false,"suffix":""},{"dropping-particle":"","family":"Kimura","given":"Yutaka","non-dropping-particle":"","parse-names":false,"suffix":""},{"dropping-particle":"","family":"Oda","given":"Hisashi","non-dropping-particle":"","parse-names":false,"suffix":""},{"dropping-particle":"","family":"Tajima","given":"Yusuke","non-dropping-particle":"","parse-names":false,"suffix":""},{"dropping-particle":"","family":"Tamura","given":"Shigeyuki","non-dropping-particle":"","parse-names":false,"suffix":""},{"dropping-particle":"","family":"Sakurai","given":"Jo","non-dropping-particle":"","parse-names":false,"suffix":""},{"dropping-particle":"","family":"Wakasugi","given":"Takehiro","non-dropping-particle":"","parse-names":false,"suffix":""},{"dropping-particle":"","family":"Tatebe","given":"Shigeru","non-dropping-particle":"","parse-names":false,"suffix":""},{"dropping-particle":"","family":"Takahashi","given":"Masahiro","non-dropping-particle":"","parse-names":false,"suffix":""},{"dropping-particle":"","family":"Sakata","given":"Yuh","non-dropping-particle":"","parse-names":false,"suffix":""},{"dropping-particle":"","family":"Kitajima","given":"Masaki","non-dropping-particle":"","parse-names":false,"suffix":""},{"dropping-particle":"","family":"Sakamoto","given":"Junichi","non-dropping-particle":"","parse-names":false,"suffix":""},{"dropping-particle":"","family":"Saji","given":"Shigetoyo","non-dropping-particle":"","parse-names":false,"suffix":""}],"container-title":"Anti-Cancer Drugs","id":"ITEM-1","issue":"6","issued":{"date-parts":[["2011"]]},"page":"576-583","title":"Randomized phase II trial of first-line treatment with tailored irinotecan and S-1 therapy versus S-1 monotherapy for advanced or recurrent gastric carcinoma (JFMC31-0301)","type":"article-journal","volume":"22"},"uris":["http://www.mendeley.com/documents/?uuid=96127549-c582-422c-bfd3-dc49db82e9ba"]}],"mendeley":{"formattedCitation":"[22]","plainTextFormattedCitation":"[22]","previouslyFormattedCitation":"[22]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[22]</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B737780" w14:textId="77777777" w:rsidR="00B61A3A" w:rsidRPr="007D2E2F" w:rsidRDefault="00B61A3A"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48</w:t>
            </w:r>
          </w:p>
        </w:tc>
        <w:tc>
          <w:tcPr>
            <w:tcW w:w="1708" w:type="dxa"/>
            <w:gridSpan w:val="2"/>
            <w:shd w:val="clear" w:color="auto" w:fill="auto"/>
            <w:noWrap/>
            <w:hideMark/>
          </w:tcPr>
          <w:p w14:paraId="67BC32D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S-1+Iri</w:t>
            </w:r>
          </w:p>
        </w:tc>
        <w:tc>
          <w:tcPr>
            <w:tcW w:w="1322" w:type="dxa"/>
            <w:shd w:val="clear" w:color="auto" w:fill="auto"/>
            <w:noWrap/>
            <w:hideMark/>
          </w:tcPr>
          <w:p w14:paraId="39F7CEB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34 (70.8)</w:t>
            </w:r>
          </w:p>
        </w:tc>
        <w:tc>
          <w:tcPr>
            <w:tcW w:w="1623" w:type="dxa"/>
            <w:gridSpan w:val="2"/>
            <w:shd w:val="clear" w:color="auto" w:fill="auto"/>
            <w:noWrap/>
            <w:hideMark/>
          </w:tcPr>
          <w:p w14:paraId="72C2A73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70 (47-78)</w:t>
            </w:r>
          </w:p>
        </w:tc>
        <w:tc>
          <w:tcPr>
            <w:tcW w:w="1379" w:type="dxa"/>
            <w:shd w:val="clear" w:color="auto" w:fill="auto"/>
            <w:noWrap/>
            <w:hideMark/>
          </w:tcPr>
          <w:p w14:paraId="309697B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1C46348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45844B6B" w14:textId="77777777" w:rsidTr="00B61A3A">
        <w:trPr>
          <w:trHeight w:val="255"/>
        </w:trPr>
        <w:tc>
          <w:tcPr>
            <w:tcW w:w="2552" w:type="dxa"/>
            <w:shd w:val="clear" w:color="auto" w:fill="auto"/>
            <w:noWrap/>
            <w:hideMark/>
          </w:tcPr>
          <w:p w14:paraId="4E4A29C3" w14:textId="7A9907F0"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Narahara 2011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{"citationItems":[{"id":"ITEM-1","itemData":{"DOI":"10.1007/s10120-011-0009-5","ISBN":"1436-3291 (Print)","ISSN":"14363291","PMID":"21340666","abstract":"BACKGROUND: Irinotecan hydrochloride and S-1, an oral fluoropyrimidine, have shown antitumor activity against advanced gastric cancer as single agents in phase I/II studies. The combination of irinotecan and S-1 (IRI-S) is also active against advanced gastric cancer. This study was conducted to compare the efficacy and safety of IRI-S versus S-1 monotherapy in patients with advanced or recurrent gastric cancer.\\n\\nMETHODS: Patients were randomly assigned to oral S-1 (80 mg/m² daily for 28 days every 6 weeks) or oral S-1 (80 mg/m² daily for 21 days every 5 weeks) plus irinotecan (80 mg/m² by intravenous infusion on days 1 and 15 every 5 weeks) (IRI-S). The primary endpoint was overall survival. Secondary endpoints included the time to treatment failure, 1- and 2-year survival rates, response rate, and safety.\\n\\nRESULTS: The median survival time with IRI-S versus S-1 monotherapy was 12.8 versus 10.5 months (P = 0.233), time to treatment failure was 4.5 versus 3.6 months (P = 0.157), and the 1-year survival rate was 52.0 versus 44.9%, respectively. The response rate was significantly higher for IRI-S than for S-1 monotherapy (41.5 vs. 26.9%, P = 0.035). Neutropenia and diarrhea occurred more frequently with IRI-S, but were manageable. Patients treated with IRI-S received more courses of therapy at a relative dose intensity similar to that of S-1 monotherapy.\\n\\nCONCLUSIONS: Although IRI-S achieved longer median survival than S-1 monotherapy and was well tolerated, it did not show significant superiority in this study.","author":[{"dropping-particle":"","family":"Narahara","given":"Hiroyuki","non-dropping-particle":"","parse-names":false,"suffix":""},{"dropping-particle":"","family":"Iishi","given":"Hiroyasu","non-dropping-particle":"","parse-names":false,"suffix":""},{"dropping-particle":"","family":"Imamura","given":"Hiroshi","non-dropping-particle":"","parse-names":false,"suffix":""},{"dropping-particle":"","family":"Tsuburaya","given":"Akira","non-dropping-particle":"","parse-names":false,"suffix":""},{"dropping-particle":"","family":"Chin","given":"Keisho","non-dropping-particle":"","parse-names":false,"suffix":""},{"dropping-particle":"","family":"Imamoto","given":"Haruhiko","non-dropping-particle":"","parse-names":false,"suffix":""},{"dropping-particle":"","family":"Esaki","given":"Taito","non-dropping-particle":"","parse-names":false,"suffix":""},{"dropping-particle":"","family":"Furukawa","given":"Hiroshi","non-dropping-particle":"","parse-names":false,"suffix":""},{"dropping-particle":"","family":"Hamada","given":"Chikuma","non-dropping-particle":"","parse-names":false,"suffix":""},{"dropping-particle":"","family":"Sakata","given":"Yuh","non-dropping-particle":"","parse-names":false,"suffix":""}],"container-title":"Gastric Cancer","id":"ITEM-1","issue":"1","issued":{"date-parts":[["2011"]]},"page":"72-80","title":"Randomized phase III study comparing the efficacy and safety of irinotecan plus S-1 with S-1 alone as first-line treatment for advanced gastric cancer (study GC0301/TOP-002)","type":"article-journal","volume":"14"},"uris":["http://www.mendeley.com/documents/?uuid=08855916-e4f2-47cb-ac4b-5fedd806c3b0"]}],"mendeley":{"formattedCitation":"[61]","plainTextFormattedCitation":"[61]","previouslyFormattedCitation":"[61]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E30F17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155</w:t>
            </w:r>
          </w:p>
        </w:tc>
        <w:tc>
          <w:tcPr>
            <w:tcW w:w="1708" w:type="dxa"/>
            <w:gridSpan w:val="2"/>
            <w:shd w:val="clear" w:color="auto" w:fill="auto"/>
            <w:noWrap/>
            <w:hideMark/>
          </w:tcPr>
          <w:p w14:paraId="06AC0A9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S-1+Iri</w:t>
            </w:r>
          </w:p>
        </w:tc>
        <w:tc>
          <w:tcPr>
            <w:tcW w:w="1322" w:type="dxa"/>
            <w:shd w:val="clear" w:color="auto" w:fill="auto"/>
            <w:noWrap/>
            <w:hideMark/>
          </w:tcPr>
          <w:p w14:paraId="1120259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110 (71)</w:t>
            </w:r>
          </w:p>
        </w:tc>
        <w:tc>
          <w:tcPr>
            <w:tcW w:w="1623" w:type="dxa"/>
            <w:gridSpan w:val="2"/>
            <w:shd w:val="clear" w:color="auto" w:fill="auto"/>
            <w:noWrap/>
            <w:hideMark/>
          </w:tcPr>
          <w:p w14:paraId="194E012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63 (33-75)</w:t>
            </w:r>
          </w:p>
        </w:tc>
        <w:tc>
          <w:tcPr>
            <w:tcW w:w="1379" w:type="dxa"/>
            <w:shd w:val="clear" w:color="auto" w:fill="auto"/>
            <w:noWrap/>
            <w:hideMark/>
          </w:tcPr>
          <w:p w14:paraId="608FB22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155 (100)</w:t>
            </w:r>
          </w:p>
        </w:tc>
        <w:tc>
          <w:tcPr>
            <w:tcW w:w="797" w:type="dxa"/>
            <w:shd w:val="clear" w:color="auto" w:fill="auto"/>
            <w:noWrap/>
            <w:hideMark/>
          </w:tcPr>
          <w:p w14:paraId="03B157D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 (3)</w:t>
            </w:r>
          </w:p>
        </w:tc>
      </w:tr>
      <w:tr w:rsidR="00B61A3A" w:rsidRPr="007D2E2F" w14:paraId="7C081665" w14:textId="77777777" w:rsidTr="00B61A3A">
        <w:trPr>
          <w:trHeight w:val="255"/>
        </w:trPr>
        <w:tc>
          <w:tcPr>
            <w:tcW w:w="2552" w:type="dxa"/>
            <w:shd w:val="clear" w:color="auto" w:fill="auto"/>
            <w:noWrap/>
            <w:hideMark/>
          </w:tcPr>
          <w:p w14:paraId="7F4E200F" w14:textId="7E9647FC"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Sugimoto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{"citationItems":[{"id":"ITEM-1","itemData":{"ISBN":"1791-7530","ISSN":"0250-7005","PMID":"24511022","abstract":"Background: S-1-based regimens are commonly used for advanced gastric cancer (AGC) in Japan. We performed this trial to evaluate the efficacy and safety of S-1 plus irinotecan (SIri) and S-1 plus paclitaxel (SPac) as first-line treatments for AGC in order to select the optimal regimen for a subsequent phase III trial. Patients and Methods: Patients with previously untreated, locally advanced or metastatic measurable gastric adenocarcinoma were randomly assigned to receive SIri (irinotecan 80 mg/m(2) was administered intravenously (i.v.) on day I and 15, while 40 mg/m(2) S-1 was orally administered twice daily for three weeks from days 1-21 followed by a two-week pause) or SPac (paclitaxel 50 mg/m(2) was administered i.v. on day 1 and 8, while 40 mg/m(2) S-1 was orally administered twice daily for two weeks from day 1-14 followed by a one-week pause) regimen. The primary end-point was the overall response rate (ORR), and the secondary end-points were progression-free survival (PFS), overall survival (OS), and toxicity. Results: A total of 102 patients were enrolled. The ORR was 33.3% for Ski and 31.4% for SPac, which did not achieved the predicted ORR in either group. PFS and OS were 5.7 and 12.4 months for SIri, 4.6 and 11.9 months for SPac respectively. No treatment-related deaths occurred during the study. Although grade 314 neutropenia and anemia were more frequent in the Siri group, both regimens were well-tolerated. Conclusion: Both regimens were well-tolerated in patients with AGC, but we conclude that neither regimen was optimal for a phase III trial","author":[{"dropping-particle":"","family":"Sugimoto","given":"Naotoshi","non-dropping-particle":"","parse-names":false,"suffix":""},{"dropping-particle":"","family":"Fujitani","given":"Kazumasa","non-dropping-particle":"","parse-names":false,"suffix":""},{"dropping-particle":"","family":"Imamura","given":"Hiroshi","non-dropping-particle":"","parse-names":false,"suffix":""},{"dropping-particle":"","family":"Uedo","given":"Noriya","non-dropping-particle":"","parse-names":false,"suffix":""},{"dropping-particle":"","family":"Iijima","given":"Shohei","non-dropping-particle":"","parse-names":false,"suffix":""},{"dropping-particle":"","family":"Imano","given":"Motohiro","non-dropping-particle":"","parse-names":false,"suffix":""},{"dropping-particle":"","family":"Shimokawa","given":"Toshio","non-dropping-particle":"","parse-names":false,"suffix":""},{"dropping-particle":"","family":"Kurokawa","given":"Yukinori","non-dropping-particle":"","parse-names":false,"suffix":""},{"dropping-particle":"","family":"Furukawa","given":"Hiroshi","non-dropping-particle":"","parse-names":false,"suffix":""},{"dropping-particle":"","family":"Goto","given":"Masahiro","non-dropping-particle":"","parse-names":false,"suffix":""}],"container-title":"Anticancer Research","id":"ITEM-1","issue":"2","issued":{"date-parts":[["2014"]]},"page":"851-857","title":"Randomized Phase II Trial of S-1 plus Irinotecan Versus S-1 plus Paclitaxel as First-line Treatment for Advanced Gastric Cancer (OGSG0402)","type":"article-journal","volume":"34"},"uris":["http://www.mendeley.com/documents/?uuid=598dd626-739a-4ed1-a668-9563651f17bb"]}],"mendeley":{"formattedCitation":"[62]","plainTextFormattedCitation":"[62]","previouslyFormattedCitation":"[62]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[62]</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330D7A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51</w:t>
            </w:r>
          </w:p>
        </w:tc>
        <w:tc>
          <w:tcPr>
            <w:tcW w:w="1708" w:type="dxa"/>
            <w:gridSpan w:val="2"/>
            <w:shd w:val="clear" w:color="auto" w:fill="auto"/>
            <w:noWrap/>
            <w:hideMark/>
          </w:tcPr>
          <w:p w14:paraId="33CD492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S-1+Iri</w:t>
            </w:r>
          </w:p>
        </w:tc>
        <w:tc>
          <w:tcPr>
            <w:tcW w:w="1322" w:type="dxa"/>
            <w:shd w:val="clear" w:color="auto" w:fill="auto"/>
            <w:noWrap/>
            <w:hideMark/>
          </w:tcPr>
          <w:p w14:paraId="657D2FC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38 (75)</w:t>
            </w:r>
          </w:p>
        </w:tc>
        <w:tc>
          <w:tcPr>
            <w:tcW w:w="1623" w:type="dxa"/>
            <w:gridSpan w:val="2"/>
            <w:shd w:val="clear" w:color="auto" w:fill="auto"/>
            <w:noWrap/>
            <w:hideMark/>
          </w:tcPr>
          <w:p w14:paraId="0E9E6C0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(25-75)</w:t>
            </w:r>
          </w:p>
        </w:tc>
        <w:tc>
          <w:tcPr>
            <w:tcW w:w="1379" w:type="dxa"/>
            <w:shd w:val="clear" w:color="auto" w:fill="auto"/>
            <w:noWrap/>
            <w:hideMark/>
          </w:tcPr>
          <w:p w14:paraId="6EA37C7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10E9FFD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 (4)</w:t>
            </w:r>
          </w:p>
        </w:tc>
      </w:tr>
      <w:tr w:rsidR="00B61A3A" w:rsidRPr="007D2E2F" w14:paraId="14B8E7C9" w14:textId="77777777" w:rsidTr="00B61A3A">
        <w:trPr>
          <w:trHeight w:val="255"/>
        </w:trPr>
        <w:tc>
          <w:tcPr>
            <w:tcW w:w="3008" w:type="dxa"/>
            <w:gridSpan w:val="2"/>
            <w:shd w:val="clear" w:color="auto" w:fill="auto"/>
            <w:noWrap/>
            <w:hideMark/>
          </w:tcPr>
          <w:p w14:paraId="5D500B3D"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5-FU+Oxaliplatin</w:t>
            </w:r>
          </w:p>
        </w:tc>
        <w:tc>
          <w:tcPr>
            <w:tcW w:w="1708" w:type="dxa"/>
            <w:gridSpan w:val="2"/>
            <w:shd w:val="clear" w:color="auto" w:fill="auto"/>
            <w:noWrap/>
            <w:hideMark/>
          </w:tcPr>
          <w:p w14:paraId="62CC0863" w14:textId="77777777" w:rsidR="00B61A3A" w:rsidRPr="007D2E2F" w:rsidRDefault="00B61A3A" w:rsidP="00B61A3A">
            <w:pPr>
              <w:spacing w:before="240" w:line="360" w:lineRule="auto"/>
              <w:rPr>
                <w:rFonts w:ascii="Times New Roman" w:eastAsia="Times New Roman" w:hAnsi="Times New Roman"/>
                <w:b/>
                <w:color w:val="000000"/>
                <w:sz w:val="16"/>
                <w:szCs w:val="16"/>
                <w:u w:val="single"/>
              </w:rPr>
            </w:pPr>
            <w:r w:rsidRPr="007D2E2F">
              <w:rPr>
                <w:rFonts w:ascii="Times New Roman" w:eastAsia="Times New Roman" w:hAnsi="Times New Roman"/>
                <w:b/>
                <w:color w:val="000000"/>
                <w:sz w:val="16"/>
                <w:szCs w:val="16"/>
                <w:u w:val="single"/>
              </w:rPr>
              <w:t>FOX</w:t>
            </w:r>
          </w:p>
        </w:tc>
        <w:tc>
          <w:tcPr>
            <w:tcW w:w="1322" w:type="dxa"/>
            <w:shd w:val="clear" w:color="auto" w:fill="auto"/>
            <w:noWrap/>
            <w:hideMark/>
          </w:tcPr>
          <w:p w14:paraId="486AA70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3E96114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1E20CB6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6B28BBC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2F683B4C" w14:textId="77777777" w:rsidTr="00B61A3A">
        <w:trPr>
          <w:trHeight w:val="255"/>
        </w:trPr>
        <w:tc>
          <w:tcPr>
            <w:tcW w:w="2552" w:type="dxa"/>
            <w:shd w:val="clear" w:color="auto" w:fill="auto"/>
            <w:noWrap/>
            <w:hideMark/>
          </w:tcPr>
          <w:p w14:paraId="14A0D4E0" w14:textId="02266359"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Al-Batran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{"citationItems":[{"id":"ITEM-1","itemData":{"DOI":"10.1200/JCO.2007.13.9378","ISBN":"1527-7755 (Electronic)\\r0732-183X (Linking)","ISSN":"0732-183X","PMID":"18349393","abstract":"PURPOSE: This study was designed to compare fluorouracil, leucovorin, and oxaliplatin with fluorouracil, leucovorin, and cisplatin in patients with advanced gastric cancer. PATIENTS AND METHODS: Patients with previously untreated advanced adenocarcinoma of the stomach or esophagogastric junction were randomly assigned to receive either fluorouracil 2,600 mg/m(2) via 24-hour infusion, leucovorin 200 mg/m(2), and oxaliplatin 85 mg/m(2) (FLO) every 2 weeks or fluorouracil 2,000 mg/m(2) via 24-hour infusion, leucovorin 200 mg/m(2) weekly, and cisplatin 50 mg/m(2) every 2 weeks (FLP). The primary end point was progression-free survival (PFS). RESULTS: Two hundred twenty patients (median age, 64 years; metastatic, 94%) were randomly assigned. FLO was associated with significantly less (any grade) anemia (54% v 72%), nausea (53% v 70%), vomiting (31% v 52%), alopecia (22% v 39%), fatigue (19% v 34%), renal toxicity (11% v 34%), thromboembolic events (0.9% v 7.8%), and serious adverse events related to the treatment (9% v 19%). FLP was associated with significantly less peripheral neuropathy (22% v 63%). There was a trend toward improved median PFS with FLO versus FLP (5.8 v 3.9 months, respectively; P = .077) and no significant difference in median overall survival (10.7 v 8.8 months, respectively). However, in patients older than 65 years (n = 94), treatment with FLO resulted in significantly superior response rates (41.3% v 16.7%; P = .012), time to treatment failure (5.4 v 2.3 months; P &lt; .001), and PFS (6.0 v 3.1 month; P = .029) and an improved OS (13.9 v 7.2 months) as compared with FLP, respectively. CONCLUSION: FLO reduced toxicity as compared with FLP. In older adult patients, FLO also seemed to be associated with improved efficacy.","author":[{"dropping-particle":"","family":"Al-Batran","given":"Salah-Eddin","non-dropping-particle":"","parse-names":false,"suffix":""},{"dropping-particle":"","family":"Hartmann","given":"Joerg Thomas","non-dropping-particle":"","parse-names":false,"suffix":""},{"dropping-particle":"","family":"Probst","given":"Stephan","non-dropping-particle":"","parse-names":false,"suffix":""},{"dropping-particle":"","family":"Schmalenberg","given":"Harald","non-dropping-particle":"","parse-names":false,"suffix":""},{"dropping-particle":"","family":"Hollerbach","given":"Stephan","non-dropping-particle":"","parse-names":false,"suffix":""},{"dropping-particle":"","family":"Hofheinz","given":"Ralf","non-dropping-particle":"","parse-names":false,"suffix":""},{"dropping-particle":"","family":"Rethwisch","given":"Volker","non-dropping-particle":"","parse-names":false,"suffix":""},{"dropping-particle":"","family":"Seipelt","given":"Gernot","non-dropping-particle":"","parse-names":false,"suffix":""},{"dropping-particle":"","family":"Homann","given":"Nils","non-dropping-particle":"","parse-names":false,"suffix":""},{"dropping-particle":"","family":"Wilhelm","given":"Gerhard","non-dropping-particle":"","parse-names":false,"suffix":""},{"dropping-particle":"","family":"Schuch","given":"Gunter","non-dropping-particle":"","parse-names":false,"suffix":""},{"dropping-particle":"","family":"Stoehlmacher","given":"Jan","non-dropping-particle":"","parse-names":false,"suffix":""},{"dropping-particle":"","family":"Derigs","given":"Hans Günter","non-dropping-particle":"","parse-names":false,"suffix":""},{"dropping-particle":"","family":"Hegewisch-Becker","given":"Susanna","non-dropping-particle":"","parse-names":false,"suffix":""},{"dropping-particle":"","family":"Grossmann","given":"Johannes","non-dropping-particle":"","parse-names":false,"suffix":""},{"dropping-particle":"","family":"Pauligk","given":"Claudia","non-dropping-particle":"","parse-names":false,"suffix":""},{"dropping-particle":"","family":"Atmaca","given":"Akin","non-dropping-particle":"","parse-names":false,"suffix":""},{"dropping-particle":"","family":"Bokemeyer","given":"Carsten","non-dropping-particle":"","parse-names":false,"suffix":""},{"dropping-particle":"","family":"Knuth","given":"Alexander","non-dropping-particle":"","parse-names":false,"suffix":""},{"dropping-particle":"","family":"Jäger","given":"Elke","non-dropping-particle":"","parse-names":false,"suffix":""}],"container-title":"Journal of Clinical Oncology","id":"ITEM-1","issue":"9","issued":{"date-parts":[["2008","3","20"]]},"page":"1435-1442","title":"Phase III Trial in Metastatic Gastroesophageal Adenocarcinoma with Fluorouracil, Leucovorin Plus Either Oxaliplatin or Cisplatin: A Study of the Arbeitsgemeinschaft Internistische Onkologie","type":"article-journal","volume":"26"},"uris":["http://www.mendeley.com/documents/?uuid=5cdf9334-8aac-4fd8-b085-f8912e6cd9a6"]}],"mendeley":{"formattedCitation":"[27]","plainTextFormattedCitation":"[27]","previouslyFormattedCitation":"[27]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9135A7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112</w:t>
            </w:r>
          </w:p>
        </w:tc>
        <w:tc>
          <w:tcPr>
            <w:tcW w:w="1708" w:type="dxa"/>
            <w:gridSpan w:val="2"/>
            <w:shd w:val="clear" w:color="auto" w:fill="auto"/>
            <w:noWrap/>
            <w:hideMark/>
          </w:tcPr>
          <w:p w14:paraId="7682267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5-FU/LV+Ox</w:t>
            </w:r>
          </w:p>
        </w:tc>
        <w:tc>
          <w:tcPr>
            <w:tcW w:w="1322" w:type="dxa"/>
            <w:shd w:val="clear" w:color="auto" w:fill="auto"/>
            <w:noWrap/>
            <w:hideMark/>
          </w:tcPr>
          <w:p w14:paraId="7A0AE66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(57)</w:t>
            </w:r>
          </w:p>
        </w:tc>
        <w:tc>
          <w:tcPr>
            <w:tcW w:w="1623" w:type="dxa"/>
            <w:gridSpan w:val="2"/>
            <w:shd w:val="clear" w:color="auto" w:fill="auto"/>
            <w:noWrap/>
            <w:hideMark/>
          </w:tcPr>
          <w:p w14:paraId="0F36777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(33-86)</w:t>
            </w:r>
          </w:p>
        </w:tc>
        <w:tc>
          <w:tcPr>
            <w:tcW w:w="1379" w:type="dxa"/>
            <w:shd w:val="clear" w:color="auto" w:fill="auto"/>
            <w:noWrap/>
            <w:hideMark/>
          </w:tcPr>
          <w:p w14:paraId="37917C3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109 (97)</w:t>
            </w:r>
          </w:p>
        </w:tc>
        <w:tc>
          <w:tcPr>
            <w:tcW w:w="797" w:type="dxa"/>
            <w:shd w:val="clear" w:color="auto" w:fill="auto"/>
            <w:noWrap/>
            <w:hideMark/>
          </w:tcPr>
          <w:p w14:paraId="635783C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9 (8)</w:t>
            </w:r>
          </w:p>
        </w:tc>
      </w:tr>
      <w:tr w:rsidR="00B61A3A" w:rsidRPr="007D2E2F" w14:paraId="054FAF38" w14:textId="77777777" w:rsidTr="00B61A3A">
        <w:trPr>
          <w:trHeight w:val="255"/>
        </w:trPr>
        <w:tc>
          <w:tcPr>
            <w:tcW w:w="2552" w:type="dxa"/>
            <w:shd w:val="clear" w:color="auto" w:fill="auto"/>
            <w:noWrap/>
            <w:hideMark/>
          </w:tcPr>
          <w:p w14:paraId="4CB794B2" w14:textId="3814D896"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Al-batran 2013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{"citationItems":[{"id":"ITEM-1","itemData":{"DOI":"10.1016/j.ejca.2012.09.025","ISSN":"1879-0852","PMID":"23063354","abstract":"BACKGROUND: We evaluated the feasibility and tolerability of triple- versus double-drug chemotherapy in elderly patients with oesophagogastric cancer.\n\nMETHODS: Patients aged 65 years or older with locally advanced or metastatic oesophagogastric cancer were stratified and randomised to infusional 5-FU, leucovorin and oxaliplatin without (FLO) or with docetaxel 50 mg/m(2) (FLOT) every 2 weeks. The study is registered at ClinicalTrials.gov, identifier NCT00737373.\n\nFINDINGS: One hundred and forty three (FLO, 71; FLOT, 72) patients with a median age of 70 years were enrolled. The triple combination was associated with more treatment-related National Cancer Institute Common Toxicity Criteria (NCI-CTC) grade 3/4 adverse events (FLOT, 81.9%; FLO, 38.6%; P&lt;.001) and more patients experiencing a ≥10-points deterioration of European Organization for Research and Treatment of Cancer Quality of Life (EORTC QoL) global health status scores (FLOT, 47.5%; FLO 20.5%; p=.011). The triple combination was associated with more alopecia (P&lt;.001), neutropenia (P&lt;.001), leukopenia (P&lt;.001), diarrhoea (P=.006) and nausea (P=.029).). No differences were observed in treatment duration and discontinuation due to toxicity, cumulative doses or toxic deaths between arms. The triple combination improved response rates and progression-free survival in the locally advanced subgroup and in the subgroup of patients aged between 65 and 70 years but not in the metastatic group or in patients aged 70 years and older.\n\nINTERPRETATION: The triple-drug chemotherapy was feasible in elderly patients with oesophagogastric cancer. However, toxicity was significantly increased and QoL deteriorated in a relevant proportion of patients.\n\nFUNDING: The study was partially funded by Sanofi-Aventis.","author":[{"dropping-particle":"","family":"Al-Batran","given":"Salah-Eddin","non-dropping-particle":"","parse-names":false,"suffix":""},{"dropping-particle":"","family":"Pauligk","given":"Claudia","non-dropping-particle":"","parse-names":false,"suffix":""},{"dropping-particle":"","family":"Homann","given":"Nils","non-dropping-particle":"","parse-names":false,"suffix":""},{"dropping-particle":"","family":"Hartmann","given":"Jörg T","non-dropping-particle":"","parse-names":false,"suffix":""},{"dropping-particle":"","family":"Moehler","given":"Markus","non-dropping-particle":"","parse-names":false,"suffix":""},{"dropping-particle":"","family":"Probst","given":"Stephan","non-dropping-particle":"","parse-names":false,"suffix":""},{"dropping-particle":"","family":"Rethwisch","given":"Volker","non-dropping-particle":"","parse-names":false,"suffix":""},{"dropping-particle":"","family":"Stoehlmacher-Williams","given":"Jan","non-dropping-particle":"","parse-names":false,"suffix":""},{"dropping-particle":"","family":"Prasnikar","given":"Nicole","non-dropping-particle":"","parse-names":false,"suffix":""},{"dropping-particle":"","family":"Hollerbach","given":"Stephan","non-dropping-particle":"","parse-names":false,"suffix":""},{"dropping-particle":"","family":"Bokemeyer","given":"Carsten","non-dropping-particle":"","parse-names":false,"suffix":""},{"dropping-particle":"","family":"Mahlberg","given":"Rolf","non-dropping-particle":"","parse-names":false,"suffix":""},{"dropping-particle":"","family":"Hofheinz","given":"Ralf D","non-dropping-particle":"","parse-names":false,"suffix":""},{"dropping-particle":"","family":"Luley","given":"Kim","non-dropping-particle":"","parse-names":false,"suffix":""},{"dropping-particle":"","family":"Kullmann","given":"Frank","non-dropping-particle":"","parse-names":false,"suffix":""},{"dropping-particle":"","family":"Jäger","given":"Elke","non-dropping-particle":"","parse-names":false,"suffix":""}],"container-title":"European journal of cancer (Oxford, England : 1990)","id":"ITEM-1","issue":"4","issued":{"date-parts":[["2013","3"]]},"page":"835-42","title":"The feasibility of triple-drug chemotherapy combination in older adult patients with oesophagogastric cancer: a randomised trial of the Arbeitsgemeinschaft Internistische Onkologie (FLOT65+).","type":"article-journal","volume":"49"},"uris":["http://www.mendeley.com/documents/?uuid=ee8e25a0-88fd-4405-bb84-677d50749b54"]}],"mendeley":{"formattedCitation":"[63]","plainTextFormattedCitation":"[63]","previouslyFormattedCitation":"[63]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[63]</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39D0527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71</w:t>
            </w:r>
          </w:p>
        </w:tc>
        <w:tc>
          <w:tcPr>
            <w:tcW w:w="1708" w:type="dxa"/>
            <w:gridSpan w:val="2"/>
            <w:shd w:val="clear" w:color="auto" w:fill="auto"/>
            <w:noWrap/>
            <w:hideMark/>
          </w:tcPr>
          <w:p w14:paraId="07F7BAD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5-FU/LV+Ox</w:t>
            </w:r>
          </w:p>
        </w:tc>
        <w:tc>
          <w:tcPr>
            <w:tcW w:w="1322" w:type="dxa"/>
            <w:shd w:val="clear" w:color="auto" w:fill="auto"/>
            <w:noWrap/>
            <w:hideMark/>
          </w:tcPr>
          <w:p w14:paraId="45C7219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 (63)</w:t>
            </w:r>
          </w:p>
        </w:tc>
        <w:tc>
          <w:tcPr>
            <w:tcW w:w="1623" w:type="dxa"/>
            <w:gridSpan w:val="2"/>
            <w:shd w:val="clear" w:color="auto" w:fill="auto"/>
            <w:noWrap/>
            <w:hideMark/>
          </w:tcPr>
          <w:p w14:paraId="035FAD9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70 (max: 82)</w:t>
            </w:r>
          </w:p>
        </w:tc>
        <w:tc>
          <w:tcPr>
            <w:tcW w:w="1379" w:type="dxa"/>
            <w:shd w:val="clear" w:color="auto" w:fill="auto"/>
            <w:noWrap/>
            <w:hideMark/>
          </w:tcPr>
          <w:p w14:paraId="0894362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49 (68)</w:t>
            </w:r>
          </w:p>
        </w:tc>
        <w:tc>
          <w:tcPr>
            <w:tcW w:w="797" w:type="dxa"/>
            <w:shd w:val="clear" w:color="auto" w:fill="auto"/>
            <w:noWrap/>
            <w:hideMark/>
          </w:tcPr>
          <w:p w14:paraId="38ED5E8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 (8)</w:t>
            </w:r>
          </w:p>
        </w:tc>
      </w:tr>
      <w:tr w:rsidR="00B61A3A" w:rsidRPr="00022291" w14:paraId="45E6F90E" w14:textId="77777777" w:rsidTr="00B61A3A">
        <w:trPr>
          <w:trHeight w:val="255"/>
        </w:trPr>
        <w:tc>
          <w:tcPr>
            <w:tcW w:w="2552" w:type="dxa"/>
            <w:shd w:val="clear" w:color="auto" w:fill="auto"/>
            <w:noWrap/>
            <w:hideMark/>
          </w:tcPr>
          <w:p w14:paraId="5D01B2D6" w14:textId="1B412FFD" w:rsidR="00B61A3A" w:rsidRPr="00F72E17"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hAnsi="Times New Roman"/>
                <w:b/>
                <w:color w:val="000000"/>
                <w:sz w:val="16"/>
                <w:szCs w:val="16"/>
              </w:rPr>
              <w:t xml:space="preserve">Yoon 2016 </w:t>
            </w:r>
            <w:r w:rsidRPr="007D2E2F">
              <w:rPr>
                <w:rFonts w:ascii="Times New Roman" w:hAnsi="Times New Roman"/>
                <w:color w:val="000000"/>
                <w:sz w:val="16"/>
                <w:szCs w:val="16"/>
              </w:rPr>
              <w:fldChar w:fldCharType="begin" w:fldLock="1"/>
            </w:r>
            <w:r w:rsidR="006739B2">
              <w:rPr>
                <w:rFonts w:ascii="Times New Roman" w:hAnsi="Times New Roman"/>
                <w:b/>
                <w:color w:val="000000"/>
                <w:sz w:val="16"/>
                <w:szCs w:val="16"/>
              </w:rPr>
              <w:instrText>ADDIN CSL_CITATION {"citationItems":[{"id":"ITEM-1","itemData":{"DOI":"10.1093/annonc/mdw423","ISSN":"0923-7534","PMID":"27765757","abstract":"BACKGROUND We report the first randomized, Phase II trial of ramucirumab, an anti-vascular endothelial growth factor receptor-2 monoclonal antibody, as front-line therapy in patients with advanced adenocarcinoma of the esophagus or gastric/gastroesophageal junction (GEJ). PATIENTS AND METHODS Patients from the USA with advanced esophageal, gastric, or GEJ adenocarcinoma randomly received (1:1) mFOLFOX6 plus ramucirumab (8 mg/kg) or mFOLFOX6 plus placebo every 2 weeks. The primary end point was progression-free survival (PFS) with 80% power to detect a hazard ratio (HR) of 0.71 (one-sided α = 0.15). Secondary end points included evaluation of response and overall survival (OS); an exploratory ramucirumab exposure-response analysis was undertaken. RESULTS Of 168 randomized patients, 52% of tumors were located in the stomach/GEJ and 48% in the esophagus. The trial did not meet the primary end point of PFS [6.4 versus 6.7 months, HR 0.98 (95% confidence interval 0.69-1.37)] or the secondary end point of OS (11.7 versus 11.5 months) in the intent-to-treat (ITT) population. Objective response rates (45.2% versus 46.4%) w</w:instrText>
            </w:r>
            <w:r w:rsidR="006739B2">
              <w:rPr>
                <w:rFonts w:ascii="Times New Roman" w:hAnsi="Times New Roman" w:hint="eastAsia"/>
                <w:b/>
                <w:color w:val="000000"/>
                <w:sz w:val="16"/>
                <w:szCs w:val="16"/>
              </w:rPr>
              <w:instrText xml:space="preserve">ere similar between arms. Most Grade </w:instrText>
            </w:r>
            <w:r w:rsidR="006739B2">
              <w:rPr>
                <w:rFonts w:ascii="Times New Roman" w:hAnsi="Times New Roman" w:hint="eastAsia"/>
                <w:b/>
                <w:color w:val="000000"/>
                <w:sz w:val="16"/>
                <w:szCs w:val="16"/>
              </w:rPr>
              <w:instrText>≥</w:instrText>
            </w:r>
            <w:r w:rsidR="006739B2">
              <w:rPr>
                <w:rFonts w:ascii="Times New Roman" w:hAnsi="Times New Roman" w:hint="eastAsia"/>
                <w:b/>
                <w:color w:val="000000"/>
                <w:sz w:val="16"/>
                <w:szCs w:val="16"/>
              </w:rPr>
              <w:instrText>3 toxicities did not differ significantly between arms, yet premature discontinuation of FOLFOX and ramucirumab (for reasons other than progressive disease) was more common among ramucirumab- versus placebo-treated pa</w:instrText>
            </w:r>
            <w:r w:rsidR="006739B2">
              <w:rPr>
                <w:rFonts w:ascii="Times New Roman" w:hAnsi="Times New Roman"/>
                <w:b/>
                <w:color w:val="000000"/>
                <w:sz w:val="16"/>
                <w:szCs w:val="16"/>
              </w:rPr>
              <w:instrText>tients. In an exploratory analysis that censored for premature discontinuation, the HR for PFS favored the ramucirumab arm (HR 0.76), particularly in patients with gastric/GEJ cancer. An exploratory exposure-response analysis indicated that patients with higher ramucirumab exposure had longer OS. CONCLUSION The addition of ramucirumab to front-line mFOLFOX6 did not improve PFS in the ITT population. CLINICALTRIALSGOV IDENTIFIER NCT01246960.","author":[{"dropping-particle":"","family":"Yoon","given":"H. H.","non-dropping-particle":"","parse-names":false,"suffix":""},{"dropping-particle":"","family":"Bendell","given":"J. C.","non-dropping-particle":"","parse-names":false,"suffix":""},{"dropping-particle":"","family":"Braiteh","given":"F. S.","non-dropping-particle":"","parse-names":false,"suffix":""},{"dropping-particle":"","family":"Firdaus","given":"I.","non-dropping-particle":"","parse-names":false,"suffix":""},{"dropping-particle":"","family":"Philip","given":"P. A.","non-dropping-particle":"","parse-names":false,"suffix":""},{"dropping-particle":"","family":"Cohn","given":"A. L.","non-dropping-particle":"","parse-names":false,"suffix":""},{"dropping-particle":"","family":"Lewis","given":"N.","non-dropping-particle":"","parse-names":false,"suffix":""},{"dropping-particle":"","family":"Anderson","given":"D. M.","non-dropping-particle":"","parse-names":false,"suffix":""},{"dropping-particle":"","family":"Arrowsmith","given":"E.","non-dropping-particle":"","parse-names":false,"suffix":""},{"dropping-particle":"","family":"Schwartz","given":"J. D.","non-dropping-particle":"","parse-names":false,"suffix":""},{"dropping-particle":"","family":"Gao","given":"L.","non-dropping-particle":"","parse-names":false,"suffix":""},{"dropping-particle":"","family":"Hsu","given":"Y.","non-dropping-particle":"","parse-names":false,"suffix":""},{"dropping-particle":"","family":"Xu","given":"Y.","non-dropping-particle":"","parse-names":false,"suffix":""},{"dropping-particle":"","family":"Ferry","given":"D.","non-dropping-particle":"","parse-names":false,"suffix":""},{"dropping-particle":"","family":"Alberts","given":"S. R.","non-dropping-particle":"","parse-names":false,"suffix":""},{"dropping-particle":"","family":"Wainberg","given":"Z. A.","non-dropping-particle":"","parse-names":false,"suffix":""}],"container-title":"Annals of Oncology","id":"ITEM-1","issue":"12","issued":{"date-parts":[["2016"]]},"page":"2196-2203","title":"Ramucirumab combined with FOLFOX as front-line therapy for advanced esophageal, gastroesophageal junction, or gastric adenocarcinoma: a randomized, double-blind, multicenter Phase II trial","type":"article-journal","volume":"27"},"uris":["http://www.mendeley.com/documents/?uuid=63ec5803-217d-4be0-a21b-203c0133a213"]}],"mendeley":{"formattedCitation":"[64]","plainTextFormattedCitation":"[64]","previouslyFormattedCitation":"[64]"},"properties":{"noteIndex":0},"schema":"https://github.com/citation-style-language/schema/raw/master/csl-citation.json"}</w:instrText>
            </w:r>
            <w:r w:rsidRPr="007D2E2F">
              <w:rPr>
                <w:rFonts w:ascii="Times New Roman" w:hAnsi="Times New Roman"/>
                <w:color w:val="000000"/>
                <w:sz w:val="16"/>
                <w:szCs w:val="16"/>
              </w:rPr>
              <w:fldChar w:fldCharType="separate"/>
            </w:r>
            <w:r w:rsidR="006739B2" w:rsidRPr="006739B2">
              <w:rPr>
                <w:rFonts w:ascii="Times New Roman" w:hAnsi="Times New Roman"/>
                <w:noProof/>
                <w:color w:val="000000"/>
                <w:sz w:val="16"/>
                <w:szCs w:val="16"/>
                <w:lang w:val="en-US"/>
              </w:rPr>
              <w:t>[64]</w:t>
            </w:r>
            <w:r w:rsidRPr="007D2E2F">
              <w:rPr>
                <w:rFonts w:ascii="Times New Roman" w:hAnsi="Times New Roman"/>
                <w:color w:val="000000"/>
                <w:sz w:val="16"/>
                <w:szCs w:val="16"/>
              </w:rPr>
              <w:fldChar w:fldCharType="end"/>
            </w:r>
          </w:p>
        </w:tc>
        <w:tc>
          <w:tcPr>
            <w:tcW w:w="456" w:type="dxa"/>
            <w:shd w:val="clear" w:color="auto" w:fill="auto"/>
            <w:noWrap/>
            <w:hideMark/>
          </w:tcPr>
          <w:p w14:paraId="25369E20"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84</w:t>
            </w:r>
          </w:p>
        </w:tc>
        <w:tc>
          <w:tcPr>
            <w:tcW w:w="1708" w:type="dxa"/>
            <w:gridSpan w:val="2"/>
            <w:shd w:val="clear" w:color="auto" w:fill="auto"/>
            <w:noWrap/>
            <w:hideMark/>
          </w:tcPr>
          <w:p w14:paraId="3B5CF80F"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5-FU/</w:t>
            </w:r>
            <w:proofErr w:type="spellStart"/>
            <w:r w:rsidRPr="00F72E17">
              <w:rPr>
                <w:rFonts w:ascii="Times New Roman" w:hAnsi="Times New Roman"/>
                <w:color w:val="000000"/>
                <w:sz w:val="16"/>
                <w:szCs w:val="16"/>
                <w:lang w:val="en-US"/>
              </w:rPr>
              <w:t>LV+Ox</w:t>
            </w:r>
            <w:proofErr w:type="spellEnd"/>
          </w:p>
        </w:tc>
        <w:tc>
          <w:tcPr>
            <w:tcW w:w="1322" w:type="dxa"/>
            <w:shd w:val="clear" w:color="auto" w:fill="auto"/>
            <w:noWrap/>
            <w:hideMark/>
          </w:tcPr>
          <w:p w14:paraId="78A52765"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61 (73)</w:t>
            </w:r>
          </w:p>
        </w:tc>
        <w:tc>
          <w:tcPr>
            <w:tcW w:w="1623" w:type="dxa"/>
            <w:gridSpan w:val="2"/>
            <w:shd w:val="clear" w:color="auto" w:fill="auto"/>
            <w:noWrap/>
            <w:hideMark/>
          </w:tcPr>
          <w:p w14:paraId="72E5469F"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60 (34-82)</w:t>
            </w:r>
          </w:p>
        </w:tc>
        <w:tc>
          <w:tcPr>
            <w:tcW w:w="1379" w:type="dxa"/>
            <w:shd w:val="clear" w:color="auto" w:fill="auto"/>
            <w:noWrap/>
            <w:hideMark/>
          </w:tcPr>
          <w:p w14:paraId="60D3488E"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84 (100)</w:t>
            </w:r>
          </w:p>
        </w:tc>
        <w:tc>
          <w:tcPr>
            <w:tcW w:w="797" w:type="dxa"/>
            <w:shd w:val="clear" w:color="auto" w:fill="auto"/>
            <w:noWrap/>
            <w:hideMark/>
          </w:tcPr>
          <w:p w14:paraId="24936719"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hAnsi="Times New Roman"/>
                <w:color w:val="000000"/>
                <w:sz w:val="16"/>
                <w:szCs w:val="16"/>
                <w:lang w:val="en-US"/>
              </w:rPr>
              <w:t>0 (0)</w:t>
            </w:r>
          </w:p>
        </w:tc>
      </w:tr>
      <w:tr w:rsidR="00B61A3A" w:rsidRPr="00022291" w14:paraId="1E3B41CA" w14:textId="77777777" w:rsidTr="00B61A3A">
        <w:trPr>
          <w:trHeight w:val="255"/>
        </w:trPr>
        <w:tc>
          <w:tcPr>
            <w:tcW w:w="3008" w:type="dxa"/>
            <w:gridSpan w:val="2"/>
            <w:shd w:val="clear" w:color="auto" w:fill="auto"/>
            <w:noWrap/>
            <w:hideMark/>
          </w:tcPr>
          <w:p w14:paraId="48ED7929" w14:textId="77777777" w:rsidR="00B61A3A" w:rsidRPr="00F72E17" w:rsidRDefault="00B61A3A" w:rsidP="00B61A3A">
            <w:pPr>
              <w:spacing w:before="240" w:line="360" w:lineRule="auto"/>
              <w:rPr>
                <w:rFonts w:ascii="Times New Roman" w:eastAsia="Times New Roman" w:hAnsi="Times New Roman"/>
                <w:color w:val="000000"/>
                <w:sz w:val="16"/>
                <w:szCs w:val="16"/>
                <w:u w:val="single"/>
                <w:lang w:val="en-US"/>
              </w:rPr>
            </w:pPr>
            <w:r w:rsidRPr="00F72E17">
              <w:rPr>
                <w:rFonts w:ascii="Times New Roman" w:eastAsia="Times New Roman" w:hAnsi="Times New Roman"/>
                <w:color w:val="000000"/>
                <w:sz w:val="16"/>
                <w:szCs w:val="16"/>
                <w:u w:val="single"/>
                <w:lang w:val="en-US"/>
              </w:rPr>
              <w:t>S-1+Oxaliplatin</w:t>
            </w:r>
          </w:p>
        </w:tc>
        <w:tc>
          <w:tcPr>
            <w:tcW w:w="1708" w:type="dxa"/>
            <w:gridSpan w:val="2"/>
            <w:shd w:val="clear" w:color="auto" w:fill="auto"/>
            <w:noWrap/>
            <w:hideMark/>
          </w:tcPr>
          <w:p w14:paraId="594DE306" w14:textId="77777777" w:rsidR="00B61A3A" w:rsidRPr="00F72E17" w:rsidRDefault="00B61A3A" w:rsidP="00B61A3A">
            <w:pPr>
              <w:spacing w:before="240" w:line="360" w:lineRule="auto"/>
              <w:rPr>
                <w:rFonts w:ascii="Times New Roman" w:eastAsia="Times New Roman" w:hAnsi="Times New Roman"/>
                <w:b/>
                <w:color w:val="000000"/>
                <w:sz w:val="16"/>
                <w:szCs w:val="16"/>
                <w:u w:val="single"/>
                <w:lang w:val="en-US"/>
              </w:rPr>
            </w:pPr>
            <w:r w:rsidRPr="00F72E17">
              <w:rPr>
                <w:rFonts w:ascii="Times New Roman" w:eastAsia="Times New Roman" w:hAnsi="Times New Roman"/>
                <w:b/>
                <w:color w:val="000000"/>
                <w:sz w:val="16"/>
                <w:szCs w:val="16"/>
                <w:u w:val="single"/>
                <w:lang w:val="en-US"/>
              </w:rPr>
              <w:t>FOX</w:t>
            </w:r>
          </w:p>
        </w:tc>
        <w:tc>
          <w:tcPr>
            <w:tcW w:w="1322" w:type="dxa"/>
            <w:shd w:val="clear" w:color="auto" w:fill="auto"/>
            <w:noWrap/>
            <w:hideMark/>
          </w:tcPr>
          <w:p w14:paraId="1C0B41D0"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623" w:type="dxa"/>
            <w:gridSpan w:val="2"/>
            <w:shd w:val="clear" w:color="auto" w:fill="auto"/>
            <w:noWrap/>
            <w:hideMark/>
          </w:tcPr>
          <w:p w14:paraId="76E879DD"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379" w:type="dxa"/>
            <w:shd w:val="clear" w:color="auto" w:fill="auto"/>
            <w:noWrap/>
            <w:hideMark/>
          </w:tcPr>
          <w:p w14:paraId="4F98010E"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797" w:type="dxa"/>
            <w:shd w:val="clear" w:color="auto" w:fill="auto"/>
            <w:noWrap/>
            <w:hideMark/>
          </w:tcPr>
          <w:p w14:paraId="156D53F9"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r>
      <w:tr w:rsidR="00B61A3A" w:rsidRPr="00022291" w14:paraId="4244F4D0" w14:textId="77777777" w:rsidTr="00B61A3A">
        <w:trPr>
          <w:trHeight w:val="255"/>
        </w:trPr>
        <w:tc>
          <w:tcPr>
            <w:tcW w:w="2552" w:type="dxa"/>
            <w:shd w:val="clear" w:color="auto" w:fill="auto"/>
            <w:noWrap/>
            <w:hideMark/>
          </w:tcPr>
          <w:p w14:paraId="62579D0D" w14:textId="4CD21C4E" w:rsidR="00B61A3A" w:rsidRPr="00F72E17" w:rsidRDefault="00B61A3A" w:rsidP="00B61A3A">
            <w:pPr>
              <w:spacing w:before="240" w:line="360" w:lineRule="auto"/>
              <w:rPr>
                <w:rFonts w:ascii="Times New Roman" w:eastAsia="Times New Roman" w:hAnsi="Times New Roman"/>
                <w:b/>
                <w:color w:val="000000"/>
                <w:sz w:val="16"/>
                <w:szCs w:val="16"/>
                <w:lang w:val="en-US"/>
              </w:rPr>
            </w:pPr>
            <w:r w:rsidRPr="00F72E17">
              <w:rPr>
                <w:rFonts w:ascii="Times New Roman" w:eastAsia="Times New Roman" w:hAnsi="Times New Roman"/>
                <w:b/>
                <w:color w:val="000000"/>
                <w:sz w:val="16"/>
                <w:szCs w:val="16"/>
                <w:lang w:val="en-US"/>
              </w:rPr>
              <w:t xml:space="preserve">Lu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{"citationItems":[{"id":"ITEM-1","itemData":{"DOI":"10.1179/1973947813Y.0000000128","ISSN":"1120-009X","abstract":"AbstractThis randomized phase II study was performed to compare the efficacy and safety of oxaliplatin combined with S-1 (OXS regimen) with S-1 alone in the management of advanced gastric cancer (AGC). Ninety-four patients were 1:1 randomly assigned to S-1 on days 1–14 of a 3-week cycle or S-1 on days 1–14 plus oxaliplatin (130 mg/m2 i.v.) on day 1 of the 3-week cycle. S-1 was orally administered in a fixed quantity according to body surface area. The median survival time with OXS versus S-1 monotherapy was 14·0 versus 11·0 months (P = 0·03), progression-free survival was 6·5 versus 4·0 months (P = 0·02), and the 1-year survival rate was 63·8% versus 48·9%, respectively. The response rate was significantly higher for OXS than for S-1 monotherapy (51·1% vs. 27·7%, P = 0·03). OXS was well tolerated with no treatment-related death. In conclusion, the OXS regimen evidenced a relatively high efficacy and was well tolerated as a first-line therapy for AGC patients.","author":[{"dropping-particle":"","family":"Lu","given":"Yiming;","non-dropping-particle":"","parse-names":false,"suffix":""},{"dropping-particle":"","family":"Liu","given":"Zanchao","non-dropping-particle":"","parse-names":false,"suffix":""},{"dropping-particle":"","family":"Zhang","given":"Jun","non-dropping-particle":"","parse-names":false,"suffix":""}],"container-title":"Journal of Chemotherapy","id":"ITEM-1","issue":"3","issued":{"date-parts":[["2014"]]},"page":"159-164","title":"S-1 plus oxaliplatin vs. S-1 as first-line treatment in patients with previously untreated advanced gastric cancer: a randomized phase II study","type":"article-journal","volume":"26"},"uris":["http://www.mendeley.com/documents/?uuid=bfeddd77-0868-451e-bad5-554148908544"]}],"mendeley":{"formattedCitation":"[17]","plainTextFormattedCitation":"[17]","previouslyFormattedCitation":"[17]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[17]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630DE2D"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47</w:t>
            </w:r>
          </w:p>
        </w:tc>
        <w:tc>
          <w:tcPr>
            <w:tcW w:w="1708" w:type="dxa"/>
            <w:gridSpan w:val="2"/>
            <w:shd w:val="clear" w:color="auto" w:fill="auto"/>
            <w:noWrap/>
            <w:hideMark/>
          </w:tcPr>
          <w:p w14:paraId="2BC8581D"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S-1+Ox</w:t>
            </w:r>
          </w:p>
        </w:tc>
        <w:tc>
          <w:tcPr>
            <w:tcW w:w="1322" w:type="dxa"/>
            <w:shd w:val="clear" w:color="auto" w:fill="auto"/>
            <w:noWrap/>
            <w:hideMark/>
          </w:tcPr>
          <w:p w14:paraId="3FE91C5D"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34 (72)</w:t>
            </w:r>
          </w:p>
        </w:tc>
        <w:tc>
          <w:tcPr>
            <w:tcW w:w="1623" w:type="dxa"/>
            <w:gridSpan w:val="2"/>
            <w:shd w:val="clear" w:color="auto" w:fill="auto"/>
            <w:noWrap/>
            <w:hideMark/>
          </w:tcPr>
          <w:p w14:paraId="6CF1EEBA"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63 (37-75)</w:t>
            </w:r>
          </w:p>
        </w:tc>
        <w:tc>
          <w:tcPr>
            <w:tcW w:w="1379" w:type="dxa"/>
            <w:shd w:val="clear" w:color="auto" w:fill="auto"/>
            <w:noWrap/>
            <w:hideMark/>
          </w:tcPr>
          <w:p w14:paraId="186058B3"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47 (100)</w:t>
            </w:r>
          </w:p>
        </w:tc>
        <w:tc>
          <w:tcPr>
            <w:tcW w:w="797" w:type="dxa"/>
            <w:shd w:val="clear" w:color="auto" w:fill="auto"/>
            <w:noWrap/>
            <w:hideMark/>
          </w:tcPr>
          <w:p w14:paraId="433779B5"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5 (11)</w:t>
            </w:r>
          </w:p>
        </w:tc>
      </w:tr>
      <w:tr w:rsidR="00B61A3A" w:rsidRPr="007D2E2F" w14:paraId="68D93E63" w14:textId="77777777" w:rsidTr="00B61A3A">
        <w:trPr>
          <w:trHeight w:val="255"/>
        </w:trPr>
        <w:tc>
          <w:tcPr>
            <w:tcW w:w="2552" w:type="dxa"/>
            <w:shd w:val="clear" w:color="auto" w:fill="auto"/>
            <w:noWrap/>
            <w:hideMark/>
          </w:tcPr>
          <w:p w14:paraId="6A70A427" w14:textId="34D38E22" w:rsidR="00B61A3A" w:rsidRPr="007D2E2F" w:rsidRDefault="00B61A3A" w:rsidP="00B61A3A">
            <w:pPr>
              <w:spacing w:before="240" w:line="360" w:lineRule="auto"/>
              <w:rPr>
                <w:rFonts w:ascii="Times New Roman" w:eastAsia="Times New Roman" w:hAnsi="Times New Roman"/>
                <w:b/>
                <w:color w:val="000000"/>
                <w:sz w:val="16"/>
                <w:szCs w:val="16"/>
              </w:rPr>
            </w:pPr>
            <w:r w:rsidRPr="00F72E17">
              <w:rPr>
                <w:rFonts w:ascii="Times New Roman" w:eastAsia="Times New Roman" w:hAnsi="Times New Roman"/>
                <w:b/>
                <w:color w:val="000000"/>
                <w:sz w:val="16"/>
                <w:szCs w:val="16"/>
                <w:lang w:val="en-US"/>
              </w:rPr>
              <w:t xml:space="preserve">Yamada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{"citationItems":[{"id":"ITEM-1","itemData":{"DOI":"10.1093/annonc/mdu472","ISBN":"8133542251","ISSN":"0923-7534","PMID":"25316259","abstract":"BACKGROUND: We evaluated the efficacy and safety of S-1 plus oxaliplatin (SOX) as an alternative to cisplatin plus S-1 (CS) in first-line chemotherapy for advanced gastric cancer (AGC).\\n\\nPATIENTS AND METHODS: In this randomized, open-label, multicenter phase III study, patients were randomly assigned to receive SOX (80-120 mg/day S-1 for 2 weeks with 100 mg/m(2) oxaliplatin on day 1, every 3 weeks) or CS (S-1 for 3 weeks with 60 mg/m(2) cisplatin on day 8, every 5 weeks). The primary end points were noninferiority in progression-free survival (PFS) and relative efficacy in overall survival (OS) for SOX using adjusted hazard ratios (HRs) with stratification factors; performance status and unresectable or recurrent (+adjuvant chemotherapy) disease.\\n\\nRESULTS: Overall, 685 patients were randomized from January 2010 to October 2011. In per-protocol population, SOX (n = 318) was noninferior to CS (n = 324) in PFS [median, 5.5 versus 5.4 months; HR 1.004, 95% confidence interval (CI) 0.840-1.199; predefined noninferiority margin 1.30]. The median OS for SOX and CS were 14.1 and 13.1 months, respectively (HR 0.958 with 95% CI 0.803-1.142). In the intention-to-treat population (SOX, n = 339; CS, n = 337), the HRs in PFS and OS were 0.979 (95% CI 0.821-1.167) and 0.934 (95% CI 0.786-1.108), respectively. The most common ≥grade 3 adverse events (SOX versus CS) were neutropenia (19.5% versus 41.8%), anemia (15.1% versus 32.5%), hyponatremia (4.4% versus 13.4%), febrile neutropenia (0.9% versus 6.9%), and sensory neuropathy (4.7% versus 0%).\\n\\nCONCLUSION: SOX is as effective as CS for AGC with favorable safety profile, therefore SOX can replace CS.\\n\\nCLINICAL TRIAL NUMBER: JapicCTI-101021.","author":[{"dropping-particle":"","family":"Yamada","given":"Y.","non-dropping-particle":"","parse-names":false,"suffix":""},{"dropping-particle":"","family":"Higuchi","given":"K.","non-dropping-particle":"","parse-names":false,"suffix":""},{"dropping-particle":"","family":"Nishikawa","given":"K.","non-dropping-particle":"","parse-names":false,"suffix":""},{"dropping-particle":"","family":"Gotoh","given":"M.","non-dropping-particle":"","parse-names":false,"suffix":""},{"dropping-particle":"","family":"Fuse","given":"N.","non-dropping-particle":"","parse-names":false,"suffix":""},{"dropping-particle":"","family":"Sugimoto","given":"N.","non-dropping-particle":"","parse-names":false,"suffix":""},{"dropping-particle":"","family":"Nishina","given":"T.","non-dropping-particle":"","parse-names":false,"suffix":""},{"dropping-particle":"","family":"Amagai","given":"K.","non-dropping-particle":"","parse-names":false,"suffix":""},{"dropping-particle":"","family":"Chin","given":"K.","non-dropping-particle":"","parse-names":false,"suffix":""},{"dropping-particle":"","family":"Niwa","given":"Y.","non-dropping-particle":"","parse-names":false,"suffix":""},{"dropping-particle":"","family":"Tsuji","given":"A.","non-dropping-particle":"","parse-names":false,"suffix":""},{"dropping-particle":"","family":"Imamura","given":"H.","non-dropping-particle":"","parse-names":false,"suffix":""},{"dropping-particle":"","family":"Tsuda","given":"M.","non-dropping-particle":"","parse-names":false,"suffix":""},{"dropping-particle":"","family":"Yasui","given":"H.","non-dropping-particle":"","parse-names":false,"suffix":""},{"dropping-particle":"","family":"Fujii","given":"H.","non-dropping-particle":"","parse-names":false,"suffix":""},{"dropping-particle":"","family":"Yamaguchi","given":"K.","non-dropping-particle":"","parse-names":false,"suffix":""},{"dropping-particle":"","family":"Yasui","given":"H.","non-dropping-particle":"","parse-names":false,"suffix":""},{"dropping-particle":"","family":"Hironaka","given":"S.","non-dropping-particle":"","parse-names":false,"suffix":""},{"dropping-particle":"","family":"Shimada","given":"K.","non-dropping-particle":"","parse-names":false,"suffix":""},{"dropping-particle":"","family":"Miwa","given":"H.","non-dropping-particle":"","parse-names":false,"suffix":""},{"dropping-particle":"","family":"Hamada","given":"C.","non-dropping-particle":"","parse-names":false,"suffix":""},{"dropping-particle":"","family":"Hyodo","given":"I.","non-dropping-particle":"","parse-names":false,"suffix":""}],"container-title":"Annals of Oncology","id":"ITEM-1","issue":"1","issued":{"date-parts":[["2014"]]},"page":"141-148","title":"Phase III study comparing oxaliplatin plus S-1 with cisplatin plus S-1 in chemotherapy-naïve patients with advanced gastric cancer","type":"article-journal","volume":"26"},"uris":["http://www.mendeley.com/documents/?uuid=4e64bf08-fe80-413a-b0bf-ee4645732635"]}],"mendeley":{"formattedCitation":"[36]","plainTextFormattedCitation":"[36]","previouslyFormattedCitation":"[36]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[36]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E566F2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318</w:t>
            </w:r>
          </w:p>
        </w:tc>
        <w:tc>
          <w:tcPr>
            <w:tcW w:w="1708" w:type="dxa"/>
            <w:gridSpan w:val="2"/>
            <w:shd w:val="clear" w:color="auto" w:fill="auto"/>
            <w:noWrap/>
            <w:hideMark/>
          </w:tcPr>
          <w:p w14:paraId="54F2A56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S-1+Ox</w:t>
            </w:r>
          </w:p>
        </w:tc>
        <w:tc>
          <w:tcPr>
            <w:tcW w:w="1322" w:type="dxa"/>
            <w:shd w:val="clear" w:color="auto" w:fill="auto"/>
            <w:noWrap/>
            <w:hideMark/>
          </w:tcPr>
          <w:p w14:paraId="7BC0147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240 (75)</w:t>
            </w:r>
          </w:p>
        </w:tc>
        <w:tc>
          <w:tcPr>
            <w:tcW w:w="1623" w:type="dxa"/>
            <w:gridSpan w:val="2"/>
            <w:shd w:val="clear" w:color="auto" w:fill="auto"/>
            <w:noWrap/>
            <w:hideMark/>
          </w:tcPr>
          <w:p w14:paraId="12DF08D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(21-83)</w:t>
            </w:r>
          </w:p>
        </w:tc>
        <w:tc>
          <w:tcPr>
            <w:tcW w:w="1379" w:type="dxa"/>
            <w:shd w:val="clear" w:color="auto" w:fill="auto"/>
            <w:noWrap/>
            <w:hideMark/>
          </w:tcPr>
          <w:p w14:paraId="11628BF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318 (100)</w:t>
            </w:r>
          </w:p>
        </w:tc>
        <w:tc>
          <w:tcPr>
            <w:tcW w:w="797" w:type="dxa"/>
            <w:shd w:val="clear" w:color="auto" w:fill="auto"/>
            <w:noWrap/>
            <w:hideMark/>
          </w:tcPr>
          <w:p w14:paraId="0C9FC87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(1)</w:t>
            </w:r>
          </w:p>
        </w:tc>
      </w:tr>
      <w:tr w:rsidR="00B61A3A" w:rsidRPr="007D2E2F" w14:paraId="552062FC" w14:textId="77777777" w:rsidTr="00B61A3A">
        <w:trPr>
          <w:trHeight w:val="255"/>
        </w:trPr>
        <w:tc>
          <w:tcPr>
            <w:tcW w:w="2552" w:type="dxa"/>
            <w:shd w:val="clear" w:color="auto" w:fill="auto"/>
            <w:noWrap/>
            <w:hideMark/>
          </w:tcPr>
          <w:p w14:paraId="713B43AA" w14:textId="73078060"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Hironaka 2016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{"citationItems":[{"id":"ITEM-1","itemData":{"DOI":"10.1016/S1470-2045(15)00410-6","ISSN":"14745488","PMID":"26640036","abstract":"Background: Although leucovorin enhances the efficacy of fluorouracil, the anti-tumour activity of S-1 and leucovorin and their combination with oxaliplatin for patients with advanced gastric cancer is unknown. We compared the activity and safety of S-1 plus leucovorin, S-1 plus leucovorin and oxaliplatin, and S-1 plus cisplatin as first-line chemotherapy for advanced gastric cancer. Methods: In this multicentre, randomised, open-label, phase 2 trial, we recruited chemotherapy-naive patients with unresectable or recurrent gastric cancer with measurable lesions aged 20 years or older from 25 general hospitals and specialist centres in Japan. Patients were randomly assigned (1:1:1) centrally to receive S-1 plus leucovorin (S-1 40-60 mg orally plus oral leucovorin 25 mg twice a day for 1 week, every 2 weeks), S-1 plus leucovorin and oxaliplatin (S-1 plus leucovorin and intravenous oxaliplatin 85 mg/m2on day 1, every 2 weeks), or S-1 plus cisplatin (S-1 40-60 mg orally twice a day for 3 weeks, plus intravenous cisplatin 60 mg/m2on day 8, every 5 weeks). Randomisation was done with the minimisation method using performance status (0 vs 1) and tumour stage (stage IV vs recurrent) as stratification factors. The primary endpoint was independently reviewed overall response in the full analysis set. This trial is registered with Japic CTI, number 111635. Findings: Between Oct 20, 2011, and Dec 17, 2012, we enrolled and randomly assigned 145 patients: 49 patients were assigned to S-1 plus leucovorin, 47 to S-1 plus leucovorin and oxaliplatin, and 49 to S-1 plus cisplatin. An objective response assessed by the independent review committee was achieved in 20 (43% [95% CI 28·3-57·8]) of the 47 patients in the S-1 plus leucovorin group, 31 (66% [50·7-79·1]) of the 47 patients in the S-1 plus leucovorin and oxaliplatin group, and 22 (46% [31·4-60·8]) of the 48 patients in the S-1 plus cisplatin group (Fisher's exact test, p=0·84 for S-1 plus leucovorin vs S-1 plus cisplatin, p=0·063 for S-1 plus leucovorin and oxaliplatin vs S-1 plus cisplatin, and p=0·038 for S-1 plus leucovorin and oxaliplatin vs S-1 plus leucovorin). The most common grade 3-4 adverse events were neutropenia (three [6%] of 48 patients in the S-1 plus leucovorin group vs 12 [26%] of 47 patients in the S-1 plus leucovorin and oxaliplatin group vs 17 [35%] of 49 patients in the S-1 plus cisplatin group), decreased appetite (six [13%] vs 14 [30%] vs 12 [24%]), anaemia (five [10%] vs seven [15%] vs 13 [27…","author":[{"dropping-particle":"","family":"Hironaka","given":"Shuichi","non-dropping-particle":"","parse-names":false,"suffix":""},{"dropping-particle":"","family":"Sugimoto","given":"Naotoshi","non-dropping-particle":"","parse-names":false,"suffix":""},{"dropping-particle":"","family":"Yamaguchi","given":"Kensei","non-dropping-particle":"","parse-names":false,"suffix":""},{"dropping-particle":"","family":"Moriwaki","given":"Toshikazu","non-dropping-particle":"","parse-names":false,"suffix":""},{"dropping-particle":"","family":"Komatsu","given":"Yoshito","non-dropping-particle":"","parse-names":false,"suffix":""},{"dropping-particle":"","family":"Nishina","given":"Tomohiro","non-dropping-particle":"","parse-names":false,"suffix":""},{"dropping-particle":"","family":"Tsuji","given":"Akihito","non-dropping-particle":"","parse-names":false,"suffix":""},{"dropping-particle":"","family":"Nakajima","given":"Takako Eguchi","non-dropping-particle":"","parse-names":false,"suffix":""},{"dropping-particle":"","family":"Gotoh","given":"Masahiro","non-dropping-particle":"","parse-names":false,"suffix":""},{"dropping-particle":"","family":"Machida","given":"Nozomu","non-dropping-particle":"","parse-names":false,"suffix":""},{"dropping-particle":"","family":"Bando","given":"Hideaki","non-dropping-particle":"","parse-names":false,"suffix":""},{"dropping-particle":"","family":"Esaki","given":"Taito","non-dropping-particle":"","parse-names":false,"suffix":""},{"dropping-particle":"","family":"Emi","given":"Yasunori","non-dropping-particle":"","parse-names":false,"suffix":""},{"dropping-particle":"","family":"Sekikawa","given":"Takashi","non-dropping-particle":"","parse-names":false,"suffix":""},{"dropping-particle":"","family":"Matsumoto","given":"Shigemi","non-dropping-particle":"","parse-names":false,"suffix":""},{"dropping-particle":"","family":"Takeuchi","given":"Masahiro","non-dropping-particle":"","parse-names":false,"suffix":""},{"dropping-particle":"","family":"Boku","given":"Narikazu","non-dropping-particle":"","parse-names":false,"suffix":""},{"dropping-particle":"","family":"Baba","given":"Hideo","non-dropping-particle":"","parse-names":false,"suffix":""},{"dropping-particle":"","family":"Hyodo","given":"Ichinosuke","non-dropping-particle":"","parse-names":false,"suffix":""}],"container-title":"The Lancet Oncology","id":"ITEM-1","issue":"1","issued":{"date-parts":[["2016"]]},"page":"99-108","publisher":"Elsevier Ltd","title":"S-1 plus leucovorin versus S-1 plus leucovorin and oxaliplatin versus S-1 plus cisplatin in patients with advanced gastric cancer: A randomised, multicentre, open-label, phase 2 trial","type":"article-journal","volume":"17"},"uris":["http://www.mendeley.com/documents/?uuid=7c7ea529-4795-4acd-9b93-bba2e1901429"]}],"mendeley":{"formattedCitation":"[21]","plainTextFormattedCitation":"[21]","previouslyFormattedCitation":"[21]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99FB99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47</w:t>
            </w:r>
          </w:p>
        </w:tc>
        <w:tc>
          <w:tcPr>
            <w:tcW w:w="1708" w:type="dxa"/>
            <w:gridSpan w:val="2"/>
            <w:shd w:val="clear" w:color="auto" w:fill="auto"/>
            <w:noWrap/>
            <w:hideMark/>
          </w:tcPr>
          <w:p w14:paraId="4F9F677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S-1+Ox</w:t>
            </w:r>
          </w:p>
        </w:tc>
        <w:tc>
          <w:tcPr>
            <w:tcW w:w="1322" w:type="dxa"/>
            <w:shd w:val="clear" w:color="auto" w:fill="auto"/>
            <w:noWrap/>
            <w:hideMark/>
          </w:tcPr>
          <w:p w14:paraId="31510E0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33 (70)</w:t>
            </w:r>
          </w:p>
        </w:tc>
        <w:tc>
          <w:tcPr>
            <w:tcW w:w="1623" w:type="dxa"/>
            <w:gridSpan w:val="2"/>
            <w:shd w:val="clear" w:color="auto" w:fill="auto"/>
            <w:noWrap/>
            <w:hideMark/>
          </w:tcPr>
          <w:p w14:paraId="0D932B0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(58-71)</w:t>
            </w:r>
          </w:p>
        </w:tc>
        <w:tc>
          <w:tcPr>
            <w:tcW w:w="1379" w:type="dxa"/>
            <w:shd w:val="clear" w:color="auto" w:fill="auto"/>
            <w:noWrap/>
            <w:hideMark/>
          </w:tcPr>
          <w:p w14:paraId="61E6B69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40 (85)</w:t>
            </w:r>
          </w:p>
        </w:tc>
        <w:tc>
          <w:tcPr>
            <w:tcW w:w="797" w:type="dxa"/>
            <w:shd w:val="clear" w:color="auto" w:fill="auto"/>
            <w:noWrap/>
            <w:hideMark/>
          </w:tcPr>
          <w:p w14:paraId="6AF85D4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1A6F97" w14:paraId="45E2CCEA" w14:textId="77777777" w:rsidTr="00B61A3A">
        <w:trPr>
          <w:trHeight w:val="255"/>
        </w:trPr>
        <w:tc>
          <w:tcPr>
            <w:tcW w:w="2552" w:type="dxa"/>
            <w:shd w:val="clear" w:color="auto" w:fill="auto"/>
            <w:noWrap/>
            <w:hideMark/>
          </w:tcPr>
          <w:p w14:paraId="56823BE1" w14:textId="42F74240" w:rsidR="00B61A3A" w:rsidRPr="00022291"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Kim 2012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{"citationItems":[{"id":"ITEM-1","itemData":{"DOI":"10.1016/j.ejca.2011.12.017","ISSN":"1879-0852","PMID":"22243774","abstract":"PURPOSE: S-1 or capecitabine plus oxaliplatin are considered active and tolerable in gastric cancer patients. We conducted a randomized phase II trial in gastric cancer patients to compare the activity and safety of these combinations.\n\nMETHODS: The patients received S-1 at 80 mg/m2 for 14 days, followed by a 7-day rest period within a 3-week schedule in the S-1/oxaliplatin (SOX) arm, and capecitabine at 2000 mg/m2 for 14 days, followed by a 7-day rest period within a 3-week schedule in the capecitabine/oxaliplatin (CAPOX) arm. Oxaliplatin 130 mg/m2 was administered every 3 weeks in both arms.\n\nRESULTS: One hundred twenty-nine patients were randomly assigned to SOX (N=65) or CAPOX (N=64). The median time to progression and the overall survival were 6.2 and 12.4 months with SOX, respectively; and 7.2 and 13.3 months with CAPOX, respectively. The overall response rates were 40% and 44% for SOX and CAPOX, respectively. The most frequent grade 3 or 4 toxicities were thrombocytopenia (15.4%) for SOX and neutropenia (18.8%) for CAPOX. The median time to 10% deteriorations in global health scores was similar in both arms (SOX, 4.3 months, CAPOX, 4.9 months).\n\nCONCLUSION: Both the SOX and CAPOX regimens were equally active and well tolerated in advanced gastric cancer patients.","author":[{"dropping-particle":"","family":"Kim","given":"Gun Min","non-dropping-particle":"","parse-names":false,"suffix":</w:instrText>
            </w:r>
            <w:r w:rsidR="006739B2" w:rsidRPr="006739B2">
              <w:rPr>
                <w:rFonts w:ascii="Times New Roman" w:eastAsia="Times New Roman" w:hAnsi="Times New Roman"/>
                <w:b/>
                <w:color w:val="000000"/>
                <w:sz w:val="16"/>
                <w:szCs w:val="16"/>
                <w:lang w:val="en-US"/>
              </w:rPr>
              <w:instrText>""},{"dropping-particle":"","family":"Jeung","given":"Hei-Cheul","non-dropping-particle":"","parse-names":false,"suffix":""},{"dropping-particle":"","family":"Rha","given":"Sun Young","non-dropping-particle":"","parse-names":false,"suffix":""},{"dropping-particle":"","family":"Kim","given":"Hyo Song","non-dropping-particle":"","parse-names":false,"suffix":""},{"dropping-particle":"","family":"Jung","given":"Inkyung","non-dropping-particle":"","parse-names":false,"suffix":""},{"dropping-particle":"","family":"Nam","given":"Byung Ho","non-dropping-particle":"","parse-names":false,"suffix":""},{"dropping-particle":"","family":"Lee","given":"Kyung Hee","non-dropping-particle":"","parse-names":false,"suffix":""},{"dropping-particle":"","family":"Chung","given":"Hyun Cheol","non-dropping-particle":"","parse-names":false,"suffix":""}],"container-title":"European journal of cancer (Oxford, England : 1990)","id":"ITEM-1","issue":"4","issued":{"date-parts":[["2012","3"]]},"page":"518-26","publisher":"Elsevier Ltd","title":"A randomized phase II trial of S-1-oxaliplatin versus capecitabine-oxaliplatin in advanced gastric cancer.","type":"article-journal","volume":"48"},"uris":["http://www.mendeley.com/documents/?uuid=ad4d4fe7-737f-4c08-a174-4ede42ec16ec"]}],"mendeley":{"formattedCitation":"[65]","plainTextFormattedCitation":"[65]","previouslyFormattedCitation":"[65]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[65]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D401AE0"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65</w:t>
            </w:r>
          </w:p>
        </w:tc>
        <w:tc>
          <w:tcPr>
            <w:tcW w:w="1708" w:type="dxa"/>
            <w:gridSpan w:val="2"/>
            <w:shd w:val="clear" w:color="auto" w:fill="auto"/>
            <w:noWrap/>
            <w:hideMark/>
          </w:tcPr>
          <w:p w14:paraId="7F53F20A"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S-1+Ox</w:t>
            </w:r>
          </w:p>
        </w:tc>
        <w:tc>
          <w:tcPr>
            <w:tcW w:w="1322" w:type="dxa"/>
            <w:shd w:val="clear" w:color="auto" w:fill="auto"/>
            <w:noWrap/>
            <w:hideMark/>
          </w:tcPr>
          <w:p w14:paraId="527974B3"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44 (68)</w:t>
            </w:r>
          </w:p>
        </w:tc>
        <w:tc>
          <w:tcPr>
            <w:tcW w:w="1623" w:type="dxa"/>
            <w:gridSpan w:val="2"/>
            <w:shd w:val="clear" w:color="auto" w:fill="auto"/>
            <w:noWrap/>
            <w:hideMark/>
          </w:tcPr>
          <w:p w14:paraId="187ED5AA"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60 (28-77)</w:t>
            </w:r>
          </w:p>
        </w:tc>
        <w:tc>
          <w:tcPr>
            <w:tcW w:w="1379" w:type="dxa"/>
            <w:shd w:val="clear" w:color="auto" w:fill="auto"/>
            <w:noWrap/>
            <w:hideMark/>
          </w:tcPr>
          <w:p w14:paraId="54D79E0B"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47 (72)</w:t>
            </w:r>
          </w:p>
        </w:tc>
        <w:tc>
          <w:tcPr>
            <w:tcW w:w="797" w:type="dxa"/>
            <w:shd w:val="clear" w:color="auto" w:fill="auto"/>
            <w:noWrap/>
            <w:hideMark/>
          </w:tcPr>
          <w:p w14:paraId="6ED6EA2E"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0 (0)</w:t>
            </w:r>
          </w:p>
        </w:tc>
      </w:tr>
      <w:tr w:rsidR="00B61A3A" w:rsidRPr="007D2E2F" w14:paraId="2D151DFF" w14:textId="77777777" w:rsidTr="00B61A3A">
        <w:trPr>
          <w:trHeight w:val="255"/>
        </w:trPr>
        <w:tc>
          <w:tcPr>
            <w:tcW w:w="2552" w:type="dxa"/>
            <w:shd w:val="clear" w:color="auto" w:fill="auto"/>
            <w:noWrap/>
            <w:hideMark/>
          </w:tcPr>
          <w:p w14:paraId="4C46F079" w14:textId="332BEC74" w:rsidR="00B61A3A" w:rsidRPr="007D2E2F" w:rsidRDefault="00B61A3A" w:rsidP="00B61A3A">
            <w:pPr>
              <w:spacing w:before="240" w:line="360" w:lineRule="auto"/>
              <w:rPr>
                <w:rFonts w:ascii="Times New Roman" w:eastAsia="Times New Roman" w:hAnsi="Times New Roman"/>
                <w:b/>
                <w:color w:val="000000"/>
                <w:sz w:val="16"/>
                <w:szCs w:val="16"/>
              </w:rPr>
            </w:pPr>
            <w:r w:rsidRPr="00022291">
              <w:rPr>
                <w:rFonts w:ascii="Times New Roman" w:eastAsia="Times New Roman" w:hAnsi="Times New Roman"/>
                <w:b/>
                <w:color w:val="000000"/>
                <w:sz w:val="16"/>
                <w:szCs w:val="16"/>
                <w:lang w:val="en-US"/>
              </w:rPr>
              <w:t xml:space="preserve">Zhang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{"citationItems":[{"id":"ITEM-1","itemData":{"DOI":"10.1186/1477-7819-12-115","ISBN":"1477-7819 (Electronic)\\r1477-7819 (Linking)","ISSN":"14777819","PMID":"24758484","abstract":"BACKGROUND: The prognosis of patients with advanced gastric cancer is poor. The goal of this study was to evaluate the efficacy and safety of combination therapy of cetuximab and S-1 combined with oxaliplatin (SOX) in Chinese patients with advanced gastric cancer. METHODS: For patients in the experimental group (cetuximab in combination with SOX (Ce-SOX), 30 patients), once-weekly cetuximab (400 mg/m2 at the first infusion then 250 mg/m2 every week) was administered. For patients in both the control (SOX alone, 26 patients) and experimental groups, oxaliplatin (100 mg/m2) was administered intravenously on day 1, while S-1 (80 mg/m2/day) was given orally twice daily for 14 days. The endpoints of this study included progression-free survival, response rate, and disease-control rate. RESULTS: There was no statistically significant difference in response rate between the Ce-SOX and SOX groups (54.8% versus 44%, P=0.225). The difference in disease-control rate was also statistically insignificant between the two groups (87.1% versus 76%, P=0.162). Median progression-free survival in the Ce-SOX group was significantly higher than that in the SOX group (12.8 versus 10.1 months, P=0.007). The median overall survival of the Ce-SOX group and SOX group was 14.0 and 12.2 months, respectively (P=0.043). The one-year survival rate for the Ce-SOX group was 57% compared to 40% in the SOX group. There was no statistical difference in the grade 3 or 4 adverse effects between the two groups. CONCLUSIONS: These findings suggest that the cetuximab combined with SOX regimen is feasible and shows promising efficacy with tolerable adverse effects in Chinese patients with advanced gastric cancer.","author":[{"dropping-particle":"","family":"Zhang","given":"Zhan Dong","non-dropping-particle":"","parse-names":false,"suffix":""},{"dropping-particle":"","family":"Kong","given":"Ye","non-dropping-particle":"","parse-names":false,"suffix":""},{"dropping-particle":"","family":"Yang","given":"Wei","non-dropping-particle":"","parse-names":false,"suffix":""},{"dropping-particle":"","family":"Zhang","given":"Bin","non-dropping-particle":"","parse-names":false,"suffix":""},{"dropping-particle":"","family":"Zhang","given":"Yong Lei","non-dropping-particle":"","parse-names":false,"suffix":""},{"dropping-particle":"","family":"Ma","given":"Er Min","non-dropping-particle":"","parse-names":false,"suffix":""},{"dropping-particle":"","family":"Liu","given":"Hong Xing","non-dropping-particle":"","parse-names":false,"suffix":""},{"dropping-particle":"Bin","family":"Chen","given":"Xiao","non-dropping-particle":"","parse-names":false,"suffix":""},{"dropping-particle":"","family":"Hua","given":"Ya Wei","non-dropping-particle":"","parse-names":false,"suffix":""}],"container-title":"World Journal of Surgical Oncology","id":"ITEM-1","issue":"1","issued":{"date-parts":[["2014"]]},"page":"1-6","title":"Clinical evaluation of cetuximab combined with an S-1 and oxaliplatin regimen for Chinese patients with advanced gastric cancer","type":"article-journal","volume":"12"},"uris":["http://www.mendeley.com/documents/?uuid=9273d0be-79ac-484f-a399-795d5bc00ffc"]}],"mendeley":{"formattedCitation":"[66]","plainTextFormattedCitation":"[66]","previouslyFormattedCitation":"[66]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88432F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26</w:t>
            </w:r>
          </w:p>
        </w:tc>
        <w:tc>
          <w:tcPr>
            <w:tcW w:w="1708" w:type="dxa"/>
            <w:gridSpan w:val="2"/>
            <w:shd w:val="clear" w:color="auto" w:fill="auto"/>
            <w:noWrap/>
            <w:hideMark/>
          </w:tcPr>
          <w:p w14:paraId="62A4F65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S-1+Ox</w:t>
            </w:r>
          </w:p>
        </w:tc>
        <w:tc>
          <w:tcPr>
            <w:tcW w:w="1322" w:type="dxa"/>
            <w:shd w:val="clear" w:color="auto" w:fill="auto"/>
            <w:noWrap/>
            <w:hideMark/>
          </w:tcPr>
          <w:p w14:paraId="6D8C418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623" w:type="dxa"/>
            <w:gridSpan w:val="2"/>
            <w:shd w:val="clear" w:color="auto" w:fill="auto"/>
            <w:noWrap/>
            <w:hideMark/>
          </w:tcPr>
          <w:p w14:paraId="38BB8A0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379" w:type="dxa"/>
            <w:shd w:val="clear" w:color="auto" w:fill="auto"/>
            <w:noWrap/>
            <w:hideMark/>
          </w:tcPr>
          <w:p w14:paraId="0DABE7A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16E367E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7D2E2F" w14:paraId="2DF3278A" w14:textId="77777777" w:rsidTr="00B61A3A">
        <w:trPr>
          <w:trHeight w:val="255"/>
        </w:trPr>
        <w:tc>
          <w:tcPr>
            <w:tcW w:w="2552" w:type="dxa"/>
            <w:shd w:val="clear" w:color="auto" w:fill="auto"/>
            <w:noWrap/>
            <w:hideMark/>
          </w:tcPr>
          <w:p w14:paraId="1E2C91C3" w14:textId="5BFC35B2"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Bando 2016 &gt;=70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s10120-015-0549-1","ISSN":"14363305","author":[{"dropping-particle":"","family":"Bando","given":"Hideaki","non-dropping-particle":"","parse-names":false,"suffix":""},{"dropping-particle":"","family":"Yamada","given":"Yasuhide","non-dropping-particle":"","parse-names":false,"suffix":""},{"dropping-particle":"","family":"Tanabe","given":"Satoshi","non-dropping-particle":"","parse-names":false,"suffix":""},{"dropping-particle":"","family":"Nishikawa","given":"Kazuhiro","non-dropping-particle":"","parse-names":false,"suffix":""},{"dropping-particle":"","family":"Gotoh","given":"Masahiro","non-dropping-particle":"","parse-names":false,"suffix":""},{"dropping-particle":"","family":"Sugimoto","given":"Naotoshi","non-dropping-particle":"","parse-names":false,"suffix":""},{"dropping-particle":"","family":"Nishina","given":"Tomohiro","non-dropping-particle":"","parse-names":false,"suffix":""},{"dropping-particle":"","family":"Amagai","given":"Kenji","non-dropping-particle":"","parse-names":false,"suffix":""},{"dropping-particle":"","family":"Chin","given":"Keisho","non-dropping-particle":"","parse-names":false,"suffix":""},{"dropping-particle":"","family":"Niwa","given":"Yasumasa","non-dropping-particle":"","parse-names":false,"suffix":""},{"dropping-particle":"","family":"Tsuji","given":"Akihito","non-dropping-particle":"","parse-names":false,"suffix":""},{"dropping-particle":"","family":"Imamura","given":"Hiroshi","non-dropping-particle":"","parse-names":false,"suffix":""},{"dropping-particle":"","family":"Tsuda","given":"Masahiro","non-dropping-particle":"","parse-names":false,"suffix":""},{"dropping-particle":"","family":"Yasui","given":"Hirofumi","non-dropping-particle":"","parse-names":false,"suffix":""},{"dropping-particle":"","family":"Fujii","given":"Hirofumi","non-dropping-particle":"","parse-names":false,"suffix":""},{"dropping-particle":"","family":"Yamaguchi","given":"Kensei","non-dropping-particle":"","parse-names":false,"suffix":""},{"dropping-particle":"","family":"Yasui","given":"Hisateru","non-dropping-particle":"","parse-names":false,"suffix":""},{"dropping-particle":"","family":"Hironaka","given":"Shuichi","non-dropping-particle":"","parse-names":false,"suffix":""},{"dropping-particle":"","family":"Shimada","given":"Ken","non-dropping-particle":"","parse-names":false,"suffix":""},{"dropping-particle":"","family":"Miwa","given":"Hiroto","non-dropping-particle":"","parse-names":false,"suffix":""},{"dropping-particle":"","family":"Hamada","given":"Chikuma","non-dropping-particle":"","parse-names":false,"suffix":""},{"dropping-particle":"","family":"Hyodo","given":"Ichinosuke","non-dropping-particle":"","parse-names":false,"suffix":""}],"container-title":"Gastric Cancer","id":"ITEM-1","issue":"3","issued":{"date-parts":[["2016"]]},"page":"919-926","publisher":"Springer Japan","title":"Efficacy and safety of S-1 and oxaliplatin combination therapy in elderly patients with advanced gastric cancer","type":"article-journal","volume":"19"},"uris":["http://www.mendeley.com/documents/?uuid=b1848e54-662a-4b02-ab07-aa9a1581f117"]}],"mendeley":{"formattedCitation":"[40]","plainTextFormattedCitation":"[40]","previouslyFormattedCitation":"[40]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[40]</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EE09C5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116</w:t>
            </w:r>
          </w:p>
        </w:tc>
        <w:tc>
          <w:tcPr>
            <w:tcW w:w="1708" w:type="dxa"/>
            <w:gridSpan w:val="2"/>
            <w:shd w:val="clear" w:color="auto" w:fill="auto"/>
            <w:noWrap/>
            <w:hideMark/>
          </w:tcPr>
          <w:p w14:paraId="79D984E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S-1+Ox</w:t>
            </w:r>
          </w:p>
        </w:tc>
        <w:tc>
          <w:tcPr>
            <w:tcW w:w="1322" w:type="dxa"/>
            <w:shd w:val="clear" w:color="auto" w:fill="auto"/>
            <w:noWrap/>
            <w:hideMark/>
          </w:tcPr>
          <w:p w14:paraId="28CD461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91 (78)</w:t>
            </w:r>
          </w:p>
        </w:tc>
        <w:tc>
          <w:tcPr>
            <w:tcW w:w="1623" w:type="dxa"/>
            <w:gridSpan w:val="2"/>
            <w:shd w:val="clear" w:color="auto" w:fill="auto"/>
            <w:noWrap/>
            <w:hideMark/>
          </w:tcPr>
          <w:p w14:paraId="66070A5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73 (70-83)</w:t>
            </w:r>
          </w:p>
        </w:tc>
        <w:tc>
          <w:tcPr>
            <w:tcW w:w="1379" w:type="dxa"/>
            <w:shd w:val="clear" w:color="auto" w:fill="auto"/>
            <w:noWrap/>
            <w:hideMark/>
          </w:tcPr>
          <w:p w14:paraId="3725977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116 (100)</w:t>
            </w:r>
          </w:p>
        </w:tc>
        <w:tc>
          <w:tcPr>
            <w:tcW w:w="797" w:type="dxa"/>
            <w:shd w:val="clear" w:color="auto" w:fill="auto"/>
            <w:noWrap/>
            <w:hideMark/>
          </w:tcPr>
          <w:p w14:paraId="38303F2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(3)</w:t>
            </w:r>
          </w:p>
        </w:tc>
      </w:tr>
      <w:tr w:rsidR="00B61A3A" w:rsidRPr="007D2E2F" w14:paraId="5B7BB40E" w14:textId="77777777" w:rsidTr="00DF4D7C">
        <w:trPr>
          <w:trHeight w:val="255"/>
        </w:trPr>
        <w:tc>
          <w:tcPr>
            <w:tcW w:w="2552" w:type="dxa"/>
            <w:shd w:val="clear" w:color="auto" w:fill="auto"/>
            <w:noWrap/>
            <w:hideMark/>
          </w:tcPr>
          <w:p w14:paraId="64409C57" w14:textId="71954DAE"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Bando 2016 &lt;70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s10120-015-0549-1","ISSN":"14363305","author":[{"dropping-particle":"","family":"Bando","given":"Hideaki","non-dropping-particle":"","parse-names":false,"suffix":""},{"dropping-particle":"","family":"Yamada","given":"Yasuhide","non-dropping-particle":"","parse-names":false,"suffix":""},{"dropping-particle":"","family":"Tanabe","given":"Satoshi","non-dropping-particle":"","parse-names":false,"suffix":""},{"dropping-particle":"","family":"Nishikawa","given":"Kazuhiro","non-dropping-particle":"","parse-names":false,"suffix":""},{"dropping-particle":"","family":"Gotoh","given":"Masahiro","non-dropping-particle":"","parse-names":false,"suffix":""},{"dropping-particle":"","family":"Sugimoto","given":"Naotoshi","non-dropping-particle":"","parse-names":false,"suffix":""},{"dropping-particle":"","family":"Nishina","given":"Tomohiro","non-dropping-particle":"","parse-names":false,"suffix":""},{"dropping-particle":"","family":"Amagai","given":"Kenji","non-dropping-particle":"","parse-names":false,"suffix":""},{"dropping-particle":"","family":"Chin","given":"Keisho","non-dropping-particle":"","parse-names":false,"suffix":""},{"dropping-particle":"","family":"Niwa","given":"Yasumasa","non-dropping-particle":"","parse-names":false,"suffix":""},{"dropping-particle":"","family":"Tsuji","given":"Akihito","non-dropping-particle":"","parse-names":false,"suffix":""},{"dropping-particle":"","family":"Imamura","given":"Hiroshi","non-dropping-particle":"","parse-names":false,"suffix":""},{"dropping-particle":"","family":"Tsuda","given":"Masahiro","non-dropping-particle":"","parse-names":false,"suffix":""},{"dropping-particle":"","family":"Yasui","given":"Hirofumi","non-dropping-particle":"","parse-names":false,"suffix":""},{"dropping-particle":"","family":"Fujii","given":"Hirofumi","non-dropping-particle":"","parse-names":false,"suffix":""},{"dropping-particle":"","family":"Yamaguchi","given":"Kensei","non-dropping-particle":"","parse-names":false,"suffix":""},{"dropping-particle":"","family":"Yasui","given":"Hisateru","non-dropping-particle":"","parse-names":false,"suffix":""},{"dropping-particle":"","family":"Hironaka","given":"Shuichi","non-dropping-particle":"","parse-names":false,"suffix":""},{"dropping-particle":"","family":"Shimada","given":"Ken","non-dropping-particle":"","parse-names":false,"suffix":""},{"dropping-particle":"","family":"Miwa","given":"Hiroto","non-dropping-particle":"","parse-names":false,"suffix":""},{"dropping-particle":"","family":"Hamada","given":"Chikuma","non-dropping-particle":"","parse-names":false,"suffix":""},{"dropping-particle":"","family":"Hyodo","given":"Ichinosuke","non-dropping-particle":"","parse-names":false,"suffix":""}],"container-title":"Gastric Cancer","id":"ITEM-1","issue":"3","issued":{"date-parts":[["2016"]]},"page":"919-926","publisher":"Springer Japan","title":"Efficacy and safety of S-1 and oxaliplatin combination therapy in elderly patients with advanced gastric cancer","type":"article-journal","volume":"19"},"uris":["http://www.mendeley.com/documents/?uuid=b1848e54-662a-4b02-ab07-aa9a1581f117"]}],"mendeley":{"formattedCitation":"[40]","plainTextFormattedCitation":"[40]","previouslyFormattedCitation":"[40]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[40]</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DBAB33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227</w:t>
            </w:r>
          </w:p>
        </w:tc>
        <w:tc>
          <w:tcPr>
            <w:tcW w:w="1708" w:type="dxa"/>
            <w:gridSpan w:val="2"/>
            <w:shd w:val="clear" w:color="auto" w:fill="auto"/>
            <w:noWrap/>
            <w:hideMark/>
          </w:tcPr>
          <w:p w14:paraId="1E78FC6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S-1+Ox</w:t>
            </w:r>
          </w:p>
        </w:tc>
        <w:tc>
          <w:tcPr>
            <w:tcW w:w="1322" w:type="dxa"/>
            <w:shd w:val="clear" w:color="auto" w:fill="auto"/>
            <w:noWrap/>
            <w:hideMark/>
          </w:tcPr>
          <w:p w14:paraId="2277A53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168 (74)</w:t>
            </w:r>
          </w:p>
        </w:tc>
        <w:tc>
          <w:tcPr>
            <w:tcW w:w="1623" w:type="dxa"/>
            <w:gridSpan w:val="2"/>
            <w:shd w:val="clear" w:color="auto" w:fill="auto"/>
            <w:noWrap/>
            <w:hideMark/>
          </w:tcPr>
          <w:p w14:paraId="630A898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(21-69)</w:t>
            </w:r>
          </w:p>
        </w:tc>
        <w:tc>
          <w:tcPr>
            <w:tcW w:w="1379" w:type="dxa"/>
            <w:shd w:val="clear" w:color="auto" w:fill="auto"/>
            <w:noWrap/>
            <w:hideMark/>
          </w:tcPr>
          <w:p w14:paraId="264B93C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227 (100)</w:t>
            </w:r>
          </w:p>
        </w:tc>
        <w:tc>
          <w:tcPr>
            <w:tcW w:w="797" w:type="dxa"/>
            <w:shd w:val="clear" w:color="auto" w:fill="auto"/>
            <w:noWrap/>
            <w:hideMark/>
          </w:tcPr>
          <w:p w14:paraId="3C7123E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(1)</w:t>
            </w:r>
          </w:p>
        </w:tc>
      </w:tr>
      <w:tr w:rsidR="00B61A3A" w:rsidRPr="007D2E2F" w14:paraId="72F9C6C4" w14:textId="77777777" w:rsidTr="00DF4D7C">
        <w:trPr>
          <w:trHeight w:val="255"/>
        </w:trPr>
        <w:tc>
          <w:tcPr>
            <w:tcW w:w="2552" w:type="dxa"/>
            <w:tcBorders>
              <w:bottom w:val="single" w:sz="4" w:space="0" w:color="auto"/>
            </w:tcBorders>
            <w:shd w:val="clear" w:color="auto" w:fill="auto"/>
            <w:noWrap/>
            <w:hideMark/>
          </w:tcPr>
          <w:p w14:paraId="33B75414" w14:textId="6238FC4B"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Dai 2016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{"citationItems":[{"id":"ITEM-1","itemData":{"DOI":"10.18632/oncotarget.13721","ISSN":"1949-2553","PMID":"27911869","abstract":"AIMS AND BACKGROUND This study was designed to compare the efficacy and safety of paclitaxel/oxaliplatin/fluorouracil (TOF) regimen and S-1/oxaliplatin (SOX) regimen for metastatic gastric cancer (GC) patients. METHODS Sixty patients were divided into TOF group and SOX groups randomly. Patients in the TOF group received paclitaxel (135 mg/m2 iv) on day 1, oxaliplatin (100 mg/m2 iv) on day 1, fluorouracil (500 mg/m2 continuous iv) on day 1-5. The patients in the SOX group received oxaliplatin (130 mg/m2 iv) on day 1 and S-1 (40 mg~60mg orally twice/day based on body surface area) on days 1-14. All the treatments were repeated every 21d for 4-6 cycles. RESULTS The ORR and DCR of TOF group was 43.3% and 60.0%, respectively while that of SOX group was 36.7% and 56.7%. There were no statistical differences between the ORRs (χ2 = 0.278) and the DCRs (χ2 = 0.069) of the 2 groups. The majority of adverse events of two groups were hematological and digestive ones. Most of them were grade I and II. The adverse event rate of TOF group was higher than SOX group. The PFS times of TOF and SOX groups were 6.5 and 5.8 months, respectively. There was no statistical difference between the PFSs of the 2 groups (P = 0.451). CONCLUSIONS The efficacies of TOF and SOX regimens are similar but the safety of SOX regimen better than TOF regimen.","author":[{"dropping-particle":"","family":"Dai","given":"Xichao","non-dropping-particle":"","parse-names":false,"suffix":""},{"dropping-particle":"","family":"Zhang","given":"Xizhi","non-dropping-particle":"","parse-names":false,"suffix":""},{"dropping-particle":"","family":"Wang","given":"Chaomin","non-dropping-particle":"","parse-names":false,"suffix":""},{"dropping-particle":"","family":"Jiang","given":"Jingting","non-dropping-particle":"","parse-names":false,"suffix":""},{"dropping-particle":"","family":"Wu","given":"Changping","non-dropping-particle":"","parse-names":false,"suffix":""}],"container-title":"Oncotarget","id":"ITEM-1","issue":"18","issued":{"date-parts":[["2017","5","2"]]},"page":"30495-30501","title":"Paclitaxel/oxaliplatin/fluorouracil (TOF) regimen versus S-1/oxaliplatin (SOX) regimen for metastatic gastric cancer patients.","type":"article-journal","volume":"8"},"uris":["http://www.mendeley.com/documents/?uuid=2cf20b10-eb76-4530-bf70-04aca82acd6b"]}],"mendeley":{"formattedCitation":"[67]","plainTextFormattedCitation":"[67]","previouslyFormattedCitation":"[67]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[67]</w:t>
            </w:r>
            <w:r w:rsidRPr="007D2E2F">
              <w:rPr>
                <w:rFonts w:ascii="Times New Roman" w:eastAsia="Times New Roman" w:hAnsi="Times New Roman"/>
                <w:color w:val="000000"/>
                <w:sz w:val="16"/>
                <w:szCs w:val="16"/>
              </w:rPr>
              <w:fldChar w:fldCharType="end"/>
            </w:r>
          </w:p>
        </w:tc>
        <w:tc>
          <w:tcPr>
            <w:tcW w:w="456" w:type="dxa"/>
            <w:tcBorders>
              <w:bottom w:val="single" w:sz="4" w:space="0" w:color="auto"/>
            </w:tcBorders>
            <w:shd w:val="clear" w:color="auto" w:fill="auto"/>
            <w:noWrap/>
            <w:hideMark/>
          </w:tcPr>
          <w:p w14:paraId="1B2158B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w:t>
            </w:r>
          </w:p>
        </w:tc>
        <w:tc>
          <w:tcPr>
            <w:tcW w:w="1708" w:type="dxa"/>
            <w:gridSpan w:val="2"/>
            <w:tcBorders>
              <w:bottom w:val="single" w:sz="4" w:space="0" w:color="auto"/>
            </w:tcBorders>
            <w:shd w:val="clear" w:color="auto" w:fill="auto"/>
            <w:noWrap/>
            <w:hideMark/>
          </w:tcPr>
          <w:p w14:paraId="69540E1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S-1+Ox</w:t>
            </w:r>
          </w:p>
        </w:tc>
        <w:tc>
          <w:tcPr>
            <w:tcW w:w="1322" w:type="dxa"/>
            <w:tcBorders>
              <w:bottom w:val="single" w:sz="4" w:space="0" w:color="auto"/>
            </w:tcBorders>
            <w:shd w:val="clear" w:color="auto" w:fill="auto"/>
            <w:noWrap/>
            <w:hideMark/>
          </w:tcPr>
          <w:p w14:paraId="58AE2E8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19 (63)</w:t>
            </w:r>
          </w:p>
        </w:tc>
        <w:tc>
          <w:tcPr>
            <w:tcW w:w="1623" w:type="dxa"/>
            <w:gridSpan w:val="2"/>
            <w:tcBorders>
              <w:bottom w:val="single" w:sz="4" w:space="0" w:color="auto"/>
            </w:tcBorders>
            <w:shd w:val="clear" w:color="auto" w:fill="auto"/>
            <w:noWrap/>
            <w:hideMark/>
          </w:tcPr>
          <w:p w14:paraId="2D3BA92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57 (20-75)</w:t>
            </w:r>
          </w:p>
        </w:tc>
        <w:tc>
          <w:tcPr>
            <w:tcW w:w="1379" w:type="dxa"/>
            <w:tcBorders>
              <w:bottom w:val="single" w:sz="4" w:space="0" w:color="auto"/>
            </w:tcBorders>
            <w:shd w:val="clear" w:color="auto" w:fill="auto"/>
            <w:noWrap/>
            <w:hideMark/>
          </w:tcPr>
          <w:p w14:paraId="64D58BF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tcBorders>
              <w:bottom w:val="single" w:sz="4" w:space="0" w:color="auto"/>
            </w:tcBorders>
            <w:shd w:val="clear" w:color="auto" w:fill="auto"/>
            <w:noWrap/>
            <w:hideMark/>
          </w:tcPr>
          <w:p w14:paraId="6F678F8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1A6F97" w:rsidRPr="00BA62DB" w14:paraId="13014676" w14:textId="77777777" w:rsidTr="00DF4D7C">
        <w:trPr>
          <w:trHeight w:val="255"/>
        </w:trPr>
        <w:tc>
          <w:tcPr>
            <w:tcW w:w="3008" w:type="dxa"/>
            <w:gridSpan w:val="2"/>
            <w:tcBorders>
              <w:top w:val="single" w:sz="4" w:space="0" w:color="auto"/>
              <w:bottom w:val="single" w:sz="4" w:space="0" w:color="auto"/>
            </w:tcBorders>
            <w:shd w:val="clear" w:color="auto" w:fill="auto"/>
            <w:noWrap/>
          </w:tcPr>
          <w:p w14:paraId="36E4C82A"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w:hAnsi="Times New Roman"/>
                <w:bCs/>
                <w:sz w:val="16"/>
                <w:szCs w:val="24"/>
                <w:lang w:val="en-US"/>
              </w:rPr>
              <w:lastRenderedPageBreak/>
              <w:t>Supplementary table 2. (continued)</w:t>
            </w:r>
          </w:p>
        </w:tc>
        <w:tc>
          <w:tcPr>
            <w:tcW w:w="1708" w:type="dxa"/>
            <w:gridSpan w:val="2"/>
            <w:tcBorders>
              <w:top w:val="single" w:sz="4" w:space="0" w:color="auto"/>
              <w:bottom w:val="single" w:sz="4" w:space="0" w:color="auto"/>
            </w:tcBorders>
            <w:shd w:val="clear" w:color="auto" w:fill="auto"/>
            <w:noWrap/>
          </w:tcPr>
          <w:p w14:paraId="01DFBCFE"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p>
        </w:tc>
        <w:tc>
          <w:tcPr>
            <w:tcW w:w="1322" w:type="dxa"/>
            <w:tcBorders>
              <w:top w:val="single" w:sz="4" w:space="0" w:color="auto"/>
              <w:bottom w:val="single" w:sz="4" w:space="0" w:color="auto"/>
            </w:tcBorders>
            <w:shd w:val="clear" w:color="auto" w:fill="auto"/>
            <w:noWrap/>
          </w:tcPr>
          <w:p w14:paraId="7F62058E"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623" w:type="dxa"/>
            <w:gridSpan w:val="2"/>
            <w:tcBorders>
              <w:top w:val="single" w:sz="4" w:space="0" w:color="auto"/>
              <w:bottom w:val="single" w:sz="4" w:space="0" w:color="auto"/>
            </w:tcBorders>
            <w:shd w:val="clear" w:color="auto" w:fill="auto"/>
            <w:noWrap/>
          </w:tcPr>
          <w:p w14:paraId="6E7C1C03"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379" w:type="dxa"/>
            <w:tcBorders>
              <w:top w:val="single" w:sz="4" w:space="0" w:color="auto"/>
              <w:bottom w:val="single" w:sz="4" w:space="0" w:color="auto"/>
            </w:tcBorders>
            <w:shd w:val="clear" w:color="auto" w:fill="auto"/>
            <w:noWrap/>
          </w:tcPr>
          <w:p w14:paraId="2A4B8093"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797" w:type="dxa"/>
            <w:tcBorders>
              <w:top w:val="single" w:sz="4" w:space="0" w:color="auto"/>
              <w:bottom w:val="single" w:sz="4" w:space="0" w:color="auto"/>
            </w:tcBorders>
            <w:shd w:val="clear" w:color="auto" w:fill="auto"/>
            <w:noWrap/>
          </w:tcPr>
          <w:p w14:paraId="2D904705"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r>
      <w:tr w:rsidR="001A6F97" w:rsidRPr="001F70C0" w14:paraId="03CD0369" w14:textId="77777777" w:rsidTr="00DF4D7C">
        <w:trPr>
          <w:trHeight w:val="255"/>
        </w:trPr>
        <w:tc>
          <w:tcPr>
            <w:tcW w:w="2552" w:type="dxa"/>
            <w:tcBorders>
              <w:top w:val="single" w:sz="4" w:space="0" w:color="auto"/>
              <w:bottom w:val="single" w:sz="4" w:space="0" w:color="auto"/>
            </w:tcBorders>
            <w:shd w:val="clear" w:color="auto" w:fill="auto"/>
            <w:noWrap/>
          </w:tcPr>
          <w:p w14:paraId="32F8E6D3" w14:textId="77777777" w:rsidR="001A6F97" w:rsidRPr="001F70C0"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New Roman" w:hAnsi="Times New Roman"/>
                <w:bCs/>
                <w:color w:val="000000"/>
                <w:sz w:val="16"/>
                <w:szCs w:val="16"/>
                <w:lang w:val="en-US"/>
              </w:rPr>
              <w:t>Studies</w:t>
            </w:r>
          </w:p>
        </w:tc>
        <w:tc>
          <w:tcPr>
            <w:tcW w:w="456" w:type="dxa"/>
            <w:tcBorders>
              <w:top w:val="single" w:sz="4" w:space="0" w:color="auto"/>
              <w:bottom w:val="single" w:sz="4" w:space="0" w:color="auto"/>
            </w:tcBorders>
            <w:shd w:val="clear" w:color="auto" w:fill="auto"/>
            <w:noWrap/>
          </w:tcPr>
          <w:p w14:paraId="11BBEAD9"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No.</w:t>
            </w:r>
          </w:p>
        </w:tc>
        <w:tc>
          <w:tcPr>
            <w:tcW w:w="1708" w:type="dxa"/>
            <w:gridSpan w:val="2"/>
            <w:tcBorders>
              <w:top w:val="single" w:sz="4" w:space="0" w:color="auto"/>
              <w:bottom w:val="single" w:sz="4" w:space="0" w:color="auto"/>
            </w:tcBorders>
            <w:shd w:val="clear" w:color="auto" w:fill="auto"/>
            <w:noWrap/>
          </w:tcPr>
          <w:p w14:paraId="712D312A"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322" w:type="dxa"/>
            <w:tcBorders>
              <w:top w:val="single" w:sz="4" w:space="0" w:color="auto"/>
              <w:bottom w:val="single" w:sz="4" w:space="0" w:color="auto"/>
            </w:tcBorders>
            <w:shd w:val="clear" w:color="auto" w:fill="auto"/>
            <w:noWrap/>
          </w:tcPr>
          <w:p w14:paraId="6DC40A25"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14C6313E"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1623" w:type="dxa"/>
            <w:gridSpan w:val="2"/>
            <w:tcBorders>
              <w:top w:val="single" w:sz="4" w:space="0" w:color="auto"/>
              <w:bottom w:val="single" w:sz="4" w:space="0" w:color="auto"/>
            </w:tcBorders>
            <w:shd w:val="clear" w:color="auto" w:fill="auto"/>
            <w:noWrap/>
          </w:tcPr>
          <w:p w14:paraId="125BDE7C"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6972EF0B"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Median (range)</w:t>
            </w:r>
          </w:p>
        </w:tc>
        <w:tc>
          <w:tcPr>
            <w:tcW w:w="1379" w:type="dxa"/>
            <w:tcBorders>
              <w:top w:val="single" w:sz="4" w:space="0" w:color="auto"/>
              <w:bottom w:val="single" w:sz="4" w:space="0" w:color="auto"/>
            </w:tcBorders>
            <w:shd w:val="clear" w:color="auto" w:fill="auto"/>
            <w:noWrap/>
          </w:tcPr>
          <w:p w14:paraId="79497B71"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1311A753"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797" w:type="dxa"/>
            <w:tcBorders>
              <w:top w:val="single" w:sz="4" w:space="0" w:color="auto"/>
              <w:bottom w:val="single" w:sz="4" w:space="0" w:color="auto"/>
            </w:tcBorders>
            <w:shd w:val="clear" w:color="auto" w:fill="auto"/>
            <w:noWrap/>
          </w:tcPr>
          <w:p w14:paraId="274CC5A3"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WHO&gt;2 </w:t>
            </w:r>
          </w:p>
          <w:p w14:paraId="4746D7AE"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r>
      <w:tr w:rsidR="00B61A3A" w:rsidRPr="007D2E2F" w14:paraId="75C4B826" w14:textId="77777777" w:rsidTr="00B61A3A">
        <w:trPr>
          <w:trHeight w:val="255"/>
        </w:trPr>
        <w:tc>
          <w:tcPr>
            <w:tcW w:w="2552" w:type="dxa"/>
            <w:shd w:val="clear" w:color="auto" w:fill="auto"/>
            <w:noWrap/>
            <w:hideMark/>
          </w:tcPr>
          <w:p w14:paraId="734B4B4E" w14:textId="3486DD94"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Ryu 2016 (SOPP)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{"citationItems":[{"id":"ITEM-1","itemData":{"DOI":"10.1200/JCO.2016.34.15_suppl.4015","ISSN":"0732-183X","abstract":"4015Background: S-1 plus cisplatin (SP) is one of the standard first-line chemotherapies for AGC in the East Asia. Oxaliplatin is generally less toxic and more convenient than cisplatin. This study compared the safety and efficacy of S-1 plus oxaliplatin (SOX) with those of SP. Methods: This SOPP study was a multi-center, randomized, open-label, phase III study to evaluate whether SOX was non-inferior / superior to SP in terms of progression-free survival (PFS) according to RECIST v1.1. Patients (pts) with metastatic or recurrent gastric or gastroesophageal junction adenocarcinoma and no prior chemotherapy were randomized 1:1 to receive either SOX (S-1 80 mg/m2/day on D1-14, oxaliplatin 130 mg/m2 on D1, every 3 weeks) or SP (S-1 80 mg/m2/day on D1-14, cisplatin 60mg/m2 on D1, every 3 weeks) until disease progression or unacceptable toxicities. Results: Between October 2012 and October 2014, a total of 338 pts were randomized from 10 sites in Korea. The median age was 56 years (range, 26-80). 98% of pts had ECOG performance status 0-1. 51% of pts had measurable lesions. With a median follow-up of 15.6 months (range, 0.1-33.3) in surviving pts, SOX was significantly non-inferior but not superior to SP in PFS (median 5.6 months vs. 5.7 months; HR 0.85, 95% CI 0.67-1.07, p = 0.169). In pts with measurable disease, overall response rates (ORR) were similar between SOX and SP (58% vs. 60%, p = 0.7). Overall survival (OS) of both groups was not different, either (median 12.9 vs. 11.4 months; HR 0.86, 95% CI 0.66-1.11, p = 0.242). Treatment was generally well tolerated in both arms. While grade 3/4 neutropenia and febrile neutropenia were more common in SP, grade 3/4 peripheral neuropathy and thrombocytopenia were more common in SOX. Conclusions: SOX was non-inferior to SP in terms of PFS, ORR, and OS. The two regimens were well tolerated with different toxicity profiles. SOX regimen can be also recommended as a first-line treatment of AGC. Clinical trial information: NCT01671449.","author":[{"dropping-particle":"","family":"Ryu","given":"Min-Hee","non-dropping-particle":"","parse-names":false,"suffix":""},{"dropping-particle":"","family":"Park","given":"Young Iee","non-dropping-particle":"","parse-names":false,"suffix":""},{"dropping-particle":"","family":"Chung","given":"Ik-Joo","non-dropping-particle":"","parse-names":false,"suffix":""},{"dropping-particle":"","family":"Lee","given":"Keun-Wook","non-dropping-particle":"","parse-names":false,"suffix":""},{"dropping-particle":"","family":"Oh","given":"Ho-Suk","non-dropping-particle":"","parse-names":false,"suffix":""},{"dropping-particle":"","family":"Lee","given":"Kyung Hee","non-dropping-particle":"","parse-names":false,"suffix":""},{"dropping-particle":"","family":"Han","given":"Hye Sook","non-dropping-particle":"","parse-names":false,"suffix":""},{"dropping-particle":"","family":"Seo","given":"Bong-Gun","non-dropping-particle":"","parse-names":false,"suffix":""},{"dropping-particle":"","family":"Jo","given":"Jae-Cheol","non-dropping-particle":"","parse-names":false,"suffix":""},{"dropping-particle":"","family":"Lee","given":"Hyo Rak","non-dropping-particle":"","parse-names":false,"suffix":""},{"dropping-particle":"","family":"Park","given":"Sook Ryun","non-dropping-particle":"","parse-names":false,"suffix":""},{"dropping-particle":"","family":"Kang","given":"Yoon-Koo","non-dropping-particle":"","parse-names":false,"suffix":""}],"container-title":"Journal of Clinical Oncology","id":"ITEM-1","issue":"15_suppl","issued":{"date-parts":[["2016","5","20"]]},"note":"doi: 10.1200/JCO.2016.34.15_suppl.4015","page":"4015","publisher":"American Society of Clinical Oncology","title":"Phase III trial of s-1 plus oxaliplatin (SOX) vs s-1 plus cisplatin (SP) combination chemotherapy for first-line treatment of advanced gastric cancer (AGC): SOPP study.","type":"article-journal","volume":"34"},"uris":["http://www.mendeley.com/documents/?uuid=89c498eb-dd13-41c9-bab2-8b4db293d7de"]}],"mendeley":{"formattedCitation":"[44]","plainTextFormattedCitation":"[44]","previouslyFormattedCitation":"[44]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[44]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A94E42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173</w:t>
            </w:r>
          </w:p>
        </w:tc>
        <w:tc>
          <w:tcPr>
            <w:tcW w:w="1708" w:type="dxa"/>
            <w:gridSpan w:val="2"/>
            <w:shd w:val="clear" w:color="auto" w:fill="auto"/>
            <w:noWrap/>
            <w:hideMark/>
          </w:tcPr>
          <w:p w14:paraId="2D01668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S-1+Ox</w:t>
            </w:r>
          </w:p>
        </w:tc>
        <w:tc>
          <w:tcPr>
            <w:tcW w:w="1322" w:type="dxa"/>
            <w:shd w:val="clear" w:color="auto" w:fill="auto"/>
            <w:noWrap/>
            <w:hideMark/>
          </w:tcPr>
          <w:p w14:paraId="29C782B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623" w:type="dxa"/>
            <w:gridSpan w:val="2"/>
            <w:shd w:val="clear" w:color="auto" w:fill="auto"/>
            <w:noWrap/>
            <w:hideMark/>
          </w:tcPr>
          <w:p w14:paraId="65EE845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379" w:type="dxa"/>
            <w:shd w:val="clear" w:color="auto" w:fill="auto"/>
            <w:noWrap/>
            <w:hideMark/>
          </w:tcPr>
          <w:p w14:paraId="0A58D47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0CDC2D5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7D2E2F" w14:paraId="6B2ECBC8" w14:textId="77777777" w:rsidTr="00B61A3A">
        <w:trPr>
          <w:trHeight w:val="862"/>
        </w:trPr>
        <w:tc>
          <w:tcPr>
            <w:tcW w:w="3008" w:type="dxa"/>
            <w:gridSpan w:val="2"/>
            <w:shd w:val="clear" w:color="auto" w:fill="auto"/>
            <w:noWrap/>
            <w:hideMark/>
          </w:tcPr>
          <w:p w14:paraId="16D97D92"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Capecitabine+Oxaliplatin</w:t>
            </w:r>
          </w:p>
        </w:tc>
        <w:tc>
          <w:tcPr>
            <w:tcW w:w="1708" w:type="dxa"/>
            <w:gridSpan w:val="2"/>
            <w:shd w:val="clear" w:color="auto" w:fill="auto"/>
            <w:noWrap/>
            <w:hideMark/>
          </w:tcPr>
          <w:p w14:paraId="30B315F1"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FOX</w:t>
            </w:r>
          </w:p>
        </w:tc>
        <w:tc>
          <w:tcPr>
            <w:tcW w:w="1322" w:type="dxa"/>
            <w:shd w:val="clear" w:color="auto" w:fill="auto"/>
            <w:noWrap/>
            <w:hideMark/>
          </w:tcPr>
          <w:p w14:paraId="615D987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5EAEE5D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76B5714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29C7A5C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2B8659F3" w14:textId="77777777" w:rsidTr="00B61A3A">
        <w:trPr>
          <w:trHeight w:val="255"/>
        </w:trPr>
        <w:tc>
          <w:tcPr>
            <w:tcW w:w="2552" w:type="dxa"/>
            <w:shd w:val="clear" w:color="auto" w:fill="auto"/>
            <w:noWrap/>
            <w:hideMark/>
          </w:tcPr>
          <w:p w14:paraId="7D4C9C5B" w14:textId="18DC088B"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Hwang 2017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{"citationItems":[{"id":"ITEM-1","itemData":{"DOI":"10.1016/j.jgo.2017.01.002","ISSN":"18794068","PMID":"28119041","abstract":"Objectives More than half of cases of gastric cancer (GC) are diagnosed in elderly patients (≥ 70 years). While doublet combination with fluoropyrimidines and platinum is currently considered standard first-line chemotherapy in advanced GC, the main goal of chemotherapy remains palliation. Materials and Methods In a multi-center phase III trial, patients with chemotherapy-naïve, metastatic GC, aged 70 years or older were randomized 1:1 to receive X monotherapy (capecitabine 1000 mg/m2bid po on days one to fourteen) or XELOX (X plus oxaliplatin 110 mg/m2iv on D1). Treatment was repeated every 21 days until disease progression, unacceptable toxicity, or withdrawal. Primary endpoint was overall survival (OS). Results In total, 50 patients with a median age of 77 (range, 70 to 84) were enrolled (X, n = 26; XELOX, n = 24). No treatment-related serious adverse events or unexpected toxicities were observed. The most frequently observed toxicities were nausea and hand-foot syndrome, with fatigue and peripheral neuropathy more common in XELOX than in X patients. Median OS was 11.1 months for XELOX arm and 6.3 months for X arm (HR 0.58, 95% CI 0.30–1.12, P = 0.108). Although the difference was not significant, on the basis of evidence of superiority of XELOX seen in the first interim analysis, an independent data monitoring committee recommended early stopping of the trial. PFS was significantly longer (HR 0.32, 95% CI 0.17–0.61, P &lt; 0.001) with XELOX (7.1 months) than with X (2.6 months). Conclusion Platinum-based combination chemotherapy was associated with survival benefit, as compared with X monotherapy in elderly patients with GC.","author":[{"dropping-particle":"","family":"Hwang","given":"In Gyu","non-dropping-particle":"","parse-names":false,"suffix":""},{"dropping-particle":"","family":"Ji","given":"Jun Ho","non-dropping-particle":"","parse-names":false,"suffix":""},{"dropping-particle":"","family":"Kang","given":"Jung Hun","non-dropping-particle":"","parse-names":false,"suffix":""},{"dropping-particle":"","family":"Lee","given":"Hyo Rak","non-dropping-particle":"","parse-names":false,"suffix":""},{"dropping-particle":"","family":"Lee","given":"Hui Young","non-dropping-particle":"","parse-names":false,"suffix":""},{"dropping-particle":"","family":"Chi","given":"Kyong Choun","non-dropping-particle":"","parse-names":false,"suffix":""},{"dropping-particle":"","family":"Park","given":"Suk Won","non-dropping-particle":"","parse-names":false,"suffix":""},{"dropping-particle":"","family":"Lee","given":"Su Jin","non-dropping-particle":"","parse-names":false,"suffix":""},{"dropping-particle":"","family":"Kim","given":"Seung Tae","non-dropping-particle":"","parse-names":false,"suffix":""},{"dropping-particle":"","family":"Lee","given":"Jeeyun","non-dropping-particle":"","parse-names":false,"suffix":""},{"dropping-particle":"","family":"Park","given":"Se Hoon","non-dropping-particle":"","parse-names":false,"suffix":""},{"dropping-particle":"","family":"Park","given":"Joon Oh","non-dropping-particle":"","parse-names":false,"suffix":""},{"dropping-particle":"","family":"Park","given":"Young Suk","non-dropping-particle":"","parse-names":false,"suffix":""},{"dropping-particle":"","family":"Lim","given":"Ho Yeong","non-dropping-particle":"","parse-names":false,"suffix":""},{"dropping-particle":"","family":"Kang","given":"Won Ki","non-dropping-particle":"","parse-names":false,"suffix":""}],"container-title":"Journal of Geriatric Oncology","id":"ITEM-1","issue":"3","issued":{"date-parts":[["2017"]]},"page":"170-175","publisher":"Elsevier Ltd","title":"A multi-center, open-label, randomized phase III trial of first-line chemotherapy with capecitabine monotherapy versus capecitabine plus oxaliplatin in elderly patients with advanced gastric cancer","type":"article-journal","volume":"8"},"uris":["http://www.mendeley.com/documents/?uuid=0ee2f7aa-b770-48e7-a8ee-458314916b92"]}],"mendeley":{"formattedCitation":"[12]","plainTextFormattedCitation":"[12]","previouslyFormattedCitation":"[12]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[12]</w:t>
            </w:r>
            <w:r w:rsidRPr="007D2E2F">
              <w:rPr>
                <w:rFonts w:ascii="Times New Roman" w:eastAsia="Times New Roman" w:hAnsi="Times New Roman"/>
                <w:color w:val="000000"/>
                <w:sz w:val="16"/>
                <w:szCs w:val="16"/>
              </w:rPr>
              <w:fldChar w:fldCharType="end"/>
            </w:r>
            <w:r w:rsidRPr="007D2E2F">
              <w:rPr>
                <w:rFonts w:ascii="Times New Roman" w:eastAsia="Times New Roman" w:hAnsi="Times New Roman"/>
                <w:b/>
                <w:color w:val="000000"/>
                <w:sz w:val="16"/>
                <w:szCs w:val="16"/>
              </w:rPr>
              <w:t xml:space="preserve"> </w:t>
            </w:r>
          </w:p>
        </w:tc>
        <w:tc>
          <w:tcPr>
            <w:tcW w:w="456" w:type="dxa"/>
            <w:shd w:val="clear" w:color="auto" w:fill="auto"/>
            <w:noWrap/>
            <w:hideMark/>
          </w:tcPr>
          <w:p w14:paraId="7F17540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24</w:t>
            </w:r>
          </w:p>
        </w:tc>
        <w:tc>
          <w:tcPr>
            <w:tcW w:w="1708" w:type="dxa"/>
            <w:gridSpan w:val="2"/>
            <w:shd w:val="clear" w:color="auto" w:fill="auto"/>
            <w:noWrap/>
            <w:hideMark/>
          </w:tcPr>
          <w:p w14:paraId="3D0086C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Cap+Ox</w:t>
            </w:r>
          </w:p>
        </w:tc>
        <w:tc>
          <w:tcPr>
            <w:tcW w:w="1322" w:type="dxa"/>
            <w:shd w:val="clear" w:color="auto" w:fill="auto"/>
            <w:noWrap/>
            <w:hideMark/>
          </w:tcPr>
          <w:p w14:paraId="5840986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18 (75)</w:t>
            </w:r>
          </w:p>
        </w:tc>
        <w:tc>
          <w:tcPr>
            <w:tcW w:w="1623" w:type="dxa"/>
            <w:gridSpan w:val="2"/>
            <w:shd w:val="clear" w:color="auto" w:fill="auto"/>
            <w:noWrap/>
            <w:hideMark/>
          </w:tcPr>
          <w:p w14:paraId="412476A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75 (70-84)</w:t>
            </w:r>
          </w:p>
        </w:tc>
        <w:tc>
          <w:tcPr>
            <w:tcW w:w="1379" w:type="dxa"/>
            <w:shd w:val="clear" w:color="auto" w:fill="auto"/>
            <w:noWrap/>
            <w:hideMark/>
          </w:tcPr>
          <w:p w14:paraId="2EE88B1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24 (100)</w:t>
            </w:r>
          </w:p>
        </w:tc>
        <w:tc>
          <w:tcPr>
            <w:tcW w:w="797" w:type="dxa"/>
            <w:shd w:val="clear" w:color="auto" w:fill="auto"/>
            <w:noWrap/>
            <w:hideMark/>
          </w:tcPr>
          <w:p w14:paraId="2A2D6B9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(17)</w:t>
            </w:r>
          </w:p>
        </w:tc>
      </w:tr>
      <w:tr w:rsidR="00B61A3A" w:rsidRPr="007D2E2F" w14:paraId="068931E5" w14:textId="77777777" w:rsidTr="00B61A3A">
        <w:trPr>
          <w:trHeight w:val="255"/>
        </w:trPr>
        <w:tc>
          <w:tcPr>
            <w:tcW w:w="2552" w:type="dxa"/>
            <w:shd w:val="clear" w:color="auto" w:fill="auto"/>
            <w:noWrap/>
            <w:hideMark/>
          </w:tcPr>
          <w:p w14:paraId="5C35990A" w14:textId="52611FAF"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Hall 2017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{"citationItems":[{"id":"ITEM-1","itemData":{"DOI":"10.1038/bjc.2016.442","ISSN":"15321827","PMID":"28095397","abstract":"Background: Elderly patients are commonly under-represented in cancer\nclinical trials. The 321GO was undertaken in preparation for a\ndefinitive phase three trial assessing different chemotherapy regimens\nin a frail and/or elderly population with advanced gastroesophageal (GO)\ncancer.\nMethods: Patients with advanced GO cancer considered unfit for\nconventional dose chemotherapy were randomly assigned in a 1 : 1 : 1\nratio to: epirubicin, oxaliplatin and capecitabine (EOX); oxaliplatin\nand capecitabine (OX); and capecitabine alone (X) (all 80% of full dose\nand unblinded). The primary end point was patient recruitment over an\n18-month period. A registration study recorded treatment choice for all\npatients with advanced GO cancer at trial centres.\nResults: A total of 313 patients were considered for palliative\nchemotherapy for GO cancer over the 18-month period: 115 received full\ndose treatment, 89 less than standard treatment or entered 321GO and 111\nno treatment. Within 321GO, 55 patients were randomly assigned (19 to OX\nand X; 17 to EOX). Progression-free survival (PFS) for all patients was\n4.4 months and by arm 5.4, 5.6 and 3.0 months for EOX, OX and X,\nrespectively. The number of patients with a good overall treatment\nutility (OTU), a novel patient-centred endpoint, at 12 weeks was 3\n(18%), 6 (32%) and 1 (6%) for EOX, OX and X, respectively. At 6\nweeks, 22 patients (41%) had experienced a non-haematologic toxicity &gt;=\ngrade 3, most commonly lethargy or diarrhoea. The OTU was prognostic for\noverall survival in patients alive at week 12 (logrank test P = 0.0001).\nConclusions: It is feasible to recruit elderly and/or frail patients\nwith advanced GO cancer to a randomised clinical trial. The OX is the\npreferred regimen for further study. Overall treatment utility shows\npromise as a comparator between treatment regimens for feasibility and\nrandomised trials in the elderly and/or frail GO cancer population.","author":[{"dropping-particle":"","family":"Hall","given":"P. S.","non-dropping-particle":"","parse-names":false,"suffix":""},{"dropping-particle":"","family":"Lord","given":"S. R.","non-dropping-particle":"","parse-names":false,"suffix":""},{"dropping-particle":"","family":"Collinson","given":"M.","non-dropping-particle":"","parse-names":false,"suffix":""},{"dropping-particle":"","family":"Marshall","given":"H.","non-dropping-particle":"","parse-names":false,"suffix":""},{"dropping-particle":"","family":"Jones","given":"M.","non-dropping-particle":"","parse-names":false,"suffix":""},{"dropping-particle":"","family":"Lowe","given":"C.","non-dropping-particle":"","parse-names":false,"suffix":""},{"dropping-particle":"","family":"Howard","given":"H.","non-dropping-particle":"","parse-names":false,"suffix":""},{"dropping-particle":"","family":"Swinson","given":"D.","non-dropping-particle":"","parse-names":false,"suffix":""},{"dropping-particle":"","family":"Velikova","given":"G.","non-dropping-particle":"","parse-names":false,"suffix":""},{"dropping-particle":"","family":"Anthoney","given":"A.","non-dropping-particle":"","parse-names":false,"suffix":""},{"dropping-particle":"","family":"Roy","given":"R.","non-dropping-particle":"","parse-names":false,"suffix":""},{"dropping-particle":"","family":"Dent","given":"J.","non-dropping-particle":"","parse-names":false,"suffix":""},{"dropping-particle":"","family":"Cheeseman","given":"S.","non-dropping-particle":"","parse-names":false,"suffix":""},{"dropping-particle":"","family":"Last","given":"K.","non-dropping-particle":"","parse-names":false,"suffix":""},{"dropping-particle":"","family":"Seymour","given":"M. T.","non-dropping-particle":"","parse-names":false,"suffix":""}],"container-title":"British Journal of Cancer","id":"ITEM-1","issue":"4","issued":{"date-parts":[["2017"]]},"page":"472-478","publisher":"Nature Publishing Group","title":"A randomised phase II trial and feasibility study of palliative chemotherapy in frail or elderly patients with advanced gastroesophageal cancer (321GO)","type":"article-journal","volume":"116"},"uris":["http://www.mendeley.com/documents/?uuid=6f6e9c16-0f6e-42e6-80a7-035e667b17c1"]}],"mendeley":{"formattedCitation":"[14]","plainTextFormattedCitation":"[14]","previouslyFormattedCitation":"[14]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F3D05B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19</w:t>
            </w:r>
          </w:p>
        </w:tc>
        <w:tc>
          <w:tcPr>
            <w:tcW w:w="1708" w:type="dxa"/>
            <w:gridSpan w:val="2"/>
            <w:shd w:val="clear" w:color="auto" w:fill="auto"/>
            <w:noWrap/>
            <w:hideMark/>
          </w:tcPr>
          <w:p w14:paraId="3310818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Cap+Ox</w:t>
            </w:r>
          </w:p>
        </w:tc>
        <w:tc>
          <w:tcPr>
            <w:tcW w:w="1322" w:type="dxa"/>
            <w:shd w:val="clear" w:color="auto" w:fill="auto"/>
            <w:noWrap/>
            <w:hideMark/>
          </w:tcPr>
          <w:p w14:paraId="1B4658F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13 (68)</w:t>
            </w:r>
          </w:p>
        </w:tc>
        <w:tc>
          <w:tcPr>
            <w:tcW w:w="1623" w:type="dxa"/>
            <w:gridSpan w:val="2"/>
            <w:shd w:val="clear" w:color="auto" w:fill="auto"/>
            <w:noWrap/>
            <w:hideMark/>
          </w:tcPr>
          <w:p w14:paraId="74D08AD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77(50-85)</w:t>
            </w:r>
          </w:p>
        </w:tc>
        <w:tc>
          <w:tcPr>
            <w:tcW w:w="1379" w:type="dxa"/>
            <w:shd w:val="clear" w:color="auto" w:fill="auto"/>
            <w:noWrap/>
            <w:hideMark/>
          </w:tcPr>
          <w:p w14:paraId="7F6A7AD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17 (89)</w:t>
            </w:r>
          </w:p>
        </w:tc>
        <w:tc>
          <w:tcPr>
            <w:tcW w:w="797" w:type="dxa"/>
            <w:shd w:val="clear" w:color="auto" w:fill="auto"/>
            <w:noWrap/>
            <w:hideMark/>
          </w:tcPr>
          <w:p w14:paraId="32F89C1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 (26)</w:t>
            </w:r>
          </w:p>
        </w:tc>
      </w:tr>
      <w:tr w:rsidR="00B61A3A" w:rsidRPr="007D2E2F" w14:paraId="47A7EAEF" w14:textId="77777777" w:rsidTr="00B61A3A">
        <w:trPr>
          <w:trHeight w:val="255"/>
        </w:trPr>
        <w:tc>
          <w:tcPr>
            <w:tcW w:w="2552" w:type="dxa"/>
            <w:shd w:val="clear" w:color="auto" w:fill="auto"/>
            <w:noWrap/>
            <w:hideMark/>
          </w:tcPr>
          <w:p w14:paraId="584BC441" w14:textId="4CF05001"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Hecht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{"citationItems":[{"id":"ITEM-1","itemData":{"DOI":"10.1200/JCO.2015.62.6598","ISBN":"1527-7755 (Electronic)\\r0732-183X (Linking)","ISSN":"15277755","PMID":"26628478","abstract":"PURPOSE: To evaluate the efficacy of adding lapatinib to capecitabine and oxaliplatin (CapeOx) in patients with previously untreated human epidermal growth factor receptor 2 (HER2) -amplified advanced gastroesophageal adenocarcinoma.\\n\\nPATIENTS AND METHODS: Patients with HER2-positive advanced gastroesophageal adenocarcinoma were randomly assigned at a one-to-one ratio to CapeOx plus lapatinib 1,250 mg or placebo daily. Primary end point was overall survival (OS) in patients with centrally confirmed HER2 amplification in the primary efficacy population.\\n\\nRESULTS: A total of 545 patients were randomly assigned, and 487 patients comprised the primary efficacy population. Median OS in the lapatinib and placebo arms was 12.2 (95% CI, 10.6 to 14.2) and 10.5 months (95% CI, 9.0 to 11.3), respectively, which was not significantly different (hazard ratio, 0.91; 95% CI, 0.73 to 1.12). Median progression-free survival in the lapatinib and placebo arms was 6.0 (95% CI, 5.6 to 7.0) and 5.4 months (95% CI, 4.4 to 5.7), respectively (hazard ratio, 0.82; 95% CI, 0.68 to 1.00; P = .0381). Response rate was significantly higher in the lapatinib arm: 53% (95% CI, 46.4 to 58.8) compared with 39% (95% CI, 32.9 to 45.3) in the placebo arm (P = .0031). Preplanned exploratory subgroup analyses showed OS in the lapatinib arm was prolonged in Asian and younger patients. No correlation was observed between HER2 immunohistochemistry status and survival. There were increased toxicities in the lapatinib arm, particularly diarrhea.\\n\\nCONCLUSION: Addition of lapatinib to CapeOx did not increase OS in patients with HER2-amplified gastroesophageal adenocarcinoma. There were clear differences in the effect of lapatinib depending on region and age. Future studies could examine this correlation.","author":[{"dropping-particle":"","family":"Hecht","given":"J. Randolph","non-dropping-particle":"","parse-names":false,"suffix":""},{"dropping-particle":"","family":"Bang","given":"Yung Jue","non-dropping-particle":"","parse-names":false,"suffix":""},{"dropping-particle":"","family":"Qin","given":"Shukui K.","non-dropping-particle":"","parse-names":false,"suffix":""},{"dropping-particle":"","family":"Chung","given":"Hyun C.","non-dropping-particle":"","parse-names":false,"suffix":""},{"dropping-particle":"","family":"Xu","given":"Jianming M.","non-dropping-particle":"","parse-names":false,"suffix":""},{"dropping-particle":"","family":"Park","given":"Joon O.","non-dropping-particle":"","parse-names":false,"suffix":""},{"dropping-particle":"","family":"Jeziorski","given":"Krzysztof","non-dropping-particle":"","parse-names":false,"suffix":""},{"dropping-particle":"","family":"Shparyk","given":"Yaroslav","non-dropping-particle":"","parse-names":false,"suffix":""},{"dropping-particle":"","family":"Hoff","given":"Paulo M.","non-dropping-particle":"","parse-names":false,"suffix":""},{"dropping-particle":"","family":"Sobrero","given":"Alberto","non-dropping-particle":"","parse-names":false,"suffix":""},{"dropping-particle":"","family":"Salman","given":"Pamela","non-dropping-particle":"","parse-names":false,"suffix":""},{"dropping-particle":"","family":"Li","given":"Jin","non-dropping-particle":"","parse-names":false,"suffix":""},{"dropping-particle":"","family":"Protsenko","given":"Svetlana A.","non-dropping-particle":"","parse-names":false,"suffix":""},{"dropping-particle":"","family":"Wainberg","given":"Zev A.","non-dropping-particle":"","parse-names":false,"suffix":""},{"dropping-particle":"","family":"Buyse","given":"Marc","non-dropping-particle":"","parse-names":false,"suffix":""},{"dropping-particle":"","family":"Afenjar","given":"Karen","non-dropping-particle":"","parse-names":false,"suffix":""},{"dropping-particle":"","family":"Houè","given":"Vincent","non-dropping-particle":"","parse-names":false,"suffix":""},{"dropping-particle":"","family":"Garcia","given":"Agathe","non-dropping-particle":"","parse-names":false,"suffix":""},{"dropping-particle":"","family":"Kaneko","given":"Tomomi","non-dropping-particle":"","parse-names":false,"suffix":""},{"dropping-particle":"","family":"Huang","given":"Yingjie","non-dropping-particle":"","parse-names":false,"suffix":""},{"dropping-particle":"","family":"Khan-Wasti","given":"Saba","non-dropping-particle":"","parse-names":false,"suffix":""},{"dropping-particle":"","family":"Santillana","given":"Sergio","non-dropping-particle":"","parse-names":false,"suffix":""},{"dropping-particle":"","family":"Press","given":"Michael F.","non-dropping-particle":"","parse-names":false,"suffix":""},{"dropping-particle":"","family":"Slamon","given":"Dennis","non-dropping-particle":"","parse-names":false,"suffix":""}],"container-title":"Journal of Clinical Oncology","id":"ITEM-1","issue":"5","issued":{"date-parts":[["2016"]]},"page":"443-451","title":"Lapatinib in combination with capecitabine plus oxaliplatin in human epidermal growth factor receptor 2-positive advanced or metastatic gastric, esophageal, or gastroesophageal adenocarcinoma: TRIO-013/LOGiC - A randomized phase III trial","type":"article-journal","volume":"34"},"uris":["http://www.mendeley.com/documents/?uuid=56e194bc-cc77-40a2-88de-121d595e7115"]}],"mendeley":{"formattedCitation":"[68]","plainTextFormattedCitation":"[68]","previouslyFormattedCitation":"[68]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6DB4D5F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267</w:t>
            </w:r>
          </w:p>
        </w:tc>
        <w:tc>
          <w:tcPr>
            <w:tcW w:w="1708" w:type="dxa"/>
            <w:gridSpan w:val="2"/>
            <w:shd w:val="clear" w:color="auto" w:fill="auto"/>
            <w:noWrap/>
            <w:hideMark/>
          </w:tcPr>
          <w:p w14:paraId="4D8060B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Cap+Ox</w:t>
            </w:r>
          </w:p>
        </w:tc>
        <w:tc>
          <w:tcPr>
            <w:tcW w:w="1322" w:type="dxa"/>
            <w:shd w:val="clear" w:color="auto" w:fill="auto"/>
            <w:noWrap/>
            <w:hideMark/>
          </w:tcPr>
          <w:p w14:paraId="510AD7C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176 (74)</w:t>
            </w:r>
          </w:p>
        </w:tc>
        <w:tc>
          <w:tcPr>
            <w:tcW w:w="1623" w:type="dxa"/>
            <w:gridSpan w:val="2"/>
            <w:shd w:val="clear" w:color="auto" w:fill="auto"/>
            <w:noWrap/>
            <w:hideMark/>
          </w:tcPr>
          <w:p w14:paraId="280570F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59 (27-84)</w:t>
            </w:r>
          </w:p>
        </w:tc>
        <w:tc>
          <w:tcPr>
            <w:tcW w:w="1379" w:type="dxa"/>
            <w:shd w:val="clear" w:color="auto" w:fill="auto"/>
            <w:noWrap/>
            <w:hideMark/>
          </w:tcPr>
          <w:p w14:paraId="73CCAFD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228 (96)</w:t>
            </w:r>
          </w:p>
        </w:tc>
        <w:tc>
          <w:tcPr>
            <w:tcW w:w="797" w:type="dxa"/>
            <w:shd w:val="clear" w:color="auto" w:fill="auto"/>
            <w:noWrap/>
            <w:hideMark/>
          </w:tcPr>
          <w:p w14:paraId="0E82B6B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 (9)</w:t>
            </w:r>
          </w:p>
        </w:tc>
      </w:tr>
      <w:tr w:rsidR="00B61A3A" w:rsidRPr="007D2E2F" w14:paraId="39872BB7" w14:textId="77777777" w:rsidTr="00B61A3A">
        <w:trPr>
          <w:trHeight w:val="255"/>
        </w:trPr>
        <w:tc>
          <w:tcPr>
            <w:tcW w:w="2552" w:type="dxa"/>
            <w:shd w:val="clear" w:color="auto" w:fill="auto"/>
            <w:noWrap/>
            <w:hideMark/>
          </w:tcPr>
          <w:p w14:paraId="0FECC0F9" w14:textId="0D49E024"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Kim 2012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{"citationItems":[{"id":"ITEM-1","itemData":{"DOI":"10.1016/j.ejca.2011.12.017","ISSN":"1879-0852","PMID":"22243774","abstract":"PURPOSE: S-1 or capecitabine plus oxaliplatin are considered active and tolerable in gastric cancer patients. We conducted a randomized phase II trial in gastric cancer patients to compare the activity and safety of these combinations.\n\nMETHODS: The patients received S-1 at 80 mg/m2 for 14 days, followed by a 7-day rest period within a 3-week schedule in the S-1/oxaliplatin (SOX) arm, and capecitabine at 2000 mg/m2 for 14 days, followed by a 7-day rest period within a 3-week schedule in the capecitabine/oxaliplatin (CAPOX) arm. Oxaliplatin 130 mg/m2 was administered every 3 weeks in both arms.\n\nRESULTS: One hundred twenty-nine patients were randomly assigned to SOX (N=65) or CAPOX (N=64). The median time to progression and the overall survival were 6.2 and 12.4 months with SOX, respectively; and 7.2 and 13.3 months with CAPOX, respectively. The overall response rates were 40% and 44% for SOX and CAPOX, respectively. The most frequent grade 3 or 4 toxicities were thrombocytopenia (15.4%) for SOX and neutropenia (18.8%) for CAPOX. The median time to 10% deteriorations in global health scores was similar in both arms (SOX, 4.3 months, CAPOX, 4.9 months).\n\nCONCLUSION: Both the SOX and CAPOX regimens were equally active and well tolerated in advanced gastric cancer patients.","author":[{"dropping-particle":"","family":"Kim","given":"Gun Min","non-dropping-particle":"","parse-names":false,"suffix":""},{"dropping-particle":"","family":"Jeung","given":"Hei-Cheul","non-dropping-particle":"","parse-names":false,"suffix":""},{"dropping-particle":"","family":"Rha","given":"Sun Young","non-dropping-particle":"","parse-names":false,"suffix":""},{"dropping-particle":"","family":"Kim","given":"Hyo Song","non-dropping-particle":"","parse-names":false,"suffix":""},{"dropping-particle":"","family":"Jung","given":"Inkyung","non-dropping-particle":"","parse-names":false,"suffix":""},{"dropping-particle":"","family":"Nam","given":"Byung Ho","non-dropping-particle":"","parse-names":false,"suffix":""},{"dropping-particle":"","family":"Lee","given":"Kyung Hee","non-dropping-particle":"","parse-names":false,"suffix":""},{"dropping-particle":"","family":"Chung","given":"Hyun Cheol","non-dropping-particle":"","parse-names":false,"suffix":""}],"container-title":"European journal of cancer (Oxford, England : 1990)","id":"ITEM-1","issue":"4","issued":{"date-parts":[["2012","3"]]},"page":"518-26","publisher":"Elsevier Ltd","title":"A randomized phase II trial of S-1-oxaliplatin versus capecitabine-oxaliplatin in advanced gastric cancer.","type":"article-journal","volume":"48"},"uris":["http://www.mendeley.com/documents/?uuid=ad4d4fe7-737f-4c08-a174-4ede42ec16ec"]}],"mendeley":{"formattedCitation":"[65]","plainTextFormattedCitation":"[65]","previouslyFormattedCitation":"[65]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8B3C463"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w:t>
            </w:r>
          </w:p>
        </w:tc>
        <w:tc>
          <w:tcPr>
            <w:tcW w:w="1708" w:type="dxa"/>
            <w:gridSpan w:val="2"/>
            <w:shd w:val="clear" w:color="auto" w:fill="auto"/>
            <w:noWrap/>
            <w:hideMark/>
          </w:tcPr>
          <w:p w14:paraId="7381B8B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Cap+Ox</w:t>
            </w:r>
          </w:p>
        </w:tc>
        <w:tc>
          <w:tcPr>
            <w:tcW w:w="1322" w:type="dxa"/>
            <w:shd w:val="clear" w:color="auto" w:fill="auto"/>
            <w:noWrap/>
            <w:hideMark/>
          </w:tcPr>
          <w:p w14:paraId="529851D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 (70)</w:t>
            </w:r>
          </w:p>
        </w:tc>
        <w:tc>
          <w:tcPr>
            <w:tcW w:w="1623" w:type="dxa"/>
            <w:gridSpan w:val="2"/>
            <w:shd w:val="clear" w:color="auto" w:fill="auto"/>
            <w:noWrap/>
            <w:hideMark/>
          </w:tcPr>
          <w:p w14:paraId="3889A88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61 (20-75)</w:t>
            </w:r>
          </w:p>
        </w:tc>
        <w:tc>
          <w:tcPr>
            <w:tcW w:w="1379" w:type="dxa"/>
            <w:shd w:val="clear" w:color="auto" w:fill="auto"/>
            <w:noWrap/>
            <w:hideMark/>
          </w:tcPr>
          <w:p w14:paraId="141459E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46 (72)</w:t>
            </w:r>
          </w:p>
        </w:tc>
        <w:tc>
          <w:tcPr>
            <w:tcW w:w="797" w:type="dxa"/>
            <w:shd w:val="clear" w:color="auto" w:fill="auto"/>
            <w:noWrap/>
            <w:hideMark/>
          </w:tcPr>
          <w:p w14:paraId="6BC9D89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36CC5EB1" w14:textId="77777777" w:rsidTr="00B61A3A">
        <w:trPr>
          <w:trHeight w:val="255"/>
        </w:trPr>
        <w:tc>
          <w:tcPr>
            <w:tcW w:w="3008" w:type="dxa"/>
            <w:gridSpan w:val="2"/>
            <w:shd w:val="clear" w:color="auto" w:fill="auto"/>
            <w:noWrap/>
            <w:hideMark/>
          </w:tcPr>
          <w:p w14:paraId="11A4E5EC" w14:textId="77777777" w:rsidR="00B61A3A" w:rsidRPr="007D2E2F" w:rsidRDefault="00B61A3A" w:rsidP="00B61A3A">
            <w:pPr>
              <w:spacing w:before="240" w:line="360" w:lineRule="auto"/>
              <w:rPr>
                <w:rFonts w:ascii="Times New Roman" w:eastAsia="Times New Roman" w:hAnsi="Times New Roman"/>
                <w:b/>
                <w:sz w:val="16"/>
                <w:szCs w:val="16"/>
                <w:u w:val="single"/>
              </w:rPr>
            </w:pPr>
            <w:r w:rsidRPr="007D2E2F">
              <w:rPr>
                <w:rFonts w:ascii="Times New Roman" w:eastAsia="Times New Roman" w:hAnsi="Times New Roman"/>
                <w:b/>
                <w:sz w:val="16"/>
                <w:szCs w:val="16"/>
                <w:u w:val="single"/>
              </w:rPr>
              <w:t xml:space="preserve">S-1+Docetaxel </w:t>
            </w:r>
          </w:p>
        </w:tc>
        <w:tc>
          <w:tcPr>
            <w:tcW w:w="1708" w:type="dxa"/>
            <w:gridSpan w:val="2"/>
            <w:shd w:val="clear" w:color="auto" w:fill="auto"/>
            <w:noWrap/>
            <w:hideMark/>
          </w:tcPr>
          <w:p w14:paraId="7E154B6C" w14:textId="77777777" w:rsidR="00B61A3A" w:rsidRPr="007D2E2F" w:rsidRDefault="00B61A3A" w:rsidP="00B61A3A">
            <w:pPr>
              <w:spacing w:before="240" w:line="360" w:lineRule="auto"/>
              <w:rPr>
                <w:rFonts w:ascii="Times New Roman" w:eastAsia="Times New Roman" w:hAnsi="Times New Roman"/>
                <w:sz w:val="16"/>
                <w:szCs w:val="16"/>
                <w:u w:val="single"/>
              </w:rPr>
            </w:pPr>
            <w:r w:rsidRPr="007D2E2F">
              <w:rPr>
                <w:rFonts w:ascii="Times New Roman" w:eastAsia="Times New Roman" w:hAnsi="Times New Roman"/>
                <w:sz w:val="16"/>
                <w:szCs w:val="16"/>
                <w:u w:val="single"/>
              </w:rPr>
              <w:t>FT</w:t>
            </w:r>
          </w:p>
        </w:tc>
        <w:tc>
          <w:tcPr>
            <w:tcW w:w="1322" w:type="dxa"/>
            <w:shd w:val="clear" w:color="auto" w:fill="auto"/>
            <w:noWrap/>
            <w:hideMark/>
          </w:tcPr>
          <w:p w14:paraId="11FB736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768647E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18811F7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2CA0FB1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4DBD1083" w14:textId="77777777" w:rsidTr="00B61A3A">
        <w:trPr>
          <w:trHeight w:val="255"/>
        </w:trPr>
        <w:tc>
          <w:tcPr>
            <w:tcW w:w="2552" w:type="dxa"/>
            <w:shd w:val="clear" w:color="auto" w:fill="auto"/>
            <w:noWrap/>
            <w:hideMark/>
          </w:tcPr>
          <w:p w14:paraId="595989E3" w14:textId="37E2D7E7"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Ikeda 2009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{"citationItems":[{"id":"ITEM-1","itemData":{"DOI":"10.1200/jco.2009.27.15s.4595","ISSN":"0732-183X","abstract":"4595 Background: Our previous single arm phase II trial demonstrated that the combination of DS-1 was one of the most powerful candidates to become a standard regimen for metastatic gastric cancer (K. Yoshida, et al: Clin Cancer Res 2006). This trial evaluated DS-1 and FUP in advanced or recurrent gastric cancer, and the primary objective of the phase II part was to evaluate activity and safety of the 2 regimens. Methods: Patients with advanced or recurrent gastric cancer, who had not received any chemotherapy except one regimen (not including taxanes), were eligible for this trial. Patients were randomized to either: DS-1, intravenous administration of 40 mg/m2 docetaxel on Day1 and oral administration of 80?120 mg/m2/day S-1 on Days 1 to 14 every 3 weeks, or FUP, intravenous continuous administration of 800 mg/m2/day 5-FU on Day 1 to 5 and intravenous administration of 80 mg/m2/day CDDP on Day 2 every 4 weeks. Results: Between June 2005 and August 2008, forty-nine of 54 patients (ECOG PS 0?2) were randomized to DS-1 (n=24) or FUP (n=25). Response rates (CR+PR) assessed by RECIST were 88.3% (CI;62.6?95.3) vs 52.0% (CI; 31.3?72.2, P=0.032), median times to treatment failure (TTF) were 122 days (CI; 75.2?168.8) vs 85 days (CI;67.9?102.1, P=0.003), median progression free survivals (PFS) were 198 days (CI;117.8?278.4) vs 105 days (CI;90.3?119.7, P=0.066). Median overall survival times (MSTs) were 369 days (CI; 359.6?378.4) vs 371 days (CI; 297.2- 444.8, P=0.281), but as of today, 14 pts (8 in DS-1 and 6 in FUP) are still alive. Grade 3/4 adverse events assessed by CTCAE v3.0 occurring in ≥20% patients, were neutropenia (58.3% vs 28.0%), nausea (4.2% vs 20.0%), leucopenia (33.0% vs 4.0%), fatigue (0% vs 20.0%) and anorexia (8.3% vs 32.0%). All treatment-related adverse events were resolved and no toxic death was reported. Conclusions: DS-1 significantly improved the RR and TTF in advanced or recurrent gastric cancer patients. To clarify the survival benefit, a phase III continuation of the study is in preparation. No significant financial relationships to disclose.","author":[{"dropping-particle":"","family":"Ikeda","given":"R","non-dropping-particle":"","parse-names":false,"suffix":""},{"dropping-particle":"","family":"Yoshida","given":"K","non-dropping-particle":"","parse-names":false,"suffix":""},{"dropping-particle":"","family":"Satou","given":"Y","non-dropping-particle":"","parse-names":false,"suffix":""},{"dropping-particle":"","family":"Takahashi","given":"M","non-dropping-particle":"","parse-names":false,"suffix":""},{"dropping-particle":"","family":"Une","given":"Y","non-dropping-particle":"","parse-names":false,"suffix":""},{"dropping-particle":"","family":"Yamamoto","given":"W","non-dropping-particle":"","parse-names":false,"suffix":""},{"dropping-particle":"","family":"Tanimoto","given":"K","non-dropping-particle":"","parse-names":false,"suffix":""},{"dropping-particle":"","family":"Hiyama","given":"K","non-dropping-particle":"","parse-names":false,"suffix":""},{"dropping-particle":"","family":"Sasaki","given":"Y","non-dropping-particle":"","parse-names":false,"suffix":""},{"dropping-particle":"","family":"Nishiyama","given":"M","non-dropping-particle":"","parse-names":false,"suffix":""}],"container-title":"Journal of Clinical Oncology","id":"ITEM-1","issue":"15S","issued":{"date-parts":[["2009","5","20"]]},"note":"doi: 10.1200/jco.2009.27.15s.4595","page":"4595","publisher":"American Society of Clinical Oncology","title":"Randomized phase II/III study of docetaxel/S-1 (DS-1) versus CDDP/5FU (FUP) in advanced or recurrent gastric cancer: Updated phase II results","type":"article-journal","volume":"27"},"uris":["http://www.mendeley.com/documents/?uuid=3cd13178-b267-4e72-95f8-a55717ad3064"]}],"mendeley":{"formattedCitation":"[28]","plainTextFormattedCitation":"[28]","previouslyFormattedCitation":"[28]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B0B9E4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24</w:t>
            </w:r>
          </w:p>
        </w:tc>
        <w:tc>
          <w:tcPr>
            <w:tcW w:w="1708" w:type="dxa"/>
            <w:gridSpan w:val="2"/>
            <w:shd w:val="clear" w:color="auto" w:fill="auto"/>
            <w:noWrap/>
            <w:hideMark/>
          </w:tcPr>
          <w:p w14:paraId="67C421A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S-1+DTX</w:t>
            </w:r>
          </w:p>
        </w:tc>
        <w:tc>
          <w:tcPr>
            <w:tcW w:w="1322" w:type="dxa"/>
            <w:shd w:val="clear" w:color="auto" w:fill="auto"/>
            <w:noWrap/>
            <w:hideMark/>
          </w:tcPr>
          <w:p w14:paraId="6A4CA47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19 (79)</w:t>
            </w:r>
          </w:p>
        </w:tc>
        <w:tc>
          <w:tcPr>
            <w:tcW w:w="1623" w:type="dxa"/>
            <w:gridSpan w:val="2"/>
            <w:shd w:val="clear" w:color="auto" w:fill="auto"/>
            <w:noWrap/>
            <w:hideMark/>
          </w:tcPr>
          <w:p w14:paraId="194D5E8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58 (32-74)</w:t>
            </w:r>
          </w:p>
        </w:tc>
        <w:tc>
          <w:tcPr>
            <w:tcW w:w="1379" w:type="dxa"/>
            <w:shd w:val="clear" w:color="auto" w:fill="auto"/>
            <w:noWrap/>
            <w:hideMark/>
          </w:tcPr>
          <w:p w14:paraId="4830A5A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24 (100)</w:t>
            </w:r>
          </w:p>
        </w:tc>
        <w:tc>
          <w:tcPr>
            <w:tcW w:w="797" w:type="dxa"/>
            <w:shd w:val="clear" w:color="auto" w:fill="auto"/>
            <w:noWrap/>
            <w:hideMark/>
          </w:tcPr>
          <w:p w14:paraId="0D4FE97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(13)</w:t>
            </w:r>
          </w:p>
        </w:tc>
      </w:tr>
      <w:tr w:rsidR="00B61A3A" w:rsidRPr="007D2E2F" w14:paraId="7952695B" w14:textId="77777777" w:rsidTr="00B61A3A">
        <w:trPr>
          <w:trHeight w:val="255"/>
        </w:trPr>
        <w:tc>
          <w:tcPr>
            <w:tcW w:w="2552" w:type="dxa"/>
            <w:shd w:val="clear" w:color="auto" w:fill="auto"/>
            <w:noWrap/>
            <w:hideMark/>
          </w:tcPr>
          <w:p w14:paraId="692F62F4" w14:textId="7987AAB9"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Koizumi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10.1038/bjc.2014.550","ISSN":"15321827","author":[{"dropping-particle":"","family":"Koizumi","given":"W.","non-dropping-particle":"","parse-names":false,"suffix":""},{"dropping-particle":"","family":"Yamaguchi","given":"K.","non-dropping-particle":"","parse-names":false,"suffix":""},{"dropping-particle":"","family":"Hosaka","given":"H.","non-dropping-particle":"","parse-names":false,"suffix":""},{"dropping-particle":"","family":"Takinishi","given":"Y.","non-dropping-particle":"","parse-names":false,"suffix":""},{"dropping-particle":"","family":"Nakayama","given":"N.","non-dropping-particle":"","parse-names":false,"suffix":""},{"dropping-particle":"","family":"Hara","given":"T.","non-dropping-particle":"","parse-names":false,"suffix":""},{"dropping-particle":"","family":"Muro","given":"K.","non-dropping-particle":"","parse-names":false,"suffix":""},{"dropping-particle":"","family":"Baba","given":"H.","non-dropping-particle":"","parse-names":false,"suffix":""},{"dropping-particle":"","family":"Sasaki","given":"Y.","non-dropping-particle":"","parse-names":false,"suffix":""},{"dropping-particle":"","family":"Nishina","given":"T.","non-dropping-particle":"","parse-names":false,"suffix":""},{"dropping-particle":"","family":"Fuse","given":"N.","non-dropping-particle":"","parse-names":false,"suffix":""},{"dropping-particle":"","family":"Esaki","given":"T.","non-dropping-particle":"","parse-names":false,"suffix":""},{"dropping-particle":"","family":"Takagi","given":"M.","non-dropping-particle":"","parse-names":false,"suffix":""},{"dropping-particle":"","family":"Gotoh","given":"M.","non-dropping-particle":"","parse-names":false,"suffix":""},{"dropping-particle":"","family":"Sasaki","given":"T.","non-dropping-particle":"","parse-names":false,"suffix":""}],"container-title":"British Journal of Cancer","id":"ITEM-1","issue":"12","issued":{"date-parts":[["2014"]]},"page":"2382","publisher":"Nature Publishing Group","title":"Erratum: Randomised phase II study of S-1/cisplatin plus TSU-68 vs S-1/cisplatin in patients with advanced gastric cancer (British Journal of Cancer (2013) 109 (2079-2086) DOI: 10.1038/bjc.2013.555)","type":"article-journal","volume":"111"},"uris":["http://www.mendeley.com/documents/?uuid=05651120-8ce1-4307-8945-31ae5ed0ef5c"]}],"mendeley":{"formattedCitation":"[18]","plainTextFormattedCitation":"[18]","previouslyFormattedCitation":"[18]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9F4240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310</w:t>
            </w:r>
          </w:p>
        </w:tc>
        <w:tc>
          <w:tcPr>
            <w:tcW w:w="1708" w:type="dxa"/>
            <w:gridSpan w:val="2"/>
            <w:shd w:val="clear" w:color="auto" w:fill="auto"/>
            <w:noWrap/>
            <w:hideMark/>
          </w:tcPr>
          <w:p w14:paraId="0616DDE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S-1+DTX</w:t>
            </w:r>
          </w:p>
        </w:tc>
        <w:tc>
          <w:tcPr>
            <w:tcW w:w="1322" w:type="dxa"/>
            <w:shd w:val="clear" w:color="auto" w:fill="auto"/>
            <w:noWrap/>
            <w:hideMark/>
          </w:tcPr>
          <w:p w14:paraId="364C046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227 (72)</w:t>
            </w:r>
          </w:p>
        </w:tc>
        <w:tc>
          <w:tcPr>
            <w:tcW w:w="1623" w:type="dxa"/>
            <w:gridSpan w:val="2"/>
            <w:shd w:val="clear" w:color="auto" w:fill="auto"/>
            <w:noWrap/>
            <w:hideMark/>
          </w:tcPr>
          <w:p w14:paraId="1D524F5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(23-79)</w:t>
            </w:r>
          </w:p>
        </w:tc>
        <w:tc>
          <w:tcPr>
            <w:tcW w:w="1379" w:type="dxa"/>
            <w:shd w:val="clear" w:color="auto" w:fill="auto"/>
            <w:noWrap/>
            <w:hideMark/>
          </w:tcPr>
          <w:p w14:paraId="79BBA27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314 (100)</w:t>
            </w:r>
          </w:p>
        </w:tc>
        <w:tc>
          <w:tcPr>
            <w:tcW w:w="797" w:type="dxa"/>
            <w:shd w:val="clear" w:color="auto" w:fill="auto"/>
            <w:noWrap/>
            <w:hideMark/>
          </w:tcPr>
          <w:p w14:paraId="2E54767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03A659C0" w14:textId="77777777" w:rsidTr="00B61A3A">
        <w:trPr>
          <w:trHeight w:val="255"/>
        </w:trPr>
        <w:tc>
          <w:tcPr>
            <w:tcW w:w="2552" w:type="dxa"/>
            <w:shd w:val="clear" w:color="auto" w:fill="auto"/>
            <w:noWrap/>
            <w:hideMark/>
          </w:tcPr>
          <w:p w14:paraId="69A0C0FE" w14:textId="3F7CFDDD"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Jeung 2011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{"citationItems":[{"id":"ITEM-1","itemData":{"DOI":"10.1002/cncr.25729","ISSN":"0008-543X","PMID":"21523716","abstract":"BACKGROUND: The purpose of this study was to compare 2 weekly docetaxel-based regimens as first-line treatments for advanced gastric cancer and to investigate the expression of secreted protein acidic and rich in cysteine (SPARC) and its abilities to predict treatment-related clinical outcomes.\n\nMETHODS: Patients were randomly selected to receive 3 weekly cycles of docetaxel (35 mg/m(2) on days 1 and 8) plus S-1 (35 mg/m(2) each twice daily on days 1-14) (DS), or docetaxel plus cisplatin (35 mg/m(2) each on days 1 and 8) (DC). Endpoints included overall response rate (primary), survival, toxicity, and quality of life (secondary). SPARC expression in prechemotherapy specimens of primary gastric tumors was evaluated via immunohistochemical analysis.\n\nRESULTS: Eighty patients were enrolled in the study. Confirmed overall response rates were 46% (95% confidence interval, 30%-62%) for DS and 24% (95% confidence interval, 11%-38%) for DC via intent-to-treat analysis. Median progression-free survival was 7.3 and 4.9 months and overall survival was 16.0 and 8.3 months for DS and DC, respectively. The most common grade ≥ 3 toxicity was neutropenia. Grade ≥ 3 mucositis (18%) and hand-foot syndrome (8%) were the toxicities most associated with DS, whereas anorexia (20%) and lethargy (20%) were more common with DC. High SPARC expression was related to early progression (hazard ratio, 3.67; P = .042) and poor overall survival (hazard ratio, 2.01; P = .010) in docetaxel chemotherapy on multivariate analysis.\n\nCONCLUSIONS: The outcomes in this study favored DS over DC for further phase 3 study. The findings suggest that split-dose weekly docetaxel alleviates hematological toxicity without compromising efficacy, and that SPARC expression may help individualize therapy in advanced gastric cancer.","author":[{"dropping-particle":"","family":"Jeung","given":"Hei-Cheul","non-dropping-particle":"","parse-names":false,"suffix":""},{"dropping-particle":"","family":"Rha","given":"Sun Young","non-dropping-particle":"","parse-names":false,"suffix":""},{"dropping-particle":"","family":"Im","given":"Chong Kun","non-dropping-particle":"","parse-names":false,"suffix":""},{"dropping-particle":"","family":"Shin","given":"Sang Joon","non-dropping-particle":"","parse-names":false,"suffix":""},{"dropping-particle":"","family":"Ahn","given":"Joong Bae","non-dropping-particle":"","parse-names":false,"suffix":""},{"dropping-particle":"","family":"Yang","given":"Woo Ick","non-dropping-particle":"","parse-names":false,"suffix":""},{"dropping-particle":"","family":"Roh","given":"Jae Kyung","non-dropping-particle":"","parse-names":false,"suffix":""},{"dropping-particle":"","family":"Noh","given":"Sung Hoon","non-dropping-particle":"","parse-names":false,"suffix":""},{"dropping-particle":"","family":"Chung","given":"Hyun Cheol","non-dropping-particle":"","parse-names":false,"suffix":""}],"container-title":"Cancer","id":"ITEM-1","issue":"10","issued":{"date-parts":[["2011","5","15"]]},"page":"2050-7","title":"A randomized phase 2 study of docetaxel and S-1 versus docetaxel and cisplatin in advanced gastric cancer with an evaluation of SPARC expression for personalized therapy.","type":"article-journal","volume":"117"},"uris":["http://www.mendeley.com/documents/?uuid=9601ce59-51a3-4ad4-9fd8-9e145bf9ed94"]}],"mendeley":{"formattedCitation":"[56]","plainTextFormattedCitation":"[56]","previouslyFormattedCitation":"[56]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[56]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718B0B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41</w:t>
            </w:r>
          </w:p>
        </w:tc>
        <w:tc>
          <w:tcPr>
            <w:tcW w:w="1708" w:type="dxa"/>
            <w:gridSpan w:val="2"/>
            <w:shd w:val="clear" w:color="auto" w:fill="auto"/>
            <w:noWrap/>
            <w:hideMark/>
          </w:tcPr>
          <w:p w14:paraId="693FE0D3"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S-1+DTX</w:t>
            </w:r>
          </w:p>
        </w:tc>
        <w:tc>
          <w:tcPr>
            <w:tcW w:w="1322" w:type="dxa"/>
            <w:shd w:val="clear" w:color="auto" w:fill="auto"/>
            <w:noWrap/>
            <w:hideMark/>
          </w:tcPr>
          <w:p w14:paraId="52A0ED0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 (84)</w:t>
            </w:r>
          </w:p>
        </w:tc>
        <w:tc>
          <w:tcPr>
            <w:tcW w:w="1623" w:type="dxa"/>
            <w:gridSpan w:val="2"/>
            <w:shd w:val="clear" w:color="auto" w:fill="auto"/>
            <w:noWrap/>
            <w:hideMark/>
          </w:tcPr>
          <w:p w14:paraId="02B1C80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(26-71)</w:t>
            </w:r>
          </w:p>
        </w:tc>
        <w:tc>
          <w:tcPr>
            <w:tcW w:w="1379" w:type="dxa"/>
            <w:shd w:val="clear" w:color="auto" w:fill="auto"/>
            <w:noWrap/>
            <w:hideMark/>
          </w:tcPr>
          <w:p w14:paraId="7952E3D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37 (100)</w:t>
            </w:r>
          </w:p>
        </w:tc>
        <w:tc>
          <w:tcPr>
            <w:tcW w:w="797" w:type="dxa"/>
            <w:shd w:val="clear" w:color="auto" w:fill="auto"/>
            <w:noWrap/>
            <w:hideMark/>
          </w:tcPr>
          <w:p w14:paraId="7BFBBD9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(10)</w:t>
            </w:r>
          </w:p>
        </w:tc>
      </w:tr>
      <w:tr w:rsidR="00B61A3A" w:rsidRPr="007D2E2F" w14:paraId="1A82C0BF" w14:textId="77777777" w:rsidTr="00B61A3A">
        <w:trPr>
          <w:trHeight w:val="255"/>
        </w:trPr>
        <w:tc>
          <w:tcPr>
            <w:tcW w:w="3008" w:type="dxa"/>
            <w:gridSpan w:val="2"/>
            <w:shd w:val="clear" w:color="auto" w:fill="auto"/>
            <w:noWrap/>
            <w:hideMark/>
          </w:tcPr>
          <w:p w14:paraId="1FCDDE43" w14:textId="77777777" w:rsidR="00B61A3A" w:rsidRPr="007D2E2F" w:rsidRDefault="00B61A3A" w:rsidP="00B61A3A">
            <w:pPr>
              <w:spacing w:before="240" w:line="360" w:lineRule="auto"/>
              <w:rPr>
                <w:rFonts w:ascii="Times New Roman" w:eastAsia="Times New Roman" w:hAnsi="Times New Roman"/>
                <w:b/>
                <w:color w:val="000000"/>
                <w:sz w:val="16"/>
                <w:szCs w:val="16"/>
                <w:u w:val="single"/>
              </w:rPr>
            </w:pPr>
            <w:r w:rsidRPr="007D2E2F">
              <w:rPr>
                <w:rFonts w:ascii="Times New Roman" w:eastAsia="Times New Roman" w:hAnsi="Times New Roman"/>
                <w:b/>
                <w:color w:val="000000"/>
                <w:sz w:val="16"/>
                <w:szCs w:val="16"/>
                <w:u w:val="single"/>
              </w:rPr>
              <w:t xml:space="preserve">5-FU+Docetaxel </w:t>
            </w:r>
          </w:p>
        </w:tc>
        <w:tc>
          <w:tcPr>
            <w:tcW w:w="1708" w:type="dxa"/>
            <w:gridSpan w:val="2"/>
            <w:shd w:val="clear" w:color="auto" w:fill="auto"/>
            <w:noWrap/>
            <w:hideMark/>
          </w:tcPr>
          <w:p w14:paraId="37D47D11"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FT</w:t>
            </w:r>
          </w:p>
        </w:tc>
        <w:tc>
          <w:tcPr>
            <w:tcW w:w="1322" w:type="dxa"/>
            <w:shd w:val="clear" w:color="auto" w:fill="auto"/>
            <w:noWrap/>
            <w:hideMark/>
          </w:tcPr>
          <w:p w14:paraId="6DCECF0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31E89E2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44070B2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5D44266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1A6F97" w14:paraId="36438F9F" w14:textId="77777777" w:rsidTr="00B61A3A">
        <w:trPr>
          <w:trHeight w:val="255"/>
        </w:trPr>
        <w:tc>
          <w:tcPr>
            <w:tcW w:w="2552" w:type="dxa"/>
            <w:shd w:val="clear" w:color="auto" w:fill="auto"/>
            <w:noWrap/>
            <w:hideMark/>
          </w:tcPr>
          <w:p w14:paraId="25292C1E" w14:textId="6F624145" w:rsidR="00B61A3A" w:rsidRPr="00022291"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Thuss-patience 2005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{"citationItems":[{"id":"ITEM-1","itemData":{"DOI":"10.1200/JCO.2005.02.163","ISSN":"0732-183X","PMID":"15659494","abstract":"PURPOSE: A combination of docetaxel and fluorouracil (DF) was evaluated in an outpatient setting and compared with epirubicin, cisplatin, and fluorouracil (ECF), which served as an internal control arm to avoid selection bias.\n\nPATIENTS AND METHODS: Patients with metastatic or locally advanced gastric adenocarcinoma without prior chemotherapy were randomly assigned to receive either ECF (epirubicin 50 mg/m(2) day 1, cisplatin 60 mg/m(2) day 1, and fluorouracil 200 mg/m(2) days 1 through 21, every 3 weeks) or DF (docetaxel 75 mg/m(2) day 1, and fluorouracil 200 mg/m(2) days 1 through 21, every 3 weeks).\n\nRESULTS: Ninety patients were randomly assigned. Toxicity was rarely severe. Major toxic effects included diarrhea, stomatitis, and leukopenia in the DF arm and nausea, vomiting, and leukopenia in the ECF arm. Forty-three of 45 patients in each arm were assessable. In the DF arm, two patients (4.4%, intent to treat) experienced a confirmed complete tumor remission as best response, and 15 patients (33.3%) experienced a confirmed partial remission (overall response rate [ORR], 37.8%; 95% CI, 25.9% to 51.9%). Two patients (4.4%) in the ECF arm showed confirmed complete remission, and 14 (31.1%) showed confirmed partial remission (ORR, 35.6%; 95% CI, 24.8% to 48.7%). For the DF and ECF arms, the median survival was 9.5 and 9.7 months, and the median time to tumor progression 5.5 and 5.3 months, respectively.\n\nCONCLUSION: DF can be safely given in an ambulant setting. Compared with ECF, the dual combination of DF shows promising efficacy and may be an alternative treatment option that avoids cisplatin.","author":[{"dropping-particle":"","family":"Thuss-Patience","given":"Peter C","non-dropping-particle":"","parse-names":false,"suffix":""},{"dropping-particle":"","family":"Kretzschmar","given":"Albrecht","non-dropping-particle":"","parse-names":false,"suffix":""},{"dropping-particle":"","family":"Repp","given":"Michael","non-dropping-particle":"","parse-names":false,"suffix":""},{"dropping-particle":"","family":"Kingreen","given":"Dorothea","non-droppin</w:instrText>
            </w:r>
            <w:r w:rsidR="006739B2" w:rsidRPr="006739B2">
              <w:rPr>
                <w:rFonts w:ascii="Times New Roman" w:eastAsia="Times New Roman" w:hAnsi="Times New Roman"/>
                <w:b/>
                <w:color w:val="000000"/>
                <w:sz w:val="16"/>
                <w:szCs w:val="16"/>
                <w:lang w:val="en-US"/>
              </w:rPr>
              <w:instrText>g-particle":"","parse-names":false,"suffix":""},{"dropping-particle":"","family":"Hennesser","given":"Dirk","non-dropping-particle":"","parse-names":false,"suffix":""},{"dropping-particle":"","family":"Micheel","given":"Simone","non-dropping-particle":"","parse-names":false,"suffix":""},{"dropping-particle":"","family":"Pink","given":"Daniel","non-dropping-particle":"","parse-names":false,"suffix":""},{"dropping-particle":"","family":"Scholz","given":"Christian","non-dropping-particle":"","parse-names":false,"suffix":""},{"dropping-particle":"","family":"Dörken","given":"Bernd","non-dropping-particle":"","parse-names":false,"suffix":""},{"dropping-particle":"","family":"Reichardt","given":"Peter","non-dropping-particle":"","parse-names":false,"suffix":""}],"container-title":"Journal of clinical oncology : official journal of the American Society of Clinical Oncology","id":"ITEM-1","issue":"3","issued":{"date-parts":[["2005","1","20"]]},"page":"494-501","title":"Docetaxel and continuous-infusion fluorouracil versus epirubicin, cisplatin, and fluorouracil for advanced gastric adenocarcinoma: a randomized phase II study.","type":"article-journal","volume":"23"},"uris":["http://www.mendeley.com/documents/?uuid=f0eb7487-c18e-4cdb-b59f-9e2ea206377b"]}],"mendeley":{"formattedCitation":"[69]","plainTextFormattedCitation":"[69]","previouslyFormattedCitation":"[69]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[69]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378E2E60"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45</w:t>
            </w:r>
          </w:p>
        </w:tc>
        <w:tc>
          <w:tcPr>
            <w:tcW w:w="1708" w:type="dxa"/>
            <w:gridSpan w:val="2"/>
            <w:shd w:val="clear" w:color="auto" w:fill="auto"/>
            <w:noWrap/>
            <w:hideMark/>
          </w:tcPr>
          <w:p w14:paraId="6495EA8C"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5-FU+DTX</w:t>
            </w:r>
          </w:p>
        </w:tc>
        <w:tc>
          <w:tcPr>
            <w:tcW w:w="1322" w:type="dxa"/>
            <w:shd w:val="clear" w:color="auto" w:fill="auto"/>
            <w:noWrap/>
            <w:hideMark/>
          </w:tcPr>
          <w:p w14:paraId="6653D63F"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29 (64)</w:t>
            </w:r>
          </w:p>
        </w:tc>
        <w:tc>
          <w:tcPr>
            <w:tcW w:w="1623" w:type="dxa"/>
            <w:gridSpan w:val="2"/>
            <w:shd w:val="clear" w:color="auto" w:fill="auto"/>
            <w:noWrap/>
            <w:hideMark/>
          </w:tcPr>
          <w:p w14:paraId="394F237A"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62 (34-75)</w:t>
            </w:r>
          </w:p>
        </w:tc>
        <w:tc>
          <w:tcPr>
            <w:tcW w:w="1379" w:type="dxa"/>
            <w:shd w:val="clear" w:color="auto" w:fill="auto"/>
            <w:noWrap/>
            <w:hideMark/>
          </w:tcPr>
          <w:p w14:paraId="2C10CB13"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44 (98)</w:t>
            </w:r>
          </w:p>
        </w:tc>
        <w:tc>
          <w:tcPr>
            <w:tcW w:w="797" w:type="dxa"/>
            <w:shd w:val="clear" w:color="auto" w:fill="auto"/>
            <w:noWrap/>
            <w:hideMark/>
          </w:tcPr>
          <w:p w14:paraId="1B4B63E2"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2 (4)</w:t>
            </w:r>
          </w:p>
        </w:tc>
      </w:tr>
      <w:tr w:rsidR="00B61A3A" w:rsidRPr="007D2E2F" w14:paraId="0BF8F6B5" w14:textId="77777777" w:rsidTr="00B61A3A">
        <w:trPr>
          <w:trHeight w:val="255"/>
        </w:trPr>
        <w:tc>
          <w:tcPr>
            <w:tcW w:w="2552" w:type="dxa"/>
            <w:shd w:val="clear" w:color="auto" w:fill="auto"/>
            <w:noWrap/>
            <w:hideMark/>
          </w:tcPr>
          <w:p w14:paraId="2D2F2D34" w14:textId="4E724758" w:rsidR="00B61A3A" w:rsidRPr="007D2E2F" w:rsidRDefault="00B61A3A" w:rsidP="00B61A3A">
            <w:pPr>
              <w:spacing w:before="240" w:line="360" w:lineRule="auto"/>
              <w:rPr>
                <w:rFonts w:ascii="Times New Roman" w:eastAsia="Times New Roman" w:hAnsi="Times New Roman"/>
                <w:b/>
                <w:color w:val="000000"/>
                <w:sz w:val="16"/>
                <w:szCs w:val="16"/>
              </w:rPr>
            </w:pPr>
            <w:r w:rsidRPr="00022291">
              <w:rPr>
                <w:rFonts w:ascii="Times New Roman" w:eastAsia="Times New Roman" w:hAnsi="Times New Roman"/>
                <w:b/>
                <w:color w:val="000000"/>
                <w:sz w:val="16"/>
                <w:szCs w:val="16"/>
                <w:lang w:val="en-US"/>
              </w:rPr>
              <w:t xml:space="preserve">Roy 2012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{"citationItems":[{"id":"ITEM-1","itemData":{"DOI":"10.1038/bjc.2012.286","ISBN":"1532-1827","ISSN":"00070920","PMID":"22767144","abstract":"BACKGROUND: Docetaxel and irinotecan chemotherapy have shown good efficacy in the treatment of advanced oesophago-gastric cancer. This randomised phase II study evaluated the efficacy and toxicity profile of two non-platinum docetaxel-based doublet regimens in advanced oesophago-gastric cancer. METHODS: Chemotherapy-naïve patients with advanced oesophago-gastric cancer were randomised to receive either 3-weekly DI (docetaxel 60 mg m(-2) plus irinotecan 250 mg m(-2) (Day 1)) or 3-weekly DF (docetaxel 85 mg m(-2) (Day 1) followed by 5-fluorouracil 750 mg m(-2) per day as a continuous infusion (Days 1-5)). RESULTS: A total of 85 patients received DI (n=42) or DF (n=43). The primary endpoint was overall response rate (ORR). The ORR and time to progression (TTP) in the evaluable population (n=65) were 37.5% (DI) vs 33.3% (DF), and 4.2 months vs 4.4 months, respectively. In the intent-to-treat population, the observed ORR, TTP and median overall survival were similar between the two groups. Grade 3-4 neutropenia, febrile neutropenia and diarrhoea were more frequent in the DI arm as compared with the DF arm (83.3% vs 69.8%, 40.5% vs 18.6%, and 42.9% vs 16.3%, respectively). CONCLUSION: Both docetaxel-based doublet regimens show comparable efficacy; however, the DF regimen was associated with a better toxicity profile and is an alternative treatment option for patients in whom platinum-based regimens are unsuitable.","author":[{"dropping-particle":"","family":"Roy","given":"A.","non-dropping-particle":"","parse-names":false,"suffix":""},{"dropping-particle":"","family":"Cunningham","given":"D.","non-dropping-particle":"","parse-names":false,"suffix":""},{"dropping-particle":"","family":"Hawkins","given":"R.","non-dropping-particle":"","parse-names":false,"suffix":""},{"dropping-particle":"","family":"Sörbye","given":"H.","non-dropping-particle":"","parse-names":false,"suffix":""},{"dropping-particle":"","family":"Adenis","given":"A.","non-dropping-particle":"","parse-names":false,"suffix":""},{"dropping-particle":"","family":"Barcelo","given":"J. R.","non-dropping-particle":"","parse-names":false,"suffix":""},{"dropping-particle":"","family":"Lopez-Vivanco","given":"G.","non-dropping-particle":"","parse-names":false,"suffix":""},{"dropping-particle":"","family":"Adler","given":"G.","non-dropping-particle":"","parse-names":false,"suffix":""},{"dropping-particle":"","family":"Canon","given":"J. L.","non-dropping-particle":"","parse-names":false,"suffix":""},{"dropping-particle":"","family":"Lofts","given":"F.","non-dropping-particle":"","parse-names":false,"suffix":""},{"dropping-particle":"","family":"Castanon","given":"C.","non-dropping-particle":"","parse-names":false,"suffix":""},{"dropping-particle":"","family":"Fonseca","given":"E.","non-dropping-particle":"","parse-names":false,"suffix":""},{"dropping-particle":"","family":"Rixe","given":"O.","non-dropping-particle":"","parse-names":false,"suffix":""},{"dropping-particle":"","family":"Aparicio","given":"J.","non-dropping-particle":"","parse-names":false,"suffix":""},{"dropping-particle":"","family":"Cassinello","given":"J.","non-dropping-particle":"","parse-names":false,"suffix":""},{"dropping-particle":"","family":"Nicolson","given":"M.","non-dropping-particle":"","parse-names":false,"suffix":""},{"dropping-particle":"","family":"Mousseau","given":"M.","non-dropping-particle":"","parse-names":false,"suffix":""},{"dropping-particle":"","family":"Schalhorn","given":"A.","non-dropping-particle":"","parse-names":false,"suffix":""},{"dropping-particle":"","family":"D'Hondt","given":"L.","non-dropping-particle":"","parse-names":false,"suffix":""},{"dropping-particle":"","family":"Kerger","given":"J.","non-dropping-particle":"","parse-names":false,"suffix":""},{"dropping-particle":"","family":"Hossfeld","given":"D. K.","non-dropping-particle":"","parse-names":false,"suffix":""},{"dropping-particle":"","family":"Garcia Giron","given":"C.","non-dropping-particle":"","parse-names":false,"suffix":""},{"dropping-particle":"","family":"Rodriguez","given":"R.","non-dropping-particle":"","parse-names":false,"suffix":""},{"dropping-particle":"","family":"Schoffski","given":"P.","non-dropping-particle":"","parse-names":false,"suffix":""},{"dropping-particle":"","family":"Misset","given":"J. L.","non-dropping-particle":"","parse-names":false,"suffix":""}],"container-title":"British Journal of Cancer","id":"ITEM-1","issue":"3","issued":{"date-parts":[["2012"]]},"page":"435-441","title":"Docetaxel combined with irinotecan or 5-fluorouracil in patients with advanced oesophago-gastric cancer: A randomised phase II study","type":"article-journal","volume":"107"},"uris":["http://www.mendeley.com/documents/?uuid=0978b99e-9366-4314-84e3-96b0d2778833"]}],"mendeley":{"formattedCitation":"[70]","plainTextFormattedCitation":"[70]","previouslyFormattedCitation":"[70]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[70]</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5E5F97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43</w:t>
            </w:r>
          </w:p>
        </w:tc>
        <w:tc>
          <w:tcPr>
            <w:tcW w:w="1708" w:type="dxa"/>
            <w:gridSpan w:val="2"/>
            <w:shd w:val="clear" w:color="auto" w:fill="auto"/>
            <w:noWrap/>
            <w:hideMark/>
          </w:tcPr>
          <w:p w14:paraId="629FE7FA"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5-FU+DTX</w:t>
            </w:r>
          </w:p>
        </w:tc>
        <w:tc>
          <w:tcPr>
            <w:tcW w:w="1322" w:type="dxa"/>
            <w:shd w:val="clear" w:color="auto" w:fill="auto"/>
            <w:noWrap/>
            <w:hideMark/>
          </w:tcPr>
          <w:p w14:paraId="2B933FE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35 (81)</w:t>
            </w:r>
          </w:p>
        </w:tc>
        <w:tc>
          <w:tcPr>
            <w:tcW w:w="1623" w:type="dxa"/>
            <w:gridSpan w:val="2"/>
            <w:shd w:val="clear" w:color="auto" w:fill="auto"/>
            <w:noWrap/>
            <w:hideMark/>
          </w:tcPr>
          <w:p w14:paraId="4B086CB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60 (38-74)</w:t>
            </w:r>
          </w:p>
        </w:tc>
        <w:tc>
          <w:tcPr>
            <w:tcW w:w="1379" w:type="dxa"/>
            <w:shd w:val="clear" w:color="auto" w:fill="auto"/>
            <w:noWrap/>
            <w:hideMark/>
          </w:tcPr>
          <w:p w14:paraId="1D3EBD5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43 (100)</w:t>
            </w:r>
          </w:p>
        </w:tc>
        <w:tc>
          <w:tcPr>
            <w:tcW w:w="797" w:type="dxa"/>
            <w:shd w:val="clear" w:color="auto" w:fill="auto"/>
            <w:noWrap/>
            <w:hideMark/>
          </w:tcPr>
          <w:p w14:paraId="0AF2497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10C28767" w14:textId="77777777" w:rsidTr="00B61A3A">
        <w:trPr>
          <w:trHeight w:val="255"/>
        </w:trPr>
        <w:tc>
          <w:tcPr>
            <w:tcW w:w="2552" w:type="dxa"/>
            <w:shd w:val="clear" w:color="auto" w:fill="auto"/>
            <w:noWrap/>
            <w:hideMark/>
          </w:tcPr>
          <w:p w14:paraId="691D3220" w14:textId="30156A59" w:rsidR="00B61A3A" w:rsidRPr="007D2E2F" w:rsidRDefault="00B61A3A" w:rsidP="00B61A3A">
            <w:pPr>
              <w:spacing w:before="240" w:line="360" w:lineRule="auto"/>
              <w:rPr>
                <w:rFonts w:ascii="Times New Roman" w:eastAsia="Times New Roman" w:hAnsi="Times New Roman"/>
                <w:b/>
                <w:color w:val="000000"/>
                <w:sz w:val="16"/>
                <w:szCs w:val="16"/>
                <w:lang w:eastAsia="zh-TW"/>
              </w:rPr>
            </w:pPr>
            <w:r w:rsidRPr="007D2E2F">
              <w:rPr>
                <w:rFonts w:ascii="Times New Roman" w:eastAsia="Times New Roman" w:hAnsi="Times New Roman"/>
                <w:b/>
                <w:color w:val="000000"/>
                <w:sz w:val="16"/>
                <w:szCs w:val="16"/>
              </w:rPr>
              <w:t xml:space="preserve">Park 2006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{"citationItems":[{"id":"ITEM-1","itemData":{"DOI":"10.1097/00001813-200602000-00015","ISBN":"09594973 (ISSN)","ISSN":"0959-4973","PMID":"16428942","abstract":"Taxanes have clearly demonstrated activities against gastric cancer. We compared the combination of paclitaxel plus 5-fluorouracil (5-FU) (PF) with docetaxel plus 5-FU (DF) as first-line chemotherapy in patients with measurable metastatic gastric cancer. Seventy-seven patients were randomly assigned to receive paclitaxel 175 mg/m2 or docetaxel 75 mg/m2 on day 1, in combination with 5-FU 500 mg/m2 continuous infusion on days 1-5. Treatment was repeated every 3 weeks. Of 314 chemotherapy cycles delivered (median 5 in both groups), dose reduction was required more frequently in the DF group, being 9 and 19%, respectively (P&lt;0.01). PF was associated with, although statistically insignificant, substantially less grade 3 or 4 toxicities than DF (68 versus 85%; P=0.09). Global quality of life was similar in both groups, but substantive differences in many symptom scores including pain, dyspnea, constipation and diarrhea favored PF. There were no significant differences in therapeutic efficacy between PF and DF with respect to response rate (42 versus 33%, respectively; P=0.53), and failure-free (3.6 versus 4.2 months; P=0.92) and overall survival (9.9 versus 9.3 months; P=0.42). Both PF and DF appear to have efficacy against metastatic gastric cancer, with different, but acceptable, safety profiles.","author":[{"dropping-particle":"","family":"Park","given":"Se Hoon","non-dropping-particle":"","parse-names":false,"suffix":""},{"dropping-particle":"","family":"Lee","given":"Woon Kee","non-dropping-particle":"","parse-names":false,"suffix":""},{"dropping-particle":"","family":"Chung","given":"Min","non-dropping-particle":"","parse-names":false,"suffix":""},{"dropping-particle":"","family":"Lee","given":"Yuna","non-dropping-particle":"","parse-names":false,"suffix":""},{"dropping-particle":"","family":"Han","given":"Sang Hoon","non-dropping-particle":"","parse-names":false,"suffix":""},{"dropping-particle":"","family":"Bang","given":"Soo-Mee","non-dropping-particle":"","parse-names":false,"suffix":""},{"dropping-particle":"","family":"Cho","given":"Eun Kyung","non-dropping-particle":"","parse-names":false,"suffix":""},{"dropping-particle":"","family":"Shin","given":"Dong Bok","non-dropping-particle":"","parse-names":false,"suffix":""},{"dropping-particle":"","family":"Lee","given":"Jae Hoon","non-dropping-particle":"","parse-names":false,"suffix":""}],"container-title":"Anti-Cancer Drugs","id":"ITEM-1","issue":"2","issued":{"date-parts":[["2006"]]},"page":"225-229","title":"Paclitaxel versus docetaxel for advanced gastric cancer: a randomized phase II trial in combination with infusional 5-fluorouracil","type":"article-journal","volume":"17"},"uris":["http://www.mendeley.com/documents/?uuid=3273ae66-26b6-4d00-b1da-62200d7d6dc3"]}],"mendeley":{"formattedCitation":"[71]","plainTextFormattedCitation":"[71]","previouslyFormattedCitation":"[71]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eastAsia="zh-TW"/>
              </w:rPr>
              <w:t>[71]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018F48E" w14:textId="77777777" w:rsidR="00B61A3A" w:rsidRPr="007D2E2F" w:rsidRDefault="00B61A3A" w:rsidP="00B61A3A">
            <w:pPr>
              <w:spacing w:before="240" w:line="360" w:lineRule="auto"/>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39</w:t>
            </w:r>
          </w:p>
        </w:tc>
        <w:tc>
          <w:tcPr>
            <w:tcW w:w="1708" w:type="dxa"/>
            <w:gridSpan w:val="2"/>
            <w:shd w:val="clear" w:color="auto" w:fill="auto"/>
            <w:noWrap/>
            <w:hideMark/>
          </w:tcPr>
          <w:p w14:paraId="786AB9E2" w14:textId="77777777" w:rsidR="00B61A3A" w:rsidRPr="007D2E2F" w:rsidRDefault="00B61A3A" w:rsidP="00B61A3A">
            <w:pPr>
              <w:spacing w:before="240" w:line="360" w:lineRule="auto"/>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5-FU+DTX</w:t>
            </w:r>
          </w:p>
        </w:tc>
        <w:tc>
          <w:tcPr>
            <w:tcW w:w="1322" w:type="dxa"/>
            <w:shd w:val="clear" w:color="auto" w:fill="auto"/>
            <w:noWrap/>
            <w:hideMark/>
          </w:tcPr>
          <w:p w14:paraId="316A0C30"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26 (66.6)</w:t>
            </w:r>
          </w:p>
        </w:tc>
        <w:tc>
          <w:tcPr>
            <w:tcW w:w="1623" w:type="dxa"/>
            <w:gridSpan w:val="2"/>
            <w:shd w:val="clear" w:color="auto" w:fill="auto"/>
            <w:noWrap/>
            <w:hideMark/>
          </w:tcPr>
          <w:p w14:paraId="4C62554B"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51 (27-74)</w:t>
            </w:r>
          </w:p>
        </w:tc>
        <w:tc>
          <w:tcPr>
            <w:tcW w:w="1379" w:type="dxa"/>
            <w:shd w:val="clear" w:color="auto" w:fill="auto"/>
            <w:noWrap/>
            <w:hideMark/>
          </w:tcPr>
          <w:p w14:paraId="736EFF80"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NA</w:t>
            </w:r>
          </w:p>
        </w:tc>
        <w:tc>
          <w:tcPr>
            <w:tcW w:w="797" w:type="dxa"/>
            <w:shd w:val="clear" w:color="auto" w:fill="auto"/>
            <w:noWrap/>
            <w:hideMark/>
          </w:tcPr>
          <w:p w14:paraId="044CC8DD"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6 (15)</w:t>
            </w:r>
          </w:p>
        </w:tc>
      </w:tr>
      <w:tr w:rsidR="00B61A3A" w:rsidRPr="007D2E2F" w14:paraId="2562B14D" w14:textId="77777777" w:rsidTr="00DF4D7C">
        <w:trPr>
          <w:trHeight w:val="277"/>
        </w:trPr>
        <w:tc>
          <w:tcPr>
            <w:tcW w:w="3008" w:type="dxa"/>
            <w:gridSpan w:val="2"/>
            <w:shd w:val="clear" w:color="auto" w:fill="auto"/>
            <w:noWrap/>
            <w:hideMark/>
          </w:tcPr>
          <w:p w14:paraId="11D127FA" w14:textId="77777777" w:rsidR="00B61A3A" w:rsidRPr="007D2E2F" w:rsidRDefault="00B61A3A" w:rsidP="00B61A3A">
            <w:pPr>
              <w:spacing w:before="240" w:line="360" w:lineRule="auto"/>
              <w:rPr>
                <w:rFonts w:ascii="Times New Roman" w:eastAsia="Times New Roman" w:hAnsi="Times New Roman"/>
                <w:b/>
                <w:color w:val="000000"/>
                <w:sz w:val="16"/>
                <w:szCs w:val="16"/>
                <w:u w:val="single"/>
                <w:lang w:eastAsia="zh-TW"/>
              </w:rPr>
            </w:pPr>
            <w:r w:rsidRPr="007D2E2F">
              <w:rPr>
                <w:rFonts w:ascii="Times New Roman" w:eastAsia="Times New Roman" w:hAnsi="Times New Roman"/>
                <w:b/>
                <w:color w:val="000000"/>
                <w:sz w:val="16"/>
                <w:szCs w:val="16"/>
                <w:u w:val="single"/>
                <w:lang w:eastAsia="zh-TW"/>
              </w:rPr>
              <w:t xml:space="preserve">S-1+Paclitaxel </w:t>
            </w:r>
          </w:p>
        </w:tc>
        <w:tc>
          <w:tcPr>
            <w:tcW w:w="1708" w:type="dxa"/>
            <w:gridSpan w:val="2"/>
            <w:shd w:val="clear" w:color="auto" w:fill="auto"/>
            <w:noWrap/>
            <w:hideMark/>
          </w:tcPr>
          <w:p w14:paraId="1FF76615" w14:textId="77777777" w:rsidR="00B61A3A" w:rsidRPr="007D2E2F" w:rsidRDefault="00B61A3A" w:rsidP="00B61A3A">
            <w:pPr>
              <w:spacing w:before="240" w:line="360" w:lineRule="auto"/>
              <w:rPr>
                <w:rFonts w:ascii="Times New Roman" w:eastAsia="Times New Roman" w:hAnsi="Times New Roman"/>
                <w:color w:val="000000"/>
                <w:sz w:val="16"/>
                <w:szCs w:val="16"/>
                <w:u w:val="single"/>
                <w:lang w:eastAsia="zh-TW"/>
              </w:rPr>
            </w:pPr>
            <w:r w:rsidRPr="007D2E2F">
              <w:rPr>
                <w:rFonts w:ascii="Times New Roman" w:eastAsia="Times New Roman" w:hAnsi="Times New Roman"/>
                <w:color w:val="000000"/>
                <w:sz w:val="16"/>
                <w:szCs w:val="16"/>
                <w:u w:val="single"/>
                <w:lang w:eastAsia="zh-TW"/>
              </w:rPr>
              <w:t>FT</w:t>
            </w:r>
          </w:p>
        </w:tc>
        <w:tc>
          <w:tcPr>
            <w:tcW w:w="1322" w:type="dxa"/>
            <w:shd w:val="clear" w:color="auto" w:fill="auto"/>
            <w:noWrap/>
            <w:hideMark/>
          </w:tcPr>
          <w:p w14:paraId="7113F94F"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 </w:t>
            </w:r>
          </w:p>
        </w:tc>
        <w:tc>
          <w:tcPr>
            <w:tcW w:w="1623" w:type="dxa"/>
            <w:gridSpan w:val="2"/>
            <w:shd w:val="clear" w:color="auto" w:fill="auto"/>
            <w:noWrap/>
            <w:hideMark/>
          </w:tcPr>
          <w:p w14:paraId="2650490E"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 </w:t>
            </w:r>
          </w:p>
        </w:tc>
        <w:tc>
          <w:tcPr>
            <w:tcW w:w="1379" w:type="dxa"/>
            <w:shd w:val="clear" w:color="auto" w:fill="auto"/>
            <w:noWrap/>
            <w:hideMark/>
          </w:tcPr>
          <w:p w14:paraId="710F7394"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 </w:t>
            </w:r>
          </w:p>
        </w:tc>
        <w:tc>
          <w:tcPr>
            <w:tcW w:w="797" w:type="dxa"/>
            <w:shd w:val="clear" w:color="auto" w:fill="auto"/>
            <w:noWrap/>
            <w:hideMark/>
          </w:tcPr>
          <w:p w14:paraId="78D1D844"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 </w:t>
            </w:r>
          </w:p>
        </w:tc>
      </w:tr>
      <w:tr w:rsidR="00B61A3A" w:rsidRPr="007D2E2F" w14:paraId="73F6F49C" w14:textId="77777777" w:rsidTr="00DF4D7C">
        <w:trPr>
          <w:trHeight w:val="255"/>
        </w:trPr>
        <w:tc>
          <w:tcPr>
            <w:tcW w:w="2552" w:type="dxa"/>
            <w:tcBorders>
              <w:bottom w:val="single" w:sz="4" w:space="0" w:color="auto"/>
            </w:tcBorders>
            <w:shd w:val="clear" w:color="auto" w:fill="auto"/>
            <w:noWrap/>
            <w:hideMark/>
          </w:tcPr>
          <w:p w14:paraId="56388F8B" w14:textId="008B5437"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lang w:eastAsia="zh-TW"/>
              </w:rPr>
              <w:t xml:space="preserve">Sugimoto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eastAsia="zh-TW"/>
              </w:rPr>
              <w:instrText>ADDIN CSL_CITATION {"citationItems":[{"id":"ITEM-1","itemData":{"ISBN":"1791-7530","ISSN":"0250-7005","PMID":"24511022","abstract":"Background: S-1-based regimens are commonly used for advanced gastric cancer (AGC) in Japan. We performed this trial to evaluate the efficacy and safety of S-1 plus irinotecan (SIri) and S-1 plus paclitaxel (SPac) as first-line treatments for AGC in order to select the optimal regimen for a subsequent phase III trial. Patients and Methods: Patients with previously untreated, locally advanced or metastatic measurable gastric adenocarcinoma were randomly assigned to receive SIri (irinotecan 80 mg/m(2) was administered intravenously (i.v.) on day I and 15, while 40 mg/m(2) S-1 was orally administered twice daily for three weeks from days 1-21 followed by a two-week pause) or SPac (paclitaxel 50 mg/m(2) was administered i.v. on day 1 and 8, while 40 mg/m(2) S-1 was orally administered twice daily for two weeks from day 1-14 followed by a one-week pause) regimen. The primary end-point was the overall response rate (ORR), and the secondary end-points were progression-free survival (PFS), overall survival (OS), and toxicity. Results: A total of 102 patients were enrolled. The ORR was 33.3% for Ski and 31.4% for SPac, which did not achieved the predicted ORR in either group. PFS and OS were 5.7 and 12.4 months for SIri, 4.6 and 11.9 months for SPac respectively. No treatment-related deaths occurred during the study. Although grade 314 neutropenia and anemia were more frequent in the Siri group, both regimens were well-tolerated. Conclusion: Both regimens were well-tolerated in patients with AGC, but we conclude that neither regimen was optimal for a phase III trial","author":[{"dropping-particle":"","family":"Sugimoto","given":"Naotoshi","non-dropping-particle":"","parse-names":false,"suffix":""},{"dropping-particle":"","family":"Fujitani","given":"Kazumasa","non-dropping-particle":"","parse-names":false,"suffix":""},{"dropping-particle":"","family":"Imamura","given":"Hiroshi","non-dropping-particle":"","parse-names":false,"suffix":""},{"dropping-particle":"","family":"Uedo","given":"Noriya","non-dropping-particle":"","parse-names":false,"suffix":""},{"dropping-particle":"","family":"Iijima","given":"Shohei","non-dropping-particle":"","parse-names":false,"suffix":""},{"dropping-particle":"","family":"Imano","given":"Motohiro","non-dropping-particle":"","parse-names":false,"suffix":""},{"dropping-particle":"","family":"Shimokawa","given":"Toshio","non-dropping-particle":"","parse-names":false,"suffix":""},{"dropping-particle":"","family":"Kurokawa","given":"Yukinori","non-dropping-particle":"","parse-names":false,"suffix":""},{"dropping-particle":"","family":"Furukawa","given":"Hiroshi","non-dropping-particle":"","parse-names":false,"suffix":""},{"dropping-particle":"","family":"Goto","given":"Masahiro","non-dropping-particle":"","parse-names":false,"suffix":""}],"container-title":"Anticancer Research","id":"ITEM-1","issue":"2","issued":{"date-parts":[["2014"]]},"page":"851-857","title":"Randomized Phase II Trial of S-1 plus Irinotecan Versus S-1 plus Paclitaxel as First-line Treatment for Advanced Gastric Cancer (OGSG0402)","type":"article-journal","volume":"34"},"uris":["http://www.mendeley.com/documents/?uuid=598dd626-739a-4ed1-a668-9563651f17bb"]}],"mendeley":{"formattedCitation":"[62]","plainTextFormattedCitation":"[62]","previouslyFormattedCitation":"[62]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[62]</w:t>
            </w:r>
            <w:r w:rsidRPr="007D2E2F">
              <w:rPr>
                <w:rFonts w:ascii="Times New Roman" w:eastAsia="Times New Roman" w:hAnsi="Times New Roman"/>
                <w:color w:val="000000"/>
                <w:sz w:val="16"/>
                <w:szCs w:val="16"/>
              </w:rPr>
              <w:fldChar w:fldCharType="end"/>
            </w:r>
          </w:p>
        </w:tc>
        <w:tc>
          <w:tcPr>
            <w:tcW w:w="456" w:type="dxa"/>
            <w:tcBorders>
              <w:bottom w:val="single" w:sz="4" w:space="0" w:color="auto"/>
            </w:tcBorders>
            <w:shd w:val="clear" w:color="auto" w:fill="auto"/>
            <w:noWrap/>
            <w:hideMark/>
          </w:tcPr>
          <w:p w14:paraId="52E7A6A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51</w:t>
            </w:r>
          </w:p>
        </w:tc>
        <w:tc>
          <w:tcPr>
            <w:tcW w:w="1708" w:type="dxa"/>
            <w:gridSpan w:val="2"/>
            <w:tcBorders>
              <w:bottom w:val="single" w:sz="4" w:space="0" w:color="auto"/>
            </w:tcBorders>
            <w:shd w:val="clear" w:color="auto" w:fill="auto"/>
            <w:noWrap/>
            <w:hideMark/>
          </w:tcPr>
          <w:p w14:paraId="1BF148B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S-1+PTX</w:t>
            </w:r>
          </w:p>
        </w:tc>
        <w:tc>
          <w:tcPr>
            <w:tcW w:w="1322" w:type="dxa"/>
            <w:tcBorders>
              <w:bottom w:val="single" w:sz="4" w:space="0" w:color="auto"/>
            </w:tcBorders>
            <w:shd w:val="clear" w:color="auto" w:fill="auto"/>
            <w:noWrap/>
            <w:hideMark/>
          </w:tcPr>
          <w:p w14:paraId="128015A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38 (75)</w:t>
            </w:r>
          </w:p>
        </w:tc>
        <w:tc>
          <w:tcPr>
            <w:tcW w:w="1623" w:type="dxa"/>
            <w:gridSpan w:val="2"/>
            <w:tcBorders>
              <w:bottom w:val="single" w:sz="4" w:space="0" w:color="auto"/>
            </w:tcBorders>
            <w:shd w:val="clear" w:color="auto" w:fill="auto"/>
            <w:noWrap/>
            <w:hideMark/>
          </w:tcPr>
          <w:p w14:paraId="56CAD0A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(30-75)</w:t>
            </w:r>
          </w:p>
        </w:tc>
        <w:tc>
          <w:tcPr>
            <w:tcW w:w="1379" w:type="dxa"/>
            <w:tcBorders>
              <w:bottom w:val="single" w:sz="4" w:space="0" w:color="auto"/>
            </w:tcBorders>
            <w:shd w:val="clear" w:color="auto" w:fill="auto"/>
            <w:noWrap/>
            <w:hideMark/>
          </w:tcPr>
          <w:p w14:paraId="3DB45B1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tcBorders>
              <w:bottom w:val="single" w:sz="4" w:space="0" w:color="auto"/>
            </w:tcBorders>
            <w:shd w:val="clear" w:color="auto" w:fill="auto"/>
            <w:noWrap/>
            <w:hideMark/>
          </w:tcPr>
          <w:p w14:paraId="4B1807F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1A6F97" w:rsidRPr="00BA62DB" w14:paraId="7AAB184F" w14:textId="77777777" w:rsidTr="00DF4D7C">
        <w:trPr>
          <w:trHeight w:val="255"/>
        </w:trPr>
        <w:tc>
          <w:tcPr>
            <w:tcW w:w="3008" w:type="dxa"/>
            <w:gridSpan w:val="2"/>
            <w:tcBorders>
              <w:top w:val="single" w:sz="4" w:space="0" w:color="auto"/>
              <w:bottom w:val="single" w:sz="4" w:space="0" w:color="auto"/>
            </w:tcBorders>
            <w:shd w:val="clear" w:color="auto" w:fill="auto"/>
            <w:noWrap/>
          </w:tcPr>
          <w:p w14:paraId="672F65A3"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w:hAnsi="Times New Roman"/>
                <w:bCs/>
                <w:sz w:val="16"/>
                <w:szCs w:val="24"/>
                <w:lang w:val="en-US"/>
              </w:rPr>
              <w:lastRenderedPageBreak/>
              <w:t>Supplementary table 2. (continued)</w:t>
            </w:r>
          </w:p>
        </w:tc>
        <w:tc>
          <w:tcPr>
            <w:tcW w:w="1708" w:type="dxa"/>
            <w:gridSpan w:val="2"/>
            <w:tcBorders>
              <w:top w:val="single" w:sz="4" w:space="0" w:color="auto"/>
              <w:bottom w:val="single" w:sz="4" w:space="0" w:color="auto"/>
            </w:tcBorders>
            <w:shd w:val="clear" w:color="auto" w:fill="auto"/>
            <w:noWrap/>
          </w:tcPr>
          <w:p w14:paraId="205B1235"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p>
        </w:tc>
        <w:tc>
          <w:tcPr>
            <w:tcW w:w="1322" w:type="dxa"/>
            <w:tcBorders>
              <w:top w:val="single" w:sz="4" w:space="0" w:color="auto"/>
              <w:bottom w:val="single" w:sz="4" w:space="0" w:color="auto"/>
            </w:tcBorders>
            <w:shd w:val="clear" w:color="auto" w:fill="auto"/>
            <w:noWrap/>
          </w:tcPr>
          <w:p w14:paraId="60D6359F"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623" w:type="dxa"/>
            <w:gridSpan w:val="2"/>
            <w:tcBorders>
              <w:top w:val="single" w:sz="4" w:space="0" w:color="auto"/>
              <w:bottom w:val="single" w:sz="4" w:space="0" w:color="auto"/>
            </w:tcBorders>
            <w:shd w:val="clear" w:color="auto" w:fill="auto"/>
            <w:noWrap/>
          </w:tcPr>
          <w:p w14:paraId="14D401B6"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379" w:type="dxa"/>
            <w:tcBorders>
              <w:top w:val="single" w:sz="4" w:space="0" w:color="auto"/>
              <w:bottom w:val="single" w:sz="4" w:space="0" w:color="auto"/>
            </w:tcBorders>
            <w:shd w:val="clear" w:color="auto" w:fill="auto"/>
            <w:noWrap/>
          </w:tcPr>
          <w:p w14:paraId="24525AA4"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797" w:type="dxa"/>
            <w:tcBorders>
              <w:top w:val="single" w:sz="4" w:space="0" w:color="auto"/>
              <w:bottom w:val="single" w:sz="4" w:space="0" w:color="auto"/>
            </w:tcBorders>
            <w:shd w:val="clear" w:color="auto" w:fill="auto"/>
            <w:noWrap/>
          </w:tcPr>
          <w:p w14:paraId="066C0FE9"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r>
      <w:tr w:rsidR="001A6F97" w:rsidRPr="001F70C0" w14:paraId="5C67282D" w14:textId="77777777" w:rsidTr="00DF4D7C">
        <w:trPr>
          <w:trHeight w:val="255"/>
        </w:trPr>
        <w:tc>
          <w:tcPr>
            <w:tcW w:w="2552" w:type="dxa"/>
            <w:tcBorders>
              <w:top w:val="single" w:sz="4" w:space="0" w:color="auto"/>
              <w:bottom w:val="single" w:sz="4" w:space="0" w:color="auto"/>
            </w:tcBorders>
            <w:shd w:val="clear" w:color="auto" w:fill="auto"/>
            <w:noWrap/>
          </w:tcPr>
          <w:p w14:paraId="10D09786" w14:textId="77777777" w:rsidR="001A6F97" w:rsidRPr="001F70C0"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New Roman" w:hAnsi="Times New Roman"/>
                <w:bCs/>
                <w:color w:val="000000"/>
                <w:sz w:val="16"/>
                <w:szCs w:val="16"/>
                <w:lang w:val="en-US"/>
              </w:rPr>
              <w:t>Studies</w:t>
            </w:r>
          </w:p>
        </w:tc>
        <w:tc>
          <w:tcPr>
            <w:tcW w:w="456" w:type="dxa"/>
            <w:tcBorders>
              <w:top w:val="single" w:sz="4" w:space="0" w:color="auto"/>
              <w:bottom w:val="single" w:sz="4" w:space="0" w:color="auto"/>
            </w:tcBorders>
            <w:shd w:val="clear" w:color="auto" w:fill="auto"/>
            <w:noWrap/>
          </w:tcPr>
          <w:p w14:paraId="2D5196DE"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No.</w:t>
            </w:r>
          </w:p>
        </w:tc>
        <w:tc>
          <w:tcPr>
            <w:tcW w:w="1708" w:type="dxa"/>
            <w:gridSpan w:val="2"/>
            <w:tcBorders>
              <w:top w:val="single" w:sz="4" w:space="0" w:color="auto"/>
              <w:bottom w:val="single" w:sz="4" w:space="0" w:color="auto"/>
            </w:tcBorders>
            <w:shd w:val="clear" w:color="auto" w:fill="auto"/>
            <w:noWrap/>
          </w:tcPr>
          <w:p w14:paraId="2E159C6A"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322" w:type="dxa"/>
            <w:tcBorders>
              <w:top w:val="single" w:sz="4" w:space="0" w:color="auto"/>
              <w:bottom w:val="single" w:sz="4" w:space="0" w:color="auto"/>
            </w:tcBorders>
            <w:shd w:val="clear" w:color="auto" w:fill="auto"/>
            <w:noWrap/>
          </w:tcPr>
          <w:p w14:paraId="0E1E5937"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3D514A21"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1623" w:type="dxa"/>
            <w:gridSpan w:val="2"/>
            <w:tcBorders>
              <w:top w:val="single" w:sz="4" w:space="0" w:color="auto"/>
              <w:bottom w:val="single" w:sz="4" w:space="0" w:color="auto"/>
            </w:tcBorders>
            <w:shd w:val="clear" w:color="auto" w:fill="auto"/>
            <w:noWrap/>
          </w:tcPr>
          <w:p w14:paraId="7295A1D6"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716E8460"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Median (range)</w:t>
            </w:r>
          </w:p>
        </w:tc>
        <w:tc>
          <w:tcPr>
            <w:tcW w:w="1379" w:type="dxa"/>
            <w:tcBorders>
              <w:top w:val="single" w:sz="4" w:space="0" w:color="auto"/>
              <w:bottom w:val="single" w:sz="4" w:space="0" w:color="auto"/>
            </w:tcBorders>
            <w:shd w:val="clear" w:color="auto" w:fill="auto"/>
            <w:noWrap/>
          </w:tcPr>
          <w:p w14:paraId="37D95DF9"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28F6E01E"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797" w:type="dxa"/>
            <w:tcBorders>
              <w:top w:val="single" w:sz="4" w:space="0" w:color="auto"/>
              <w:bottom w:val="single" w:sz="4" w:space="0" w:color="auto"/>
            </w:tcBorders>
            <w:shd w:val="clear" w:color="auto" w:fill="auto"/>
            <w:noWrap/>
          </w:tcPr>
          <w:p w14:paraId="22009D64"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WHO&gt;2 </w:t>
            </w:r>
          </w:p>
          <w:p w14:paraId="0CA2CB8A"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r>
      <w:tr w:rsidR="00B61A3A" w:rsidRPr="00BA62DB" w14:paraId="264E2CB1" w14:textId="77777777" w:rsidTr="00B61A3A">
        <w:trPr>
          <w:trHeight w:val="255"/>
        </w:trPr>
        <w:tc>
          <w:tcPr>
            <w:tcW w:w="2552" w:type="dxa"/>
            <w:shd w:val="clear" w:color="auto" w:fill="auto"/>
            <w:noWrap/>
            <w:hideMark/>
          </w:tcPr>
          <w:p w14:paraId="6412E900" w14:textId="09EB9BD6" w:rsidR="00B61A3A" w:rsidRPr="00F72E17"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Mochiki 2012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{"citationItems":[{"id":"ITEM-1","itemData":{"DOI":"10.1038/bjc.2012.222","ISBN":"1532-1827","ISSN":"00070920","PMID":"22617130","abstract":"BACKGROUND: A combination of S-1 and cisplatin has been shown to be effective with acceptable safety for the first-line treatment of far-advanced gastric cancer in Japan. This is the first randomised phase II trial to compare S-1+paclitaxel with S-1+cisplatin in this setting.\\n\\nMETHODS: Patients with unresectable and/or recurrent advanced gastric cancer were randomly assigned to receive one of the two regimens: S-1 (40 mg m(-2) twice daily) on days 1-14 plus paclitaxel (60 mg m(-2)) on days 1, 8, and 15 of a 4-week cycle (S-1+paclitaxel) or S-1 (40 mg m(-2) twice daily) on days 1-21 plus cisplatin (60 mg m(-2)) on day 8 of a 5-week cycle (S-1+cisplatin). The primary end point was the response rate (RR). Secondary end points included progression-free survival (PFS), overall survival (OS), and safety.\\n\\nRESULTS: A total of 83 patients were eligible for safety and efficacy analyses. In the S-1+paclitaxel and S-1+cisplatin groups, RRs (52.3% vs 48.7%; P=0.74) and median PFS (9 vs 6 months; P=0.50) were similar. The median OS was similar in the S-1+paclitaxel and S-1+cisplatin groups (16 vs 17 months; P=0.84). The incidence of grade 3 or higher haematological toxicity was 19.0% with S-1+paclitaxel and 19.5% with S-1+cisplatin. The incidence of grade 3 or higher non-haematological toxicity was 14.2% with S-1+paclitaxel and 17.1% with S-1+cisplatin.\\n\\nCONCLUSION: S-1+paclitaxel was suggested to be a feasible and effective non-platinum-based regimen for chemotherapy in patients with advanced gastric cancer. Our results should be confirmed in multicenter, phase III-controlled clinical trials.","author":[{"dropping-particle":"","family":"Mochiki","given":"E.","non-dropping-particle":"","parse-names":false,"suffix":""},{"dropping-particle":"","family":"Ogata","given":"K.","non-dropping-particle":"","parse-names":false,"suffix":""},{"dropping-particle":"","family":"Ohno","given":"T.","non-dropping-particle":"","parse-names":false,"suffix":""},{"dropping-particle":"","family":"Toyomasu","given":"Y.","non-dropping-particle":"","parse-names":false,"suffix":""},{"dropping-particle":"","family":"Haga","given":"N.","non-dropping-particle":"","parse-names":false,"suffix":""},{"dropping-particle":"","family":"Fukai","given":"Y.","non-dropping-particle":"","parse-names":false,"suffix":""},{"dropping-particle":"","family":"Aihara","given":"R.","non-dropping-particle":"","parse-names":false,"suffix":""},{"dropping-particle":"","family":"Ando","given":"H.","non-dropping-particle":"","parse-names":false,"suffix":""},{"dropping-particle":"","family":"Uchida","given":"N.","non-dropping-particle":"","parse-names":false,"suffix":""},{"dropping-particle":"","family":"Asao","given":"T.","non-dropping-particle":"","parse-names":false,"suffix":""},{"dropping-particle":"","family":"Kuwano","given":"H.","non-dropping-particle":"","parse-names":false,"suffix":""}],"container-title":"British Journal of Cancer","id":"ITEM-1","issue":"1","issued":{"date-parts":[["2012"]]},"page":"31-36","publisher":"Nature Publishing Group","title":"Phase II multi-institutional prospective randomised trial comparing S-1paclitaxel with S-1cisplatin in patients with unresectable and/or recurrent advanced gastric cancer","type":"article-journal","volume":"107"},"uris":["http://www.mendeley.com/documents/?uuid=ac3f0616-406b-413a-86fb-f0c7fbbb1f31"]}],"mendeley":{"formattedCitation":"[37]","plainTextFormattedCitation":"[37]","previouslyFormattedCitation":"[37]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[37]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481873B"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42</w:t>
            </w:r>
          </w:p>
        </w:tc>
        <w:tc>
          <w:tcPr>
            <w:tcW w:w="1708" w:type="dxa"/>
            <w:gridSpan w:val="2"/>
            <w:shd w:val="clear" w:color="auto" w:fill="auto"/>
            <w:noWrap/>
            <w:hideMark/>
          </w:tcPr>
          <w:p w14:paraId="382DC14B"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S-1+PTX</w:t>
            </w:r>
          </w:p>
        </w:tc>
        <w:tc>
          <w:tcPr>
            <w:tcW w:w="1322" w:type="dxa"/>
            <w:shd w:val="clear" w:color="auto" w:fill="auto"/>
            <w:noWrap/>
            <w:hideMark/>
          </w:tcPr>
          <w:p w14:paraId="4E5D3270"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31 (74)</w:t>
            </w:r>
          </w:p>
        </w:tc>
        <w:tc>
          <w:tcPr>
            <w:tcW w:w="1623" w:type="dxa"/>
            <w:gridSpan w:val="2"/>
            <w:shd w:val="clear" w:color="auto" w:fill="auto"/>
            <w:noWrap/>
            <w:hideMark/>
          </w:tcPr>
          <w:p w14:paraId="6864C482"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63 (62-65)</w:t>
            </w:r>
          </w:p>
        </w:tc>
        <w:tc>
          <w:tcPr>
            <w:tcW w:w="1379" w:type="dxa"/>
            <w:shd w:val="clear" w:color="auto" w:fill="auto"/>
            <w:noWrap/>
            <w:hideMark/>
          </w:tcPr>
          <w:p w14:paraId="7CD3968D"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42 (100)</w:t>
            </w:r>
          </w:p>
        </w:tc>
        <w:tc>
          <w:tcPr>
            <w:tcW w:w="797" w:type="dxa"/>
            <w:shd w:val="clear" w:color="auto" w:fill="auto"/>
            <w:noWrap/>
            <w:hideMark/>
          </w:tcPr>
          <w:p w14:paraId="5C438B91"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0 (0)</w:t>
            </w:r>
          </w:p>
        </w:tc>
      </w:tr>
      <w:tr w:rsidR="00B61A3A" w:rsidRPr="007D2E2F" w14:paraId="2470E662" w14:textId="77777777" w:rsidTr="00B61A3A">
        <w:trPr>
          <w:trHeight w:val="255"/>
        </w:trPr>
        <w:tc>
          <w:tcPr>
            <w:tcW w:w="2552" w:type="dxa"/>
            <w:shd w:val="clear" w:color="auto" w:fill="auto"/>
            <w:noWrap/>
            <w:hideMark/>
          </w:tcPr>
          <w:p w14:paraId="2015552C" w14:textId="2A651FD0" w:rsidR="00B61A3A" w:rsidRPr="007D2E2F" w:rsidRDefault="00B61A3A" w:rsidP="00B61A3A">
            <w:pPr>
              <w:spacing w:before="240" w:line="360" w:lineRule="auto"/>
              <w:rPr>
                <w:rFonts w:ascii="Times New Roman" w:eastAsia="Times New Roman" w:hAnsi="Times New Roman"/>
                <w:b/>
                <w:sz w:val="16"/>
                <w:szCs w:val="16"/>
              </w:rPr>
            </w:pPr>
            <w:r w:rsidRPr="00F72E17">
              <w:rPr>
                <w:rFonts w:ascii="Times New Roman" w:eastAsia="Times New Roman" w:hAnsi="Times New Roman"/>
                <w:b/>
                <w:sz w:val="16"/>
                <w:szCs w:val="16"/>
                <w:lang w:val="en-US"/>
              </w:rPr>
              <w:t xml:space="preserve">Huang 2013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lang w:val="en-US"/>
              </w:rPr>
              <w:instrText>ADDIN CSL_CITATION {"citationItems":[{"id":"ITEM-1","itemData":{"DOI":"10.1016/j.ejca.2013.05.021","ISSN":"1879-0852","PMID":"23810466","abstract":"PURPOSE: This study aimed to compare the efficacy and toxicity of weekly paclitaxel plus S-1 with weekly paclitaxel plus 5-fluorouracil in treating advanced gastric cancer as first line regimen. The primary end-point was disease control rate (DCR).\n\nMETHODS: Patients with advanced or recurrent gastric cancer were randomly assigned to an experimental arm or a control arm. The experimental arm's dosage schedule was paclitaxel 60 mg/m2 (intravenous infusion) on days 1, 8 and 15 and S-1 80-120 mg/d (oral administration) on days 1-14. Control arm patients were given the same paclitaxel, combined with 5-fluorouracil 500 mg/m2 (continuous intravenous infusion) on days 1-5; and leucovorin 20 mg/m2 (intravenous infusion) on days 1-5. All schedules were repeated every 28 d.\n\nRESULTS: A total of 240 patients were enrolled and equally randomised into two arms. The overall response rate and DCR of the experimental arm was non-inferior to that of the control arm both in the per-protocol set and the full analysis set. The secondary end-point median progression-free survival (PFS) of the experimental and control arms was 153 and 129 d, with the hazard ratio of 0.641 (95% CI: 0.473-0.868, P = 0.004). The hazard ratio of the time to treatment failure of the two arms was 1.449 (95% CI: 0.705-2.980, P = 0.229). The six-month PFS rates of both arms were similar (31.3% versus 31.8%, P = 0.94). Cox regression analysis indicated that only treatment regimen and age were independent predictive factors for PFS. The most common adverse events were haematological and gastrointestinal. The rates of grade 3-4 adverse events were not significantly different between the two study arms and were mostly lower than 5%.\n\nCONCLUSION: Weekly paclitaxel combined with S-1 is an active and well-tolerated regimen, supporting the view that S-1 can be an alternative for infusional 5-fluorouracil for advanced gastric cancer.","author":[{"dropping-particle":"","family":"Huang","given":"Dingzhi","non-dropping-particle":"","parse-names":false,"suffix":""},{"dropping-particle":"","family":"Ba","given":"Yi","non-dropping-particle":"","parse-names":false,"suffix":""},{"dropping-particle":"","family":"Xiong","given":"Jianping","non-dropping-particle":"","parse-names":false,"suffix":""},{"dropping-particle":"","family":"Xu","given":"Nong","non-dropping-particle":"","parse-names":false,"suffix":""},{"dropping-particle":"","family":"Yan","given":"Zhao","non-dropping-particle":"","parse-names":false,"suffix":""},{"dropping-particle":"","family":"Zhuang","given":"Zhixiang","non-dropping-particle":"","parse-names":false,"suffix":""},{"dropping-particle":"","family":"Yu","given":"Zhuang","non-dropping-particle":"","parse-names":false,"suffix":""},{"dropping-particle":"","family":"Wan","given":"Huiping","non-dropping-particle":"","parse-names":false,"suffix":""},{"dropping-particle":"","family":"Zhang","given":"Yang","non-dropping-particle":"","parse-names":false,"suffix":""},{"dropping-particle":"","family":"Deng","given":"Ting","non-dropping-particle":"","parse-names":false,"suffix":""},{"dropping-particle":"","family":"Zheng","given":"Rongsheng","non-dropping-particle":"","parse-names":false,"suffix":""},{"dropping-particle":"","family":"Guo","given":"Zengqing","non-dropping-particle":"","parse-names":false,"suffix":""},{"dropping-particle":"","family":"Hu","given":"Chunhong","non-dropping-particle":"","parse-names":false,"suffix":""},{"dropping-particle":"","family":"Wang","given":"Meiling","non-dropping-particle":"","parse-names":false,"suffix":""},{"dropping-particle":"","family":"Yu","given":"Zhonghe","non-dropping-particle":"","parse-names":false,"suffix":""},{"dropping-particle":"","family":"Yao","given":"Yang","non-dropping-particle":"","parse-names":false,"suffix":""},{"dropping-particle":"","family":"Meng","given":"Jichang","non-dropping-particle":"","parse-names":false,"suffix":""}],"container-title":"European journal of cancer (Oxford, England : 1990)","id":"ITEM-1","issue":"14","issued":{"date-parts":[["2013","9"]]},"page":"2995-3002","title":"A multicentre randomised trial comparing weekly paclitaxel + S-1 with weekly paclitaxel + 5-fluorouracil for patients with advanced gastric cancer.","type":"article-journal","volume":"49"},"uris":["http://www.mendeley.com/documents/?uuid=4a58faea-3235-46bb-bec0-4d37561338c7"]}],"mendeley":{"formattedCitation":"[72]","plainTextFormattedCitation":"[72]","previouslyFormattedCitation":"[72]"},"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[72]</w:t>
            </w:r>
            <w:r w:rsidRPr="007D2E2F">
              <w:rPr>
                <w:rFonts w:ascii="Times New Roman" w:eastAsia="Times New Roman" w:hAnsi="Times New Roman"/>
                <w:sz w:val="16"/>
                <w:szCs w:val="16"/>
              </w:rPr>
              <w:fldChar w:fldCharType="end"/>
            </w:r>
          </w:p>
        </w:tc>
        <w:tc>
          <w:tcPr>
            <w:tcW w:w="456" w:type="dxa"/>
            <w:shd w:val="clear" w:color="auto" w:fill="auto"/>
            <w:noWrap/>
            <w:hideMark/>
          </w:tcPr>
          <w:p w14:paraId="6D714EC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119</w:t>
            </w:r>
          </w:p>
        </w:tc>
        <w:tc>
          <w:tcPr>
            <w:tcW w:w="1708" w:type="dxa"/>
            <w:gridSpan w:val="2"/>
            <w:shd w:val="clear" w:color="auto" w:fill="auto"/>
            <w:noWrap/>
            <w:hideMark/>
          </w:tcPr>
          <w:p w14:paraId="2EE8014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S-1+PTX</w:t>
            </w:r>
          </w:p>
        </w:tc>
        <w:tc>
          <w:tcPr>
            <w:tcW w:w="1322" w:type="dxa"/>
            <w:shd w:val="clear" w:color="auto" w:fill="auto"/>
            <w:noWrap/>
            <w:hideMark/>
          </w:tcPr>
          <w:p w14:paraId="1587057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89 (75)</w:t>
            </w:r>
          </w:p>
        </w:tc>
        <w:tc>
          <w:tcPr>
            <w:tcW w:w="1623" w:type="dxa"/>
            <w:gridSpan w:val="2"/>
            <w:shd w:val="clear" w:color="auto" w:fill="auto"/>
            <w:noWrap/>
            <w:hideMark/>
          </w:tcPr>
          <w:p w14:paraId="77E8C6C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(18-74)</w:t>
            </w:r>
          </w:p>
        </w:tc>
        <w:tc>
          <w:tcPr>
            <w:tcW w:w="1379" w:type="dxa"/>
            <w:shd w:val="clear" w:color="auto" w:fill="auto"/>
            <w:noWrap/>
            <w:hideMark/>
          </w:tcPr>
          <w:p w14:paraId="381E640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112 (94)</w:t>
            </w:r>
          </w:p>
        </w:tc>
        <w:tc>
          <w:tcPr>
            <w:tcW w:w="797" w:type="dxa"/>
            <w:shd w:val="clear" w:color="auto" w:fill="auto"/>
            <w:noWrap/>
            <w:hideMark/>
          </w:tcPr>
          <w:p w14:paraId="00F0797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KPS 80</w:t>
            </w:r>
          </w:p>
        </w:tc>
      </w:tr>
      <w:tr w:rsidR="00B61A3A" w:rsidRPr="007D2E2F" w14:paraId="4717453D" w14:textId="77777777" w:rsidTr="00B61A3A">
        <w:trPr>
          <w:trHeight w:val="255"/>
        </w:trPr>
        <w:tc>
          <w:tcPr>
            <w:tcW w:w="2552" w:type="dxa"/>
            <w:shd w:val="clear" w:color="auto" w:fill="auto"/>
            <w:noWrap/>
            <w:hideMark/>
          </w:tcPr>
          <w:p w14:paraId="1A4305C3" w14:textId="5C6DDE12"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Nishikawa 2012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{"citationItems":[{"id":"ITEM-1","itemData":{"DOI":"10.1007/s10120-011-0124-3","ISSN":"1436-3291","PMID":"22278377","abstract":"BACKGROUND: The purpose of this study was twofold: (1) to compare S-1 with infusional 5-fluorouracil (FU) to determine which would be a better partner of paclitaxel (PTX), and (2) to compare a concurrent strategy with a sequential one, the latter strategy being the one that is widely used in Japanese general practice.\n\nMETHODS: The 161 eligible patients were randomized into four arms to receive the following regimens: A (sequential), intravenous 5-FU at 800 mg/m(2) for 5 days every 4 weeks followed by weekly PTX at 80 mg/m(2); B (sequential), S-1 at 80 mg/m(2) for 4 weeks and 2-week rest followed by PTX; C (concurrent), intravenous 5-FU at 600 mg/m(2) for 5 days and weekly PTX at 80 mg/m(2) every 4 weeks; and D (concurrent), S-1 for 14 days and PTX at 50 mg/m(2) on days 1 and 8 every 3 weeks. The primary endpoint was the overall survival (OS) rate at 10 months.\n\nRESULTS: The ten-month OS rates in arms A, B, C, and D were 63, 65, 61, and 73%, respectively. The OS was best in the concurrent S-1/PTX arm, with a mean survival time of 15.4 months, but no significant difference was observed between the four arms. Response rates were higher in the concurrent arms than in the sequential arms.\n\nCONCLUSION: Our study did not show sufficient prolongation of survival with the concurrent strategy to proceed to a phase-III trial; however, the sequential arms showed survival comparable to that in the concurrent arms, with less toxicity. In patients who are ineligible for cisplatin (CDDP), sequential treatment starting with S-1 and proceeding to PTX would be a good alternative strategy, considering quality of life (QOL) and the cost-benefits of an oral agent as first-line treatment.","author":[{"dropping-particle":"","family":"Nishikawa","given":"Kazuhiro","non-dropping-particle":"","parse-names":false,"suffix":""},{"dropping-particle":"","family":"Morita","given":"Satoshi","non-dropping-particle":"","parse-names":false,"suffix":""},{"dropping-particle":"","family":"Matsui","given":"Takanori","non-dropping-particle":"","parse-names":false,"suffix":""},{"dropping-particle":"","family":"Kobayashi","given":"Michiya","non-dropping-particle":"","parse-names":false,"suffix":""},{"dropping-particle":"","family":"Takeuchi","given":"Yoji","non-dropping-particle":"","parse-names":false,"suffix":""},{"dropping-particle":"","family":"Takahashi","given":"Ikuo","non-dropping-particle":"","parse-names":false,"suffix":""},{"dropping-particle":"","family":"Sato","given":"Seiji","non-dropping-particle":"","parse-names":false,"suffix":""},{"dropping-particle":"","family":"Miyashita","given":"Yumi","non-dropping-particle":"","parse-names":false,"suffix":""},{"dropping-particle":"","family":"Tsuburaya","given":"Akira","non-dropping-particle":"","parse-names":false,"suffix":""},{"dropping-particle":"","family":"Sakamoto","given":"Junichi","non-dropping-particle":"","parse-names":false,"suffix":""},{"dropping-particle":"","family":"Kakeji","given":"Yoshihiro","non-dropping-particle":"","parse-names":false,"suffix":""},{"dropping-particle":"","family":"Baba","given":"Hideo","non-dropping-particle":"","parse-names":false,"suffix":""}],"container-title":"Gastric cancer : official journal of the International Gastric Cancer Association and the Japanese Gastric Cancer Association","id":"ITEM-1","issue":"4","issued":{"date-parts":[["2012","10"]]},"page":"363-9","title":"A randomized phase-II trial comparing sequential and concurrent paclitaxel with oral or parenteral fluorinated pyrimidines for advanced or metastatic gastric cancer.","type":"article-journal","volume":"15"},"uris":["http://www.mendeley.com/documents/?uuid=7a617823-c899-49db-9ef9-6c7ed3e195a6"]}],"mendeley":{"formattedCitation":"[73]","plainTextFormattedCitation":"[73]","previouslyFormattedCitation":"[73]"},"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[73]</w:t>
            </w:r>
            <w:r w:rsidRPr="007D2E2F">
              <w:rPr>
                <w:rFonts w:ascii="Times New Roman" w:eastAsia="Times New Roman" w:hAnsi="Times New Roman"/>
                <w:sz w:val="16"/>
                <w:szCs w:val="16"/>
              </w:rPr>
              <w:fldChar w:fldCharType="end"/>
            </w:r>
          </w:p>
        </w:tc>
        <w:tc>
          <w:tcPr>
            <w:tcW w:w="456" w:type="dxa"/>
            <w:shd w:val="clear" w:color="auto" w:fill="auto"/>
            <w:noWrap/>
            <w:hideMark/>
          </w:tcPr>
          <w:p w14:paraId="1840C5B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77</w:t>
            </w:r>
          </w:p>
        </w:tc>
        <w:tc>
          <w:tcPr>
            <w:tcW w:w="1708" w:type="dxa"/>
            <w:gridSpan w:val="2"/>
            <w:shd w:val="clear" w:color="auto" w:fill="auto"/>
            <w:noWrap/>
            <w:hideMark/>
          </w:tcPr>
          <w:p w14:paraId="07EEFF8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S-1+PTX</w:t>
            </w:r>
          </w:p>
        </w:tc>
        <w:tc>
          <w:tcPr>
            <w:tcW w:w="1322" w:type="dxa"/>
            <w:shd w:val="clear" w:color="auto" w:fill="auto"/>
            <w:hideMark/>
          </w:tcPr>
          <w:p w14:paraId="76CE872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53 (69)</w:t>
            </w:r>
          </w:p>
        </w:tc>
        <w:tc>
          <w:tcPr>
            <w:tcW w:w="1623" w:type="dxa"/>
            <w:gridSpan w:val="2"/>
            <w:shd w:val="clear" w:color="auto" w:fill="auto"/>
            <w:hideMark/>
          </w:tcPr>
          <w:p w14:paraId="6C2474F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67 (40-82)</w:t>
            </w:r>
          </w:p>
        </w:tc>
        <w:tc>
          <w:tcPr>
            <w:tcW w:w="1379" w:type="dxa"/>
            <w:shd w:val="clear" w:color="auto" w:fill="auto"/>
            <w:hideMark/>
          </w:tcPr>
          <w:p w14:paraId="4DA919F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77 (100)</w:t>
            </w:r>
          </w:p>
        </w:tc>
        <w:tc>
          <w:tcPr>
            <w:tcW w:w="797" w:type="dxa"/>
            <w:shd w:val="clear" w:color="auto" w:fill="auto"/>
            <w:hideMark/>
          </w:tcPr>
          <w:p w14:paraId="6B556BD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2124572E" w14:textId="77777777" w:rsidTr="00B61A3A">
        <w:trPr>
          <w:trHeight w:val="255"/>
        </w:trPr>
        <w:tc>
          <w:tcPr>
            <w:tcW w:w="2552" w:type="dxa"/>
            <w:shd w:val="clear" w:color="auto" w:fill="auto"/>
            <w:noWrap/>
            <w:hideMark/>
          </w:tcPr>
          <w:p w14:paraId="62C81418" w14:textId="4C11A3B2" w:rsidR="00B61A3A" w:rsidRPr="007D2E2F" w:rsidRDefault="00B61A3A" w:rsidP="00B61A3A">
            <w:pPr>
              <w:spacing w:before="240" w:line="360" w:lineRule="auto"/>
              <w:rPr>
                <w:rFonts w:ascii="Times New Roman" w:eastAsia="Times New Roman" w:hAnsi="Times New Roman"/>
                <w:b/>
                <w:color w:val="000000"/>
                <w:sz w:val="16"/>
                <w:szCs w:val="16"/>
                <w:lang w:eastAsia="zh-TW"/>
              </w:rPr>
            </w:pPr>
            <w:r w:rsidRPr="007D2E2F">
              <w:rPr>
                <w:rFonts w:ascii="Times New Roman" w:eastAsia="Times New Roman" w:hAnsi="Times New Roman"/>
                <w:b/>
                <w:color w:val="000000"/>
                <w:sz w:val="16"/>
                <w:szCs w:val="16"/>
              </w:rPr>
              <w:t xml:space="preserve">Wang 2013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{"citationItems":[{"id":"ITEM-1","itemData":{"DOI":"10.1007/s12094-013-1012-6","ISSN":"1699048X","abstract":"Purpose: This randomized phase II study was conducted to compare the efficacy and safety of paclitaxel with S-1 (PS) vs. S-1 in patients with advanced gastric cancer (AGC). Methods: Eighty-two (82) patients were 1:1 randomly assigned to oral S-1 (daily for 2 weeks, every 4 weeks' cycle) or S-1 (daily for 2 weeks, every 4 weeks' cycle) plus paclitaxel (on day 1, 8 and 15 of a 4 weeks' cycle). S-1 was orally administered with a fixed quantity according to body surface area (BSA), while paclitaxel was given 60 mg/m2 i.v. daily through an implanted catheter. The primary endpoint was overall survival (OS). Secondary endpoints included progression-free survival (PFS), overall responsible rates and safety. Results: The median OS with PS versus S-1 monotherapy was 14.0 versus 11.0 months (P = 0.02), survival at 12 months was 61.0 % in the PS group and 46.3 % in the S-1 group. Median PFS was also significantly longer in the PS group (6.0 months) than in the S-1 group (4.0 months). The overall response rate was determined in 82 evaluable patients, and was significantly higher (P = 0.04) with PS (19 patients, 46.3 %) than with S-1 monotherapy (10 patients, 24.4 %). PS was well tolerated with no treatment-related deaths, all were grade 3-4 gastrointestinal toxicities, including anorexia, nausea, and diarrhea developed in less than 10 % of the patients. Conclusions: Combination chemotherapy of paclitaxel with S-1 is well tolerated and active in AGC patients. Further investigation with comparative trials is needed for confirmation. © 2013 Federación de Sociedades Españolas de Oncología (FESEO).","author":[{"dropping-particle":"","family":"Wang","given":"X.","non-dropping-particle":"","parse-names":false,"suffix":""},{"dropping-particle":"","family":"Wang","given":"M. L.","non-dropping-particle":"","parse-names":false,"suffix":""},{"dropping-particle":"","family":"Zhou","given":"L. Y.","non-dropping-particle":"","parse-names":false,"suffix":""},{"dropping-particle":"","family":"Lu","given":"X. Y.","non-dropping-particle":"","parse-names":false,"suffix":""},{"dropping-particle":"","family":"Yang","given":"J. F.","non-dropping-particle":"","parse-names":false,"suffix":""},{"dropping-particle":"","family":"Yu","given":"H. G.","non-dropping-particle":"","parse-names":false,"suffix":""}],"container-title":"Clinical and Translational Oncology","id":"ITEM-1","issue":"10","issued":{"date-parts":[["2013"]]},"page":"836-842","title":"Randomized phase II study comparing paclitaxel with S-1 vs. S-1 as first-line treatment in patients with advanced gastric cancer","type":"article-journal","volume":"15"},"uris":["http://www.mendeley.com/documents/?uuid=482a2bfe-f781-4274-bf80-620e5fbdb0de"]}],"mendeley":{"formattedCitation":"[19]","plainTextFormattedCitation":"[19]","previouslyFormattedCitation":"[19]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eastAsia="zh-TW"/>
              </w:rPr>
              <w:t>[19]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30B7BBE1" w14:textId="77777777" w:rsidR="00B61A3A" w:rsidRPr="007D2E2F" w:rsidRDefault="00B61A3A" w:rsidP="00B61A3A">
            <w:pPr>
              <w:spacing w:before="240" w:line="360" w:lineRule="auto"/>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41</w:t>
            </w:r>
          </w:p>
        </w:tc>
        <w:tc>
          <w:tcPr>
            <w:tcW w:w="1708" w:type="dxa"/>
            <w:gridSpan w:val="2"/>
            <w:shd w:val="clear" w:color="auto" w:fill="auto"/>
            <w:noWrap/>
            <w:hideMark/>
          </w:tcPr>
          <w:p w14:paraId="13AF7471" w14:textId="77777777" w:rsidR="00B61A3A" w:rsidRPr="007D2E2F" w:rsidRDefault="00B61A3A" w:rsidP="00B61A3A">
            <w:pPr>
              <w:spacing w:before="240" w:line="360" w:lineRule="auto"/>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S-1+PTX</w:t>
            </w:r>
          </w:p>
        </w:tc>
        <w:tc>
          <w:tcPr>
            <w:tcW w:w="1322" w:type="dxa"/>
            <w:shd w:val="clear" w:color="auto" w:fill="auto"/>
            <w:noWrap/>
            <w:hideMark/>
          </w:tcPr>
          <w:p w14:paraId="4D12D463"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32 (78)</w:t>
            </w:r>
          </w:p>
        </w:tc>
        <w:tc>
          <w:tcPr>
            <w:tcW w:w="1623" w:type="dxa"/>
            <w:gridSpan w:val="2"/>
            <w:shd w:val="clear" w:color="auto" w:fill="auto"/>
            <w:noWrap/>
            <w:hideMark/>
          </w:tcPr>
          <w:p w14:paraId="666AC2CA"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63 (35-74)</w:t>
            </w:r>
          </w:p>
        </w:tc>
        <w:tc>
          <w:tcPr>
            <w:tcW w:w="1379" w:type="dxa"/>
            <w:shd w:val="clear" w:color="auto" w:fill="auto"/>
            <w:noWrap/>
            <w:hideMark/>
          </w:tcPr>
          <w:p w14:paraId="28BF9DA5"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41 (100)</w:t>
            </w:r>
          </w:p>
        </w:tc>
        <w:tc>
          <w:tcPr>
            <w:tcW w:w="797" w:type="dxa"/>
            <w:shd w:val="clear" w:color="auto" w:fill="auto"/>
            <w:noWrap/>
            <w:hideMark/>
          </w:tcPr>
          <w:p w14:paraId="5A0F89BF"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4 (10)</w:t>
            </w:r>
          </w:p>
        </w:tc>
      </w:tr>
      <w:tr w:rsidR="00B61A3A" w:rsidRPr="007D2E2F" w14:paraId="3357C194" w14:textId="77777777" w:rsidTr="00B61A3A">
        <w:trPr>
          <w:trHeight w:val="255"/>
        </w:trPr>
        <w:tc>
          <w:tcPr>
            <w:tcW w:w="2552" w:type="dxa"/>
            <w:shd w:val="clear" w:color="auto" w:fill="auto"/>
            <w:noWrap/>
            <w:hideMark/>
          </w:tcPr>
          <w:p w14:paraId="0A313DAE" w14:textId="77777777" w:rsidR="00B61A3A" w:rsidRPr="007D2E2F" w:rsidRDefault="00B61A3A" w:rsidP="00B61A3A">
            <w:pPr>
              <w:spacing w:before="240" w:line="360" w:lineRule="auto"/>
              <w:rPr>
                <w:rFonts w:ascii="Times New Roman" w:eastAsia="Times New Roman" w:hAnsi="Times New Roman"/>
                <w:b/>
                <w:color w:val="000000"/>
                <w:sz w:val="16"/>
                <w:szCs w:val="16"/>
                <w:u w:val="single"/>
                <w:lang w:eastAsia="zh-TW"/>
              </w:rPr>
            </w:pPr>
            <w:r w:rsidRPr="007D2E2F">
              <w:rPr>
                <w:rFonts w:ascii="Times New Roman" w:eastAsia="Times New Roman" w:hAnsi="Times New Roman"/>
                <w:b/>
                <w:color w:val="000000"/>
                <w:sz w:val="16"/>
                <w:szCs w:val="16"/>
                <w:u w:val="single"/>
                <w:lang w:eastAsia="zh-TW"/>
              </w:rPr>
              <w:t>5-FU+Paclitaxel</w:t>
            </w:r>
          </w:p>
        </w:tc>
        <w:tc>
          <w:tcPr>
            <w:tcW w:w="456" w:type="dxa"/>
            <w:shd w:val="clear" w:color="auto" w:fill="auto"/>
            <w:noWrap/>
            <w:hideMark/>
          </w:tcPr>
          <w:p w14:paraId="1E17F802" w14:textId="77777777" w:rsidR="00B61A3A" w:rsidRPr="007D2E2F" w:rsidRDefault="00B61A3A" w:rsidP="00B61A3A">
            <w:pPr>
              <w:spacing w:before="240" w:line="360" w:lineRule="auto"/>
              <w:rPr>
                <w:rFonts w:ascii="Times New Roman" w:eastAsia="Times New Roman" w:hAnsi="Times New Roman"/>
                <w:color w:val="000000"/>
                <w:sz w:val="16"/>
                <w:szCs w:val="16"/>
                <w:u w:val="single"/>
                <w:lang w:eastAsia="zh-TW"/>
              </w:rPr>
            </w:pPr>
          </w:p>
        </w:tc>
        <w:tc>
          <w:tcPr>
            <w:tcW w:w="1708" w:type="dxa"/>
            <w:gridSpan w:val="2"/>
            <w:shd w:val="clear" w:color="auto" w:fill="auto"/>
            <w:noWrap/>
            <w:hideMark/>
          </w:tcPr>
          <w:p w14:paraId="18921642" w14:textId="77777777" w:rsidR="00B61A3A" w:rsidRPr="007D2E2F" w:rsidRDefault="00B61A3A" w:rsidP="00B61A3A">
            <w:pPr>
              <w:spacing w:before="240" w:line="360" w:lineRule="auto"/>
              <w:rPr>
                <w:rFonts w:ascii="Times New Roman" w:eastAsia="Times New Roman" w:hAnsi="Times New Roman"/>
                <w:color w:val="000000"/>
                <w:sz w:val="16"/>
                <w:szCs w:val="16"/>
                <w:u w:val="single"/>
                <w:lang w:eastAsia="zh-TW"/>
              </w:rPr>
            </w:pPr>
            <w:r w:rsidRPr="007D2E2F">
              <w:rPr>
                <w:rFonts w:ascii="Times New Roman" w:eastAsia="Times New Roman" w:hAnsi="Times New Roman"/>
                <w:color w:val="000000"/>
                <w:sz w:val="16"/>
                <w:szCs w:val="16"/>
                <w:u w:val="single"/>
                <w:lang w:eastAsia="zh-TW"/>
              </w:rPr>
              <w:t>FT</w:t>
            </w:r>
          </w:p>
        </w:tc>
        <w:tc>
          <w:tcPr>
            <w:tcW w:w="1322" w:type="dxa"/>
            <w:shd w:val="clear" w:color="auto" w:fill="auto"/>
            <w:noWrap/>
            <w:hideMark/>
          </w:tcPr>
          <w:p w14:paraId="376C97ED"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 </w:t>
            </w:r>
          </w:p>
        </w:tc>
        <w:tc>
          <w:tcPr>
            <w:tcW w:w="1623" w:type="dxa"/>
            <w:gridSpan w:val="2"/>
            <w:shd w:val="clear" w:color="auto" w:fill="auto"/>
            <w:noWrap/>
            <w:hideMark/>
          </w:tcPr>
          <w:p w14:paraId="5C0D308B"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 </w:t>
            </w:r>
          </w:p>
        </w:tc>
        <w:tc>
          <w:tcPr>
            <w:tcW w:w="1379" w:type="dxa"/>
            <w:shd w:val="clear" w:color="auto" w:fill="auto"/>
            <w:noWrap/>
            <w:hideMark/>
          </w:tcPr>
          <w:p w14:paraId="010C2F59"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 </w:t>
            </w:r>
          </w:p>
        </w:tc>
        <w:tc>
          <w:tcPr>
            <w:tcW w:w="797" w:type="dxa"/>
            <w:shd w:val="clear" w:color="auto" w:fill="auto"/>
            <w:noWrap/>
            <w:hideMark/>
          </w:tcPr>
          <w:p w14:paraId="4B811D8F"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 </w:t>
            </w:r>
          </w:p>
        </w:tc>
      </w:tr>
      <w:tr w:rsidR="00B61A3A" w:rsidRPr="007D2E2F" w14:paraId="675DA3BD" w14:textId="77777777" w:rsidTr="00B61A3A">
        <w:trPr>
          <w:trHeight w:val="255"/>
        </w:trPr>
        <w:tc>
          <w:tcPr>
            <w:tcW w:w="2552" w:type="dxa"/>
            <w:shd w:val="clear" w:color="auto" w:fill="auto"/>
            <w:noWrap/>
            <w:hideMark/>
          </w:tcPr>
          <w:p w14:paraId="48AA2CC6" w14:textId="27BC40DF" w:rsidR="00B61A3A" w:rsidRPr="007D2E2F" w:rsidRDefault="00B61A3A" w:rsidP="00B61A3A">
            <w:pPr>
              <w:spacing w:before="240" w:line="360" w:lineRule="auto"/>
              <w:rPr>
                <w:rFonts w:ascii="Times New Roman" w:eastAsia="Times New Roman" w:hAnsi="Times New Roman"/>
                <w:b/>
                <w:color w:val="000000"/>
                <w:sz w:val="16"/>
                <w:szCs w:val="16"/>
                <w:lang w:eastAsia="zh-TW"/>
              </w:rPr>
            </w:pPr>
            <w:r w:rsidRPr="007D2E2F">
              <w:rPr>
                <w:rFonts w:ascii="Times New Roman" w:eastAsia="Times New Roman" w:hAnsi="Times New Roman"/>
                <w:b/>
                <w:color w:val="000000"/>
                <w:sz w:val="16"/>
                <w:szCs w:val="16"/>
                <w:lang w:eastAsia="zh-TW"/>
              </w:rPr>
              <w:t xml:space="preserve">Tesselaar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eastAsia="zh-TW"/>
              </w:rPr>
              <w:instrText>ADDIN CSL_CITATION {"citationItems":[{"id":"ITEM-1","itemData":{"DOI":"10.1200/jco.2008.26.15_suppl.4567","ISSN":"0732-183X","abstract":"4567 Background: This randomized phase II trial compared the response rate (RR) of high-dose 5-fluorouracil (5FU) plus leucovorin (LV) and cisplatin (CDDP) with 5FU plus LV and paclitaxel in previously untreated, metastatic gastroesophageal adenocarcinoma. Methods: Patients (pts) with measurable histologically confirmed adenocarcinoma were randomized into 2 groups. Arm A (n=49): weekly 5FU (2.0 g/m2 d 1,8,15,22,29,36) plus LV (500 mg/m2) and biweekly CDDP (50 mg/m2 day 1,15,29) with cycles repeated every 7 weeks. Arm B (n=47): weekly 5FU (2.0 g/m2 d1,8,15) plus LV (500 mg/m2) and weekly paclitaxel (80 mg/m2 d1,8,15) with cycles repeated every 4 weeks. Treatment was continued until disease progression or up to 24 weeks of treatment. The primary endpoint was response rate. Results: Results for responses are presented for the first 55 pts and for toxicity for 94 pts. The best overall response rate (ORR) was 46% (95% CI, 27% to 66%) for treatment arm A and 44 % (95% CI, 26% to 65%) for treatment arm B. This included 2 (6% of group A) vs. 2 (6%) complete responses, and 11 (33% of group A) vs. 10 (30%) partial responses. Ten pts in group A (30%) vs. 10 pts (30%) in group B had stable disease and 5 pts (15%) vs. 5 (15%) in respectively group A and B progressed while on treatment. The median time to progression (TTP) was 3.9 months (mo) (range 0.3?18.5) for treatment arm A vs. 4.2 mo (range 0.1?16.4) for treatment arm B. The median overall survival time (OS) was 4.9 mo (range 1.0?19.1) for treatment arm A vs. 5.4 mo (range 0.7?26.2) for treatment arm B. Hematological toxicity was common, although WHO grade 3?4 toxicity only occurred in 2 patients in group A. Neutropenic fever occurred in 3 resp 4 pts of whom 1 pt died (group A). Nonhematologic adverse reactions were usually mild to moderate; WHO grade 3?4 toxicities included emesis in 5 pts, fatigue in 7 pts, stomatitis in 2 pts, with a majority of pts in group A, diarrhea in 6 pts, with a majority in group B and thromboembolism in 3 pts (all from group A). Conclusions: These results suggest that both treatment arms have comparable overall response rates, TTP and OS. Paclitaxel however had a slightly better toxicity profile. No significant financial relationships to disclose.","author":[{"dropping-particle":"","family":"Tesselaar","given":"M E","non-dropping-particle":"","parse-names":false,"suffix":""},{"dropping-particle":"","family":"Luelmo","given":"S","non-dropping-particle":"","parse-names":false,"suffix":""},{"dropping-particle":"","family":"Polee","given":"M","non-dropping-particle":"","parse-names":false,"suffix":""},{"dropping-particle":"","family":"Bochove","given":"A","non-dropping-particle":"van","parse-names":false,"suffix":""},{"dropping-particle":"","family":"Ouwerkerk","given":"J","non-dropping-particle":"","parse-names":false,"suffix":""},{"dropping-particle":"","family":"Pruijt","given":"H","non-dropping-particle":"","parse-names":false,"suffix":""},{"dropping-particle":"","family":"Sleeboom","given":"H","non-dropping-particle":"","parse-names":false,"suffix":""}],"container-title":"Journal of Clinical Oncology","id":"ITEM-1","issue":"15_suppl","issued":{"date-parts":[["2008","5","20"]]},"note":"doi: 10.1200/jco.2008.26.15_suppl.4567","page":"4567","publisher":"American Society of Clinical Oncology","title":"Randomized, phase II study comparing cisplatin and high-dose 5-fluorouracil/leucovorin with paclitaxel and high-dose 5-fluorouracil/leucovorin in patients with advanced gastric cancer and adenocarcinomas of the gastroesophageal junction","type":"article-journal","volume":"26"},"uris":["http://www.mendeley.com/documents/?uuid=87490798-7928-4a05-ae39-b63e500b4040","http://www.mendeley.com/documents/?uuid=c2a57ee2-7875-4a27-b23e-9b4d3efe7401"]}],"mendeley":{"formattedCitation":"[74]","plainTextFormattedCitation":"[74]","previouslyFormattedCitation":"[74]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eastAsia="zh-TW"/>
              </w:rPr>
              <w:t>[74]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38471E2" w14:textId="77777777" w:rsidR="00B61A3A" w:rsidRPr="007D2E2F" w:rsidRDefault="00B61A3A" w:rsidP="00B61A3A">
            <w:pPr>
              <w:spacing w:before="240" w:line="360" w:lineRule="auto"/>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47</w:t>
            </w:r>
          </w:p>
        </w:tc>
        <w:tc>
          <w:tcPr>
            <w:tcW w:w="1708" w:type="dxa"/>
            <w:gridSpan w:val="2"/>
            <w:shd w:val="clear" w:color="auto" w:fill="auto"/>
            <w:noWrap/>
            <w:hideMark/>
          </w:tcPr>
          <w:p w14:paraId="4B11CFA8" w14:textId="77777777" w:rsidR="00B61A3A" w:rsidRPr="007D2E2F" w:rsidRDefault="00B61A3A" w:rsidP="00B61A3A">
            <w:pPr>
              <w:spacing w:before="240" w:line="360" w:lineRule="auto"/>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HD-5FU/LV+PTX</w:t>
            </w:r>
          </w:p>
        </w:tc>
        <w:tc>
          <w:tcPr>
            <w:tcW w:w="1322" w:type="dxa"/>
            <w:shd w:val="clear" w:color="auto" w:fill="auto"/>
            <w:noWrap/>
            <w:hideMark/>
          </w:tcPr>
          <w:p w14:paraId="055830BC"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NA</w:t>
            </w:r>
          </w:p>
        </w:tc>
        <w:tc>
          <w:tcPr>
            <w:tcW w:w="1623" w:type="dxa"/>
            <w:gridSpan w:val="2"/>
            <w:shd w:val="clear" w:color="auto" w:fill="auto"/>
            <w:noWrap/>
            <w:hideMark/>
          </w:tcPr>
          <w:p w14:paraId="23524177"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NA</w:t>
            </w:r>
          </w:p>
        </w:tc>
        <w:tc>
          <w:tcPr>
            <w:tcW w:w="1379" w:type="dxa"/>
            <w:shd w:val="clear" w:color="auto" w:fill="auto"/>
            <w:noWrap/>
            <w:hideMark/>
          </w:tcPr>
          <w:p w14:paraId="25A6294E"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NA</w:t>
            </w:r>
          </w:p>
        </w:tc>
        <w:tc>
          <w:tcPr>
            <w:tcW w:w="797" w:type="dxa"/>
            <w:shd w:val="clear" w:color="auto" w:fill="auto"/>
            <w:noWrap/>
            <w:hideMark/>
          </w:tcPr>
          <w:p w14:paraId="728B5C37"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NA</w:t>
            </w:r>
          </w:p>
        </w:tc>
      </w:tr>
      <w:tr w:rsidR="00B61A3A" w:rsidRPr="007D2E2F" w14:paraId="755CC5A9" w14:textId="77777777" w:rsidTr="00B61A3A">
        <w:trPr>
          <w:trHeight w:val="255"/>
        </w:trPr>
        <w:tc>
          <w:tcPr>
            <w:tcW w:w="2552" w:type="dxa"/>
            <w:shd w:val="clear" w:color="auto" w:fill="auto"/>
            <w:noWrap/>
            <w:hideMark/>
          </w:tcPr>
          <w:p w14:paraId="0E5F69F2" w14:textId="08D7CCCA"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lang w:eastAsia="zh-TW"/>
              </w:rPr>
              <w:t xml:space="preserve">Huang 2013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lang w:eastAsia="zh-TW"/>
              </w:rPr>
              <w:instrText>ADDIN CSL_CITATION {"citationItems":[{"id":"ITEM-1","itemData":{"DOI":"10.1016/j.ejca.2013.05.021","ISSN":"1879-0852","PMID":"23810466","abstract":"PURPOSE: This study aimed to compare the efficacy and toxicity of weekly paclitaxel plus S-1 with weekly paclitaxel plus 5-fluorouracil in treating advanced gastric cancer as first line regimen. The primary end-point was disease control rate (DCR).\n\nMETHODS: Patients with advanced or recurrent gastric cancer were randomly assigned to an experimental arm or a control arm. The experimental arm's dosage schedule was paclitaxel 60 mg/m2 (intravenous infusion) on days 1, 8 and 15 and S-1 80-120 mg/d (oral administration) on days 1-14. Control arm patients were given the same paclitaxel, combined with 5-fluorouracil 500 mg/m2 (continuous intravenous infusion) on days 1-5; and leucovorin 20 mg/m2 (intravenous infusion) on days 1-5. All schedules were repeated every 28 d.\n\nRESULTS: A total of 240 patients were enrolled and equally randomised into two arms. The overall response rate and DCR of the experimental arm was non-inferior to that of the control arm both in the per-protocol set and the full analysis set. The secondary end-point median progression-free survival (PFS) of the experimental and control arms was 153 and 129 d, with the hazard ratio of 0.641 (95% CI: 0.473-0.868, P = 0.004). The hazard ratio of the time to treatment failure of the two arms was 1.449 (95% CI: 0.705-2.980, P = 0.229). The six-month PFS rates of both arms were similar (31.3% versus 31.8%, P = 0.94). Cox regression analysis indicated that only treatment regimen and age were independent predictive factors for PFS. The most common adverse events were haematological and gastrointestinal. The rates of grade 3-4 adverse events were not significantly different between the two study arms and were mostly lower than 5%.\n\nCONCLUSION: Weekly paclitaxel combined with S-1 is an active and well-tolerated regimen, supporting the view that S-1 can be an alternative for infusional 5-fluorouracil for advanced gastric cancer.","author":[{"dropping-particle":"","family":"Huang","given":"Dingzhi","non-dropping-particle":"","parse-names":false,"suffix":""},{"dropping-particle":"","family":"Ba","given":"Yi","non-dropping-particle":"","parse-names":false,"suffix":""},{"dropping-particle":"","family":"Xiong","given":"Jianping","non-dropping-particle":"","parse-names":false,"suffix":""},{"dropping-particle":"","family":"Xu","given":"Nong","non-dropping-particle":"","parse-names":false,"suffix":""},{"dropping-particle":"","family":"Yan","given":"Zhao","non-dropping-particle":"","parse-names":false,"suffix":""},{"dropping-particle":"","family":"Zhuang","given":"Zhixiang","non-dropping-particle":"","parse-names":false,"suffix":""},{"dropping-particle":"","family":"Yu","given":"Zhuang","non-dropping-particle":"","parse-names":false,"suffix":""},{"dropping-particle":"","family":"Wan","given":"Huiping","non-dropping-particle":"","parse-names":false,"suffix":""},{"dropping-particle":"","family":"Zhang","given":"Yang","non-dropping-particle":"","parse-names":false,"suffix":""},{"dropping-particle":"","family":"Deng","given":"Ting","non-dropping-particle":"","parse-names":false,"suffix":""},{"dropping-particle":"","family":"Zheng","given":"Rongsheng","non-dropping-particle":"","parse-names":false,"suffix":""},{"dropping-particle":"","family":"Guo","given":"Zengqing","non-dropping-particle":"","parse-names":false,"suffix":""},{"dropping-particle":"","family":"Hu","given":"Chunhong","non-dropping-particle":"","parse-names":false,"suffix":""},{"dropping-particle":"","family":"Wang","given":"Meiling","non-dropping-particle":"","parse-names":false,"suffix":""},{"dropping-particle":"","family":"Yu","given":"Zhonghe","non-dropping-particle":"","parse-names":false,"suffix":""},{"dropping-particle":"","family":"Yao","given":"Yang","non-dropping-particle":"","parse-names":false,"suffix":""},{"dropping-particle":"","family":"Meng","given":"Jichang","non-dropping-particle":"","parse-names":false,"suffix":""}],"container-title":"European journal of cancer (Oxford, England : 1990)","id":"ITEM-1","issue":"14","issued":{"date-parts":[["2013","9"]]},"page":"2995-3002","title":"A multicentre randomised trial comparing weekly paclitaxel + S-1 with weekly paclitaxel + 5-fluorouracil for patients with advanced gastric cancer.","type":"article-journal","volume":"49"},"uris":["http://www.mendeley.com/documents/?uuid=4a58faea-3235-46bb-bec0-4d37561338c7"]}],"mendeley":{"formattedCitation":"[72]","plainTextFormattedCitation":"[72]","previouslyFormattedCitation":"[72]"},"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[72]</w:t>
            </w:r>
            <w:r w:rsidRPr="007D2E2F">
              <w:rPr>
                <w:rFonts w:ascii="Times New Roman" w:eastAsia="Times New Roman" w:hAnsi="Times New Roman"/>
                <w:sz w:val="16"/>
                <w:szCs w:val="16"/>
              </w:rPr>
              <w:fldChar w:fldCharType="end"/>
            </w:r>
          </w:p>
        </w:tc>
        <w:tc>
          <w:tcPr>
            <w:tcW w:w="456" w:type="dxa"/>
            <w:shd w:val="clear" w:color="auto" w:fill="auto"/>
            <w:noWrap/>
            <w:hideMark/>
          </w:tcPr>
          <w:p w14:paraId="7D702C0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110</w:t>
            </w:r>
          </w:p>
        </w:tc>
        <w:tc>
          <w:tcPr>
            <w:tcW w:w="1708" w:type="dxa"/>
            <w:gridSpan w:val="2"/>
            <w:shd w:val="clear" w:color="auto" w:fill="auto"/>
            <w:noWrap/>
            <w:hideMark/>
          </w:tcPr>
          <w:p w14:paraId="5356BEF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5-FU+PTX</w:t>
            </w:r>
          </w:p>
        </w:tc>
        <w:tc>
          <w:tcPr>
            <w:tcW w:w="1322" w:type="dxa"/>
            <w:shd w:val="clear" w:color="auto" w:fill="auto"/>
            <w:noWrap/>
            <w:hideMark/>
          </w:tcPr>
          <w:p w14:paraId="41E91E9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76 (69)</w:t>
            </w:r>
          </w:p>
        </w:tc>
        <w:tc>
          <w:tcPr>
            <w:tcW w:w="1623" w:type="dxa"/>
            <w:gridSpan w:val="2"/>
            <w:shd w:val="clear" w:color="auto" w:fill="auto"/>
            <w:noWrap/>
            <w:hideMark/>
          </w:tcPr>
          <w:p w14:paraId="274843C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54 (19-72)</w:t>
            </w:r>
          </w:p>
        </w:tc>
        <w:tc>
          <w:tcPr>
            <w:tcW w:w="1379" w:type="dxa"/>
            <w:shd w:val="clear" w:color="auto" w:fill="auto"/>
            <w:noWrap/>
            <w:hideMark/>
          </w:tcPr>
          <w:p w14:paraId="1A5DF65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102 (93)</w:t>
            </w:r>
          </w:p>
        </w:tc>
        <w:tc>
          <w:tcPr>
            <w:tcW w:w="797" w:type="dxa"/>
            <w:shd w:val="clear" w:color="auto" w:fill="auto"/>
            <w:noWrap/>
            <w:hideMark/>
          </w:tcPr>
          <w:p w14:paraId="21C09D3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KPS 80</w:t>
            </w:r>
          </w:p>
        </w:tc>
      </w:tr>
      <w:tr w:rsidR="00B61A3A" w:rsidRPr="007D2E2F" w14:paraId="17113250" w14:textId="77777777" w:rsidTr="00B61A3A">
        <w:trPr>
          <w:trHeight w:val="255"/>
        </w:trPr>
        <w:tc>
          <w:tcPr>
            <w:tcW w:w="2552" w:type="dxa"/>
            <w:shd w:val="clear" w:color="auto" w:fill="auto"/>
            <w:noWrap/>
            <w:hideMark/>
          </w:tcPr>
          <w:p w14:paraId="0317CD73" w14:textId="0D43EADB"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Nishikawa 2012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{"citationItems":[{"id":"ITEM-1","itemData":{"DOI":"10.1007/s10120-011-0124-3","ISSN":"1436-3291","PMID":"22278377","abstract":"BACKGROUND: The purpose of this study was twofold: (1) to compare S-1 with infusional 5-fluorouracil (FU) to determine which would be a better partner of paclitaxel (PTX), and (2) to compare a concurrent strategy with a sequential one, the latter strategy being the one that is widely used in Japanese general practice.\n\nMETHODS: The 161 eligible patients were randomized into four arms to receive the following regimens: A (sequential), intravenous 5-FU at 800 mg/m(2) for 5 days every 4 weeks followed by weekly PTX at 80 mg/m(2); B (sequential), S-1 at 80 mg/m(2) for 4 weeks and 2-week rest followed by PTX; C (concurrent), intravenous 5-FU at 600 mg/m(2) for 5 days and weekly PTX at 80 mg/m(2) every 4 weeks; and D (concurrent), S-1 for 14 days and PTX at 50 mg/m(2) on days 1 and 8 every 3 weeks. The primary endpoint was the overall survival (OS) rate at 10 months.\n\nRESULTS: The ten-month OS rates in arms A, B, C, and D were 63, 65, 61, and 73%, respectively. The OS was best in the concurrent S-1/PTX arm, with a mean survival time of 15.4 months, but no significant difference was observed between the four arms. Response rates were higher in the concurrent arms than in the sequential arms.\n\nCONCLUSION: Our study did not show sufficient prolongation of survival with the concurrent strategy to proceed to a phase-III trial; however, the sequential arms showed survival comparable to that in the concurrent arms, with less toxicity. In patients who are ineligible for cisplatin (CDDP), sequential treatment starting with S-1 and proceeding to PTX would be a good alternative strategy, considering quality of life (QOL) and the cost-benefits of an oral agent as first-line treatment.","author":[{"dropping-particle":"","family":"Nishikawa","given":"Kazuhiro","non-dropping-particle":"","parse-names":false,"suffix":""},{"dropping-particle":"","family":"Morita","given":"Satoshi","non-dropping-particle":"","parse-names":false,"suffix":""},{"dropping-particle":"","family":"Matsui","given":"Takanori","non-dropping-particle":"","parse-names":false,"suffix":""},{"dropping-particle":"","family":"Kobayashi","given":"Michiya","non-dropping-particle":"","parse-names":false,"suffix":""},{"dropping-particle":"","family":"Takeuchi","given":"Yoji","non-dropping-particle":"","parse-names":false,"suffix":""},{"dropping-particle":"","family":"Takahashi","given":"Ikuo","non-dropping-particle":"","parse-names":false,"suffix":""},{"dropping-particle":"","family":"Sato","given":"Seiji","non-dropping-particle":"","parse-names":false,"suffix":""},{"dropping-particle":"","family":"Miyashita","given":"Yumi","non-dropping-particle":"","parse-names":false,"suffix":""},{"dropping-particle":"","family":"Tsuburaya","given":"Akira","non-dropping-particle":"","parse-names":false,"suffix":""},{"dropping-particle":"","family":"Sakamoto","given":"Junichi","non-dropping-particle":"","parse-names":false,"suffix":""},{"dropping-particle":"","family":"Kakeji","given":"Yoshihiro","non-dropping-particle":"","parse-names":false,"suffix":""},{"dropping-particle":"","family":"Baba","given":"Hideo","non-dropping-particle":"","parse-names":false,"suffix":""}],"container-title":"Gastric cancer : official journal of the International Gastric Cancer Association and the Japanese Gastric Cancer Association","id":"ITEM-1","issue":"4","issued":{"date-parts":[["2012","10"]]},"page":"363-9","title":"A randomized phase-II trial comparing sequential and concurrent paclitaxel with oral or parenteral fluorinated pyrimidines for advanced or metastatic gastric cancer.","type":"article-journal","volume":"15"},"uris":["http://www.mendeley.com/documents/?uuid=7a617823-c899-49db-9ef9-6c7ed3e195a6"]}],"mendeley":{"formattedCitation":"[73]","plainTextFormattedCitation":"[73]","previouslyFormattedCitation":"[73]"},"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[73]</w:t>
            </w:r>
            <w:r w:rsidRPr="007D2E2F">
              <w:rPr>
                <w:rFonts w:ascii="Times New Roman" w:eastAsia="Times New Roman" w:hAnsi="Times New Roman"/>
                <w:sz w:val="16"/>
                <w:szCs w:val="16"/>
              </w:rPr>
              <w:fldChar w:fldCharType="end"/>
            </w:r>
          </w:p>
        </w:tc>
        <w:tc>
          <w:tcPr>
            <w:tcW w:w="456" w:type="dxa"/>
            <w:shd w:val="clear" w:color="auto" w:fill="auto"/>
            <w:noWrap/>
            <w:hideMark/>
          </w:tcPr>
          <w:p w14:paraId="43315B5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80</w:t>
            </w:r>
          </w:p>
        </w:tc>
        <w:tc>
          <w:tcPr>
            <w:tcW w:w="1708" w:type="dxa"/>
            <w:gridSpan w:val="2"/>
            <w:shd w:val="clear" w:color="auto" w:fill="auto"/>
            <w:noWrap/>
            <w:hideMark/>
          </w:tcPr>
          <w:p w14:paraId="578AED8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5-FU+PTX</w:t>
            </w:r>
          </w:p>
        </w:tc>
        <w:tc>
          <w:tcPr>
            <w:tcW w:w="1322" w:type="dxa"/>
            <w:shd w:val="clear" w:color="auto" w:fill="auto"/>
            <w:hideMark/>
          </w:tcPr>
          <w:p w14:paraId="07C756B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60 (75)</w:t>
            </w:r>
          </w:p>
        </w:tc>
        <w:tc>
          <w:tcPr>
            <w:tcW w:w="1623" w:type="dxa"/>
            <w:gridSpan w:val="2"/>
            <w:shd w:val="clear" w:color="auto" w:fill="auto"/>
            <w:hideMark/>
          </w:tcPr>
          <w:p w14:paraId="0556A24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67 (47-90)</w:t>
            </w:r>
          </w:p>
        </w:tc>
        <w:tc>
          <w:tcPr>
            <w:tcW w:w="1379" w:type="dxa"/>
            <w:shd w:val="clear" w:color="auto" w:fill="auto"/>
            <w:hideMark/>
          </w:tcPr>
          <w:p w14:paraId="679CDBB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80 (100)</w:t>
            </w:r>
          </w:p>
        </w:tc>
        <w:tc>
          <w:tcPr>
            <w:tcW w:w="797" w:type="dxa"/>
            <w:shd w:val="clear" w:color="auto" w:fill="auto"/>
            <w:hideMark/>
          </w:tcPr>
          <w:p w14:paraId="07A66F8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1A6F97" w14:paraId="0FBFF81D" w14:textId="77777777" w:rsidTr="00B61A3A">
        <w:trPr>
          <w:trHeight w:val="255"/>
        </w:trPr>
        <w:tc>
          <w:tcPr>
            <w:tcW w:w="2552" w:type="dxa"/>
            <w:shd w:val="clear" w:color="auto" w:fill="auto"/>
            <w:noWrap/>
            <w:hideMark/>
          </w:tcPr>
          <w:p w14:paraId="09C3D73F" w14:textId="5F250780" w:rsidR="00B61A3A" w:rsidRPr="00F72E17" w:rsidRDefault="00B61A3A" w:rsidP="00B61A3A">
            <w:pPr>
              <w:spacing w:before="240" w:line="360" w:lineRule="auto"/>
              <w:rPr>
                <w:rFonts w:ascii="Times New Roman" w:eastAsia="Times New Roman" w:hAnsi="Times New Roman"/>
                <w:b/>
                <w:color w:val="000000"/>
                <w:sz w:val="16"/>
                <w:szCs w:val="16"/>
                <w:lang w:val="en-US" w:eastAsia="zh-TW"/>
              </w:rPr>
            </w:pPr>
            <w:r w:rsidRPr="007D2E2F">
              <w:rPr>
                <w:rFonts w:ascii="Times New Roman" w:eastAsia="Times New Roman" w:hAnsi="Times New Roman"/>
                <w:b/>
                <w:color w:val="000000"/>
                <w:sz w:val="16"/>
                <w:szCs w:val="16"/>
              </w:rPr>
              <w:t xml:space="preserve">Park 2006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{"citationItems":[{"id":"ITEM-1","itemData":{"DOI":"10.1097/00001813-200602000-00015","ISBN":"09594973 (ISSN)","ISSN":"0959-4973","PMID":"16428942","abstract":"Taxanes have clearly demonstrated activities against gastric cancer. We compared the combination of paclitaxel plus 5-fluorouracil (5-FU) (PF) with docetaxel plus 5-FU (DF) as first-line chemotherapy in patients with measurable metastatic gastric cancer. Seventy-seven patients were randomly assigned to receive paclitaxel 175 mg/m2 or docetaxel 75 mg/m2 on day 1, in combination with 5-FU 500 mg/m2 continuous infusion on days 1-5. Treatment was repeated every 3 weeks. Of 314 chemotherapy cycles delivered (median 5 in both groups), dose reduction was required more frequently in the DF group, being 9 and 19%, respectively (P&lt;0.01). PF was associated with, although statistically insignificant, substantially less grade 3 or 4 toxicities than DF (68 versus 85%; P=0.09). Global quality of life was similar in both groups, but substantive differences in many symptom scores including pain, dyspnea, constipation and diarrhea favored PF. There were no significant differences in therapeutic efficacy between PF and DF with respect to response rate (42 versus 33%, respectively; P=0.53), and failure-free (3.6 versus 4.2 months; P=0.92) and overall survival (9.9 versus 9.3 months; P=0.42). Both PF and DF appear to have efficacy against metastatic gastric cancer, with different, but acceptable, safety profiles.","author":[{"dropping-particle":"","family":"Park","given":"Se Hoon","non-dropping-particle":"","parse-names":false,"suffix":""},{"dropping-particle":"","family":"Lee","given":"Woon Kee","no</w:instrText>
            </w:r>
            <w:r w:rsidR="006739B2" w:rsidRPr="006739B2">
              <w:rPr>
                <w:rFonts w:ascii="Times New Roman" w:eastAsia="Times New Roman" w:hAnsi="Times New Roman"/>
                <w:b/>
                <w:color w:val="000000"/>
                <w:sz w:val="16"/>
                <w:szCs w:val="16"/>
                <w:lang w:val="en-US"/>
              </w:rPr>
              <w:instrText>n-dropping-particle":"","parse-names":false,"suffix":""},{"dropping-particle":"","family":"Chung","given":"Min","non-dropping-particle":"","parse-names":false,"suffix":""},{"dropping-particle":"","family":"Lee","given":"Yuna","non-dropping-particle":"","parse-names":false,"suffix":""},{"dropping-particle":"","family":"Han","given":"Sang Hoon","non-dropping-particle":"","parse-names":false,"suffix":""},{"dropping-particle":"","family":"Bang","given":"Soo-Mee","non-dropping-particle":"","parse-names":false,"suffix":""},{"dropping-particle":"","family":"Cho","given":"Eun Kyung","non-dropping-particle":"","parse-names":false,"suffix":""},{"dropping-particle":"","family":"Shin","given":"Dong Bok","non-dropping-particle":"","parse-names":false,"suffix":""},{"dropping-particle":"","family":"Lee","given":"Jae Hoon","non-dropping-particle":"","parse-names":false,"suffix":""}],"container-title":"Anti-Cancer Drugs","id":"ITEM-1","issue":"2","issued":{"date-parts":[["2006"]]},"page":"225-229","title":"Paclitaxel versus docetaxel for advanced gastric cancer: a randomized phase II trial in combination with infusional 5-fluorouracil","type":"article-journal","volume":"17"},"uris":["http://www.mendeley.com/documents/?uuid=3273ae66-26b6-4d00-b1da-62200d7d6dc3"]}],"mendeley":{"formattedCitation":"[71]","plainTextFormattedCitation":"[71]","previouslyFormattedCitation":"[71]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eastAsia="zh-TW"/>
              </w:rPr>
              <w:t>[71]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3925377F" w14:textId="77777777" w:rsidR="00B61A3A" w:rsidRPr="00F72E17" w:rsidRDefault="00B61A3A" w:rsidP="00B61A3A">
            <w:pPr>
              <w:spacing w:before="240" w:line="360" w:lineRule="auto"/>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38</w:t>
            </w:r>
          </w:p>
        </w:tc>
        <w:tc>
          <w:tcPr>
            <w:tcW w:w="1708" w:type="dxa"/>
            <w:gridSpan w:val="2"/>
            <w:shd w:val="clear" w:color="auto" w:fill="auto"/>
            <w:noWrap/>
            <w:hideMark/>
          </w:tcPr>
          <w:p w14:paraId="63CED209" w14:textId="77777777" w:rsidR="00B61A3A" w:rsidRPr="00F72E17" w:rsidRDefault="00B61A3A" w:rsidP="00B61A3A">
            <w:pPr>
              <w:spacing w:before="240" w:line="360" w:lineRule="auto"/>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5-FU+PTX</w:t>
            </w:r>
          </w:p>
        </w:tc>
        <w:tc>
          <w:tcPr>
            <w:tcW w:w="1322" w:type="dxa"/>
            <w:shd w:val="clear" w:color="auto" w:fill="auto"/>
            <w:noWrap/>
            <w:hideMark/>
          </w:tcPr>
          <w:p w14:paraId="105C8761"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19 (50)</w:t>
            </w:r>
          </w:p>
        </w:tc>
        <w:tc>
          <w:tcPr>
            <w:tcW w:w="1623" w:type="dxa"/>
            <w:gridSpan w:val="2"/>
            <w:shd w:val="clear" w:color="auto" w:fill="auto"/>
            <w:noWrap/>
            <w:hideMark/>
          </w:tcPr>
          <w:p w14:paraId="48C23B20"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53 (36-73)</w:t>
            </w:r>
          </w:p>
        </w:tc>
        <w:tc>
          <w:tcPr>
            <w:tcW w:w="1379" w:type="dxa"/>
            <w:shd w:val="clear" w:color="auto" w:fill="auto"/>
            <w:noWrap/>
            <w:hideMark/>
          </w:tcPr>
          <w:p w14:paraId="5E631EE1"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NA</w:t>
            </w:r>
          </w:p>
        </w:tc>
        <w:tc>
          <w:tcPr>
            <w:tcW w:w="797" w:type="dxa"/>
            <w:shd w:val="clear" w:color="auto" w:fill="auto"/>
            <w:noWrap/>
            <w:hideMark/>
          </w:tcPr>
          <w:p w14:paraId="1BA478EE"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8 (21)</w:t>
            </w:r>
          </w:p>
        </w:tc>
      </w:tr>
      <w:tr w:rsidR="00B61A3A" w:rsidRPr="001A6F97" w14:paraId="246ED12A" w14:textId="77777777" w:rsidTr="00B61A3A">
        <w:trPr>
          <w:trHeight w:val="255"/>
        </w:trPr>
        <w:tc>
          <w:tcPr>
            <w:tcW w:w="4716" w:type="dxa"/>
            <w:gridSpan w:val="4"/>
            <w:shd w:val="clear" w:color="auto" w:fill="auto"/>
            <w:noWrap/>
            <w:hideMark/>
          </w:tcPr>
          <w:p w14:paraId="529E261C" w14:textId="77777777" w:rsidR="00B61A3A" w:rsidRPr="00F72E17" w:rsidRDefault="00B61A3A" w:rsidP="00B61A3A">
            <w:pPr>
              <w:spacing w:before="240" w:line="360" w:lineRule="auto"/>
              <w:rPr>
                <w:rFonts w:ascii="Times New Roman" w:eastAsia="Times New Roman" w:hAnsi="Times New Roman"/>
                <w:color w:val="000000"/>
                <w:sz w:val="16"/>
                <w:szCs w:val="16"/>
                <w:lang w:val="en-US" w:eastAsia="zh-TW"/>
              </w:rPr>
            </w:pPr>
            <w:proofErr w:type="spellStart"/>
            <w:r w:rsidRPr="00F72E17">
              <w:rPr>
                <w:rFonts w:ascii="Times New Roman" w:eastAsia="Times New Roman" w:hAnsi="Times New Roman"/>
                <w:color w:val="000000"/>
                <w:sz w:val="16"/>
                <w:szCs w:val="16"/>
                <w:lang w:val="en-US" w:eastAsia="zh-TW"/>
              </w:rPr>
              <w:t>Antracycline</w:t>
            </w:r>
            <w:proofErr w:type="spellEnd"/>
            <w:r w:rsidRPr="00F72E17">
              <w:rPr>
                <w:rFonts w:ascii="Times New Roman" w:eastAsia="Times New Roman" w:hAnsi="Times New Roman"/>
                <w:color w:val="000000"/>
                <w:sz w:val="16"/>
                <w:szCs w:val="16"/>
                <w:lang w:val="en-US" w:eastAsia="zh-TW"/>
              </w:rPr>
              <w:t>-containing triplet</w:t>
            </w:r>
          </w:p>
        </w:tc>
        <w:tc>
          <w:tcPr>
            <w:tcW w:w="1322" w:type="dxa"/>
            <w:shd w:val="clear" w:color="auto" w:fill="auto"/>
            <w:noWrap/>
            <w:hideMark/>
          </w:tcPr>
          <w:p w14:paraId="1828D525" w14:textId="77777777" w:rsidR="00B61A3A" w:rsidRPr="00F72E17" w:rsidRDefault="00B61A3A" w:rsidP="00B61A3A">
            <w:pPr>
              <w:spacing w:before="240" w:line="360" w:lineRule="auto"/>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 </w:t>
            </w:r>
          </w:p>
        </w:tc>
        <w:tc>
          <w:tcPr>
            <w:tcW w:w="1623" w:type="dxa"/>
            <w:gridSpan w:val="2"/>
            <w:shd w:val="clear" w:color="auto" w:fill="auto"/>
            <w:noWrap/>
            <w:hideMark/>
          </w:tcPr>
          <w:p w14:paraId="71859F2A" w14:textId="77777777" w:rsidR="00B61A3A" w:rsidRPr="00F72E17" w:rsidRDefault="00B61A3A" w:rsidP="00B61A3A">
            <w:pPr>
              <w:spacing w:before="240" w:line="360" w:lineRule="auto"/>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 </w:t>
            </w:r>
          </w:p>
        </w:tc>
        <w:tc>
          <w:tcPr>
            <w:tcW w:w="1379" w:type="dxa"/>
            <w:shd w:val="clear" w:color="auto" w:fill="auto"/>
            <w:noWrap/>
            <w:hideMark/>
          </w:tcPr>
          <w:p w14:paraId="2E380D56" w14:textId="77777777" w:rsidR="00B61A3A" w:rsidRPr="00F72E17" w:rsidRDefault="00B61A3A" w:rsidP="00B61A3A">
            <w:pPr>
              <w:spacing w:before="240" w:line="360" w:lineRule="auto"/>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 </w:t>
            </w:r>
          </w:p>
        </w:tc>
        <w:tc>
          <w:tcPr>
            <w:tcW w:w="797" w:type="dxa"/>
            <w:shd w:val="clear" w:color="auto" w:fill="auto"/>
            <w:noWrap/>
            <w:hideMark/>
          </w:tcPr>
          <w:p w14:paraId="3764787B" w14:textId="77777777" w:rsidR="00B61A3A" w:rsidRPr="00F72E17" w:rsidRDefault="00B61A3A" w:rsidP="00B61A3A">
            <w:pPr>
              <w:spacing w:before="240" w:line="360" w:lineRule="auto"/>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 </w:t>
            </w:r>
          </w:p>
        </w:tc>
      </w:tr>
      <w:tr w:rsidR="00B61A3A" w:rsidRPr="001A6F97" w14:paraId="2BC4792A" w14:textId="77777777" w:rsidTr="00B61A3A">
        <w:trPr>
          <w:trHeight w:val="255"/>
        </w:trPr>
        <w:tc>
          <w:tcPr>
            <w:tcW w:w="3008" w:type="dxa"/>
            <w:gridSpan w:val="2"/>
            <w:shd w:val="clear" w:color="auto" w:fill="auto"/>
            <w:noWrap/>
            <w:hideMark/>
          </w:tcPr>
          <w:p w14:paraId="4A5B00DD" w14:textId="77777777" w:rsidR="00B61A3A" w:rsidRPr="00F72E17" w:rsidRDefault="00B61A3A" w:rsidP="00B61A3A">
            <w:pPr>
              <w:spacing w:before="240" w:line="360" w:lineRule="auto"/>
              <w:rPr>
                <w:rFonts w:ascii="Times New Roman" w:eastAsia="Times New Roman" w:hAnsi="Times New Roman"/>
                <w:b/>
                <w:color w:val="000000"/>
                <w:sz w:val="16"/>
                <w:szCs w:val="16"/>
                <w:u w:val="single"/>
                <w:lang w:val="en-US" w:eastAsia="zh-TW"/>
              </w:rPr>
            </w:pPr>
            <w:r w:rsidRPr="00F72E17">
              <w:rPr>
                <w:rFonts w:ascii="Times New Roman" w:eastAsia="Times New Roman" w:hAnsi="Times New Roman"/>
                <w:b/>
                <w:color w:val="000000"/>
                <w:sz w:val="16"/>
                <w:szCs w:val="16"/>
                <w:u w:val="single"/>
                <w:lang w:val="en-US" w:eastAsia="zh-TW"/>
              </w:rPr>
              <w:t>Epirubicin+Cisplatin+5-FU</w:t>
            </w:r>
          </w:p>
        </w:tc>
        <w:tc>
          <w:tcPr>
            <w:tcW w:w="1708" w:type="dxa"/>
            <w:gridSpan w:val="2"/>
            <w:shd w:val="clear" w:color="auto" w:fill="auto"/>
            <w:noWrap/>
            <w:hideMark/>
          </w:tcPr>
          <w:p w14:paraId="203CF880" w14:textId="77777777" w:rsidR="00B61A3A" w:rsidRPr="00F72E17" w:rsidRDefault="00B61A3A" w:rsidP="00B61A3A">
            <w:pPr>
              <w:spacing w:before="240" w:line="360" w:lineRule="auto"/>
              <w:rPr>
                <w:rFonts w:ascii="Times New Roman" w:eastAsia="Times New Roman" w:hAnsi="Times New Roman"/>
                <w:color w:val="000000"/>
                <w:sz w:val="16"/>
                <w:szCs w:val="16"/>
                <w:u w:val="single"/>
                <w:lang w:val="en-US" w:eastAsia="zh-TW"/>
              </w:rPr>
            </w:pPr>
            <w:r w:rsidRPr="00F72E17">
              <w:rPr>
                <w:rFonts w:ascii="Times New Roman" w:eastAsia="Times New Roman" w:hAnsi="Times New Roman"/>
                <w:color w:val="000000"/>
                <w:sz w:val="16"/>
                <w:szCs w:val="16"/>
                <w:u w:val="single"/>
                <w:lang w:val="en-US" w:eastAsia="zh-TW"/>
              </w:rPr>
              <w:t>ACF</w:t>
            </w:r>
          </w:p>
        </w:tc>
        <w:tc>
          <w:tcPr>
            <w:tcW w:w="1322" w:type="dxa"/>
            <w:shd w:val="clear" w:color="auto" w:fill="auto"/>
            <w:noWrap/>
            <w:hideMark/>
          </w:tcPr>
          <w:p w14:paraId="5E1614A6"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 </w:t>
            </w:r>
          </w:p>
        </w:tc>
        <w:tc>
          <w:tcPr>
            <w:tcW w:w="1623" w:type="dxa"/>
            <w:gridSpan w:val="2"/>
            <w:shd w:val="clear" w:color="auto" w:fill="auto"/>
            <w:noWrap/>
            <w:hideMark/>
          </w:tcPr>
          <w:p w14:paraId="10230F75"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 </w:t>
            </w:r>
          </w:p>
        </w:tc>
        <w:tc>
          <w:tcPr>
            <w:tcW w:w="1379" w:type="dxa"/>
            <w:shd w:val="clear" w:color="auto" w:fill="auto"/>
            <w:noWrap/>
            <w:hideMark/>
          </w:tcPr>
          <w:p w14:paraId="2C14A53E"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 </w:t>
            </w:r>
          </w:p>
        </w:tc>
        <w:tc>
          <w:tcPr>
            <w:tcW w:w="797" w:type="dxa"/>
            <w:shd w:val="clear" w:color="auto" w:fill="auto"/>
            <w:noWrap/>
            <w:hideMark/>
          </w:tcPr>
          <w:p w14:paraId="2F13F5AB"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eastAsia="zh-TW"/>
              </w:rPr>
            </w:pPr>
            <w:r w:rsidRPr="00F72E17">
              <w:rPr>
                <w:rFonts w:ascii="Times New Roman" w:eastAsia="Times New Roman" w:hAnsi="Times New Roman"/>
                <w:color w:val="000000"/>
                <w:sz w:val="16"/>
                <w:szCs w:val="16"/>
                <w:lang w:val="en-US" w:eastAsia="zh-TW"/>
              </w:rPr>
              <w:t> </w:t>
            </w:r>
          </w:p>
        </w:tc>
      </w:tr>
      <w:tr w:rsidR="00B61A3A" w:rsidRPr="001A6F97" w14:paraId="7D2EFDEE" w14:textId="77777777" w:rsidTr="00B61A3A">
        <w:trPr>
          <w:trHeight w:val="255"/>
        </w:trPr>
        <w:tc>
          <w:tcPr>
            <w:tcW w:w="2552" w:type="dxa"/>
            <w:shd w:val="clear" w:color="auto" w:fill="auto"/>
            <w:noWrap/>
            <w:hideMark/>
          </w:tcPr>
          <w:p w14:paraId="2B690425" w14:textId="3A46C41F" w:rsidR="00B61A3A" w:rsidRPr="00022291" w:rsidRDefault="00B61A3A" w:rsidP="00B61A3A">
            <w:pPr>
              <w:spacing w:before="240" w:line="360" w:lineRule="auto"/>
              <w:rPr>
                <w:rFonts w:ascii="Times New Roman" w:eastAsia="Times New Roman" w:hAnsi="Times New Roman"/>
                <w:b/>
                <w:color w:val="000000"/>
                <w:sz w:val="16"/>
                <w:szCs w:val="16"/>
                <w:lang w:val="en-US"/>
              </w:rPr>
            </w:pPr>
            <w:r w:rsidRPr="00F72E17">
              <w:rPr>
                <w:rFonts w:ascii="Times New Roman" w:eastAsia="Times New Roman" w:hAnsi="Times New Roman"/>
                <w:b/>
                <w:color w:val="000000"/>
                <w:sz w:val="16"/>
                <w:szCs w:val="16"/>
                <w:lang w:val="en-US" w:eastAsia="zh-TW"/>
              </w:rPr>
              <w:t xml:space="preserve">Roth 1999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eastAsia="zh-TW"/>
              </w:rPr>
              <w:instrText>ADDIN CSL_CITATION {"citationItems":[{"id":"ITEM-1","itemData":{"ISBN":"0300-8916","ISSN":"0300-8916 (Print)","PMID":"10587023","abstract":"Background: A prospective randomized clinical study was performed in patients with locally advanced or metastatic gastric cancer. The purpose of the study was to determine the activity of high doses of 5-fluorouracil and epirubicin (FE) vs the same combination + cisplatin (FEP), and particularly the value of cisplatin in the combination. Patients and methods: A total of 122 patients was included in the study; 110 of them were assessable. In the FE arm, the treatment involved 1000 mg/m2 in a 6-hr infusion of 5- fluorouracil on days 1, 2, 3, 4 and 5 and 120 mg/m2 of epirubicin iv on day 1. In the FEP arm, the same combination of cytostatics + cisplatin (30 mg/m2) was administered on days 2 and 4. The cycles were repeated after 4 weeks. Altogether, 468 cycles of chemotherapy were given (FE, 240; FEP, 228). Results: In the FE arm, 56 patients were assessable, with 2 complete and 14 partial remissions (28.6%); in the FEP arm, 4 complete and 19 partial remissions (42.6%) were observed in 54 assessable patients. Median survival in the FE group was 7.1 months and in the FEP group 9.6 months. The survival difference was statistically significant (Cox's test, P&lt;0.05). The most frequent side effects included grade 2 and 3 alopecia (FE, 93%; FEP, 94%) and grade 2 and 3 vomiting (FE, 20%; FEP, 35%). Grade 3 and 4 leukopenia was observed in 9% of patients in the FE group and in 13% of patients in the FEP group, with 6 cases of febrile neutropenia (FE, 4%, FEP, 7%). Stenocardia was registered in 1 patient in the FE group and in 2 patients in the FEP group. No treatment-related death was registered. Conclusions: The addition of cisplatin to high doses of 5-fluorouracil and epirubicin resulted in a statistically significant better survival of treated patients.","author":[{"dropping-particle":"","family":"Roth","given":"Anton","non-dropping-particle":"","parse-names":false,"suffix":""},{"dropping-particle":"","family":"Kolarix","given":"Krsto","non-dropping-particle":"","parse-names":false,"suffix":""},{"dropping-particle":"","family":"Zupanc","given":"Darko","non-dropping-particle":"","parse-names":false,"suffix":""},{"dropping-particle":"","family":"Oresic","given":"Vladimir","non-dropping-particle":"","parse-names":false,"suffix":""},{"dropping-particle":"","family":"Roth","given":"Andrej","non-dropping-particle":"","parse-names":false,"suffix":""},{"dropping-particle":"","family":"Ebling","given":"Zdravko","non-dropping-particle":"","parse-names":false,"suffix":""}],"container-title":"Tumori","id":"ITEM-1","issue":"4","issued":{"date-parts":[["1999"]]},"page":"234-238","title":"High doses of 5-fluorouracil and epirubicin with or without cisplatin in advanced gastric cancer: a randomized study","type":"article-journal","volume":"85"},"uris":["http://www.mendeley.com/documents/?uuid=a5d6a299-4809-45c4-aa11-108054c5bf47"]}],"mendeley":{"formattedCitation":"[75]","plainTextFormattedCitation":"[75]","previouslyFormattedCitation":"[75]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[75]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6D0C8A5"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61</w:t>
            </w:r>
          </w:p>
        </w:tc>
        <w:tc>
          <w:tcPr>
            <w:tcW w:w="1708" w:type="dxa"/>
            <w:gridSpan w:val="2"/>
            <w:shd w:val="clear" w:color="auto" w:fill="auto"/>
            <w:noWrap/>
            <w:hideMark/>
          </w:tcPr>
          <w:p w14:paraId="42AE4D8A"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Epi+Cis+5-FU</w:t>
            </w:r>
          </w:p>
        </w:tc>
        <w:tc>
          <w:tcPr>
            <w:tcW w:w="1322" w:type="dxa"/>
            <w:shd w:val="clear" w:color="auto" w:fill="auto"/>
            <w:noWrap/>
            <w:hideMark/>
          </w:tcPr>
          <w:p w14:paraId="33E17AAE"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37 (61)</w:t>
            </w:r>
          </w:p>
        </w:tc>
        <w:tc>
          <w:tcPr>
            <w:tcW w:w="1623" w:type="dxa"/>
            <w:gridSpan w:val="2"/>
            <w:shd w:val="clear" w:color="auto" w:fill="auto"/>
            <w:noWrap/>
            <w:hideMark/>
          </w:tcPr>
          <w:p w14:paraId="6C2C2CFD"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56 (NA)</w:t>
            </w:r>
          </w:p>
        </w:tc>
        <w:tc>
          <w:tcPr>
            <w:tcW w:w="1379" w:type="dxa"/>
            <w:shd w:val="clear" w:color="auto" w:fill="auto"/>
            <w:noWrap/>
            <w:hideMark/>
          </w:tcPr>
          <w:p w14:paraId="75C6E68F"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54 (89)</w:t>
            </w:r>
          </w:p>
        </w:tc>
        <w:tc>
          <w:tcPr>
            <w:tcW w:w="797" w:type="dxa"/>
            <w:shd w:val="clear" w:color="auto" w:fill="auto"/>
            <w:noWrap/>
            <w:hideMark/>
          </w:tcPr>
          <w:p w14:paraId="6A87F781"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30 (49)</w:t>
            </w:r>
          </w:p>
        </w:tc>
      </w:tr>
      <w:tr w:rsidR="00B61A3A" w:rsidRPr="007D2E2F" w14:paraId="2CC62CD6" w14:textId="77777777" w:rsidTr="00B61A3A">
        <w:trPr>
          <w:trHeight w:val="255"/>
        </w:trPr>
        <w:tc>
          <w:tcPr>
            <w:tcW w:w="2552" w:type="dxa"/>
            <w:shd w:val="clear" w:color="auto" w:fill="auto"/>
            <w:noWrap/>
            <w:hideMark/>
          </w:tcPr>
          <w:p w14:paraId="7EBFC03F" w14:textId="61143D9F" w:rsidR="00B61A3A" w:rsidRPr="007D2E2F" w:rsidRDefault="00B61A3A" w:rsidP="00B61A3A">
            <w:pPr>
              <w:spacing w:before="240" w:line="360" w:lineRule="auto"/>
              <w:rPr>
                <w:rFonts w:ascii="Times New Roman" w:eastAsia="Times New Roman" w:hAnsi="Times New Roman"/>
                <w:b/>
                <w:color w:val="000000"/>
                <w:sz w:val="16"/>
                <w:szCs w:val="16"/>
              </w:rPr>
            </w:pPr>
            <w:proofErr w:type="spellStart"/>
            <w:r w:rsidRPr="00022291">
              <w:rPr>
                <w:rFonts w:ascii="Times New Roman" w:eastAsia="Times New Roman" w:hAnsi="Times New Roman"/>
                <w:b/>
                <w:color w:val="000000"/>
                <w:sz w:val="16"/>
                <w:szCs w:val="16"/>
                <w:lang w:val="en-US"/>
              </w:rPr>
              <w:t>Cocconi</w:t>
            </w:r>
            <w:proofErr w:type="spellEnd"/>
            <w:r w:rsidRPr="00022291">
              <w:rPr>
                <w:rFonts w:ascii="Times New Roman" w:eastAsia="Times New Roman" w:hAnsi="Times New Roman"/>
                <w:b/>
                <w:color w:val="000000"/>
                <w:sz w:val="16"/>
                <w:szCs w:val="16"/>
                <w:lang w:val="en-US"/>
              </w:rPr>
              <w:t xml:space="preserve"> 2003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{"citationItems":[{"id":"ITEM-1","itemData":{"DOI":"10.1093/annonc/mdg329","ISBN":"0923-7534","ISSN":"09237534","PMID":"12881389","abstract":"BACKGROUND: 5-Fluorouracil (5-FU), doxorubicin and methotrexate (FAMTX) and cisplatin, epirubicin, leucovorin and 5-FU (PELF) have both been reported to be superior to the combination 5-FU, doxorubicin and mitomycin C (FAM) in advanced gastric carcinoma. On the basis of the presence and dose intensity of the included agents, we hypothesised that PELF would be superior to FAMTX. PATIENTS AND METHODS: Two hundred patients with untreated advanced gastric carcinoma were randomised to receive PELF or FAMTX for a maximum of six cycles or until disease progression. RESULTS: The complete response (CR) rates to PELF and FAMTX were, respectively, 13% 95% confidence intervals (CI) 6% to 20% and 2% (95% CI 0% to 5%; P = 0.003), and the objective response rates CR plus partial response (PR) rates 39% (95% CI 29% to 49%) and 22% (95% CI 13% to 30%; P = 0.009), thus significantly favouring the PELF combination. The survival rates after 12 months (30.8% versus 22.4%) and 24 months (15.7% versus 9.5%) were also higher among patients receiving PELF, but these differences were not statistically significant. The toxicities were qualitatively different but quantitatively similar. Both regimens seem to be feasible provided that careful patient monitoring is assured. CONCLUSIONS: PELF is significantly more active than FAMTX and deserves further research in the adjuvant setting.","author":[{"dropping-particle":"","family":"Cocconi","given":"Giorgio","non-dropping-particle":"","parse-names":false,"suffix":""},{"dropping-particle":"","family":"Carlini","given":"P.","non-dropping-particle":"","parse-names":false,"suffix":""},{"dropping-particle":"","family":"Gamboni","given":"A.","non-dropping-particle":"","parse-names":false,"suffix":""},{"dropping-particle":"","family":"Gasperoni","given":"S.","non-dropping-particle":"","parse-names":false,"suffix":""},{"dropping-particle":"","family":"Rodinò","given":"C.","non-dropping-particle":"","parse-names":false,"suffix":""},{"dropping-particle":"","family":"Zironi","given":"S.","non-dropping-particle":"","parse-names":false,"suffix":""},{"dropping-particle":"","family":"Bisagni","given":"G.","non-dropping-particle":"","parse-names":false,"suffix":""},{"dropping-particle":"","family":"Porrozzi","given":"S.","non-dropping-particle":"","parse-names":false,"suffix":""},{"dropping-particle":"","family":"Cognetti","given":"F.","non-dropping-particle":"","parse-names":false,"suffix":""},{"dropping-particle":"","family":"Costanzo","given":"F.","non-dropping-particle":"Di","parse-names":false,"suffix":""},{"dropping-particle":"","family":"Canaletti","given":"R.","non-dropping-particle":"","parse-names":false,"suffix":""},{"dropping-particle":"","family":"Ruggeri","given":"E. M.","non-dropping-particle":"","parse-names":false,"suffix":""},{"dropping-particle":"","family":"Camisa","given":"R.","non-dropping-particle":"","parse-names":false,"suffix":""},{"dropping-particle":"","family":"Pucci","given":"F.","non-dropping-particle":"","parse-names":false,"suffix":""}],"container-title":"Annals of Oncology","id":"ITEM-1","issue":"8","issued":{"date-parts":[["2003"]]},"page":"1258-1263","title":"Cisplatin, epirubicin, leucovorin and 5-fluorouracil (PELF) is more active than 5-fluorouracil* Doxorubicin and methotrexate (FAMTX) in advanced gastric carcinoma","type":"article-journal","volume":"14"},"uris":["http://www.mendeley.com/documents/?uuid=4f55d7c4-d171-4548-bc49-ebe6dd1ba30d"]}],"mendeley":{"formattedCitation":"[76]","plainTextFormattedCitation":"[76]","previouslyFormattedCitation":"[76]"},"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[76]</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D3F24A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98</w:t>
            </w:r>
          </w:p>
        </w:tc>
        <w:tc>
          <w:tcPr>
            <w:tcW w:w="1708" w:type="dxa"/>
            <w:gridSpan w:val="2"/>
            <w:shd w:val="clear" w:color="auto" w:fill="auto"/>
            <w:noWrap/>
            <w:hideMark/>
          </w:tcPr>
          <w:p w14:paraId="1A6DE693"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Epi+Cis+5-FU/LV</w:t>
            </w:r>
          </w:p>
        </w:tc>
        <w:tc>
          <w:tcPr>
            <w:tcW w:w="1322" w:type="dxa"/>
            <w:shd w:val="clear" w:color="auto" w:fill="auto"/>
            <w:noWrap/>
            <w:hideMark/>
          </w:tcPr>
          <w:p w14:paraId="053348F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67 (68)</w:t>
            </w:r>
          </w:p>
        </w:tc>
        <w:tc>
          <w:tcPr>
            <w:tcW w:w="1623" w:type="dxa"/>
            <w:gridSpan w:val="2"/>
            <w:shd w:val="clear" w:color="auto" w:fill="auto"/>
            <w:noWrap/>
            <w:hideMark/>
          </w:tcPr>
          <w:p w14:paraId="1B82914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(26-74)</w:t>
            </w:r>
          </w:p>
        </w:tc>
        <w:tc>
          <w:tcPr>
            <w:tcW w:w="1379" w:type="dxa"/>
            <w:shd w:val="clear" w:color="auto" w:fill="auto"/>
            <w:noWrap/>
            <w:hideMark/>
          </w:tcPr>
          <w:p w14:paraId="7B0C4C6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82 (84)</w:t>
            </w:r>
          </w:p>
        </w:tc>
        <w:tc>
          <w:tcPr>
            <w:tcW w:w="797" w:type="dxa"/>
            <w:shd w:val="clear" w:color="auto" w:fill="auto"/>
            <w:noWrap/>
            <w:hideMark/>
          </w:tcPr>
          <w:p w14:paraId="21DCC03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7D2E2F" w14:paraId="345FCF76" w14:textId="77777777" w:rsidTr="00B61A3A">
        <w:trPr>
          <w:trHeight w:val="255"/>
        </w:trPr>
        <w:tc>
          <w:tcPr>
            <w:tcW w:w="2552" w:type="dxa"/>
            <w:shd w:val="clear" w:color="auto" w:fill="auto"/>
            <w:noWrap/>
            <w:hideMark/>
          </w:tcPr>
          <w:p w14:paraId="49B2CC15" w14:textId="2562B046" w:rsidR="00B61A3A" w:rsidRPr="007D2E2F" w:rsidRDefault="00B61A3A" w:rsidP="00B61A3A">
            <w:pPr>
              <w:spacing w:before="240" w:line="360" w:lineRule="auto"/>
              <w:rPr>
                <w:rFonts w:ascii="Times New Roman" w:eastAsia="Times New Roman" w:hAnsi="Times New Roman"/>
                <w:b/>
                <w:color w:val="000000"/>
                <w:sz w:val="16"/>
                <w:szCs w:val="16"/>
                <w:lang w:eastAsia="zh-TW"/>
              </w:rPr>
            </w:pPr>
            <w:r w:rsidRPr="007D2E2F">
              <w:rPr>
                <w:rFonts w:ascii="Times New Roman" w:eastAsia="Times New Roman" w:hAnsi="Times New Roman"/>
                <w:b/>
                <w:color w:val="000000"/>
                <w:sz w:val="16"/>
                <w:szCs w:val="16"/>
              </w:rPr>
              <w:t xml:space="preserve">Webb 1997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{"citationItems":[{"id":"ITEM-1","itemData":{"DOI":"10.1200/JCO.1997.15.1.261","ISBN":"0732-183X","ISSN":"0732183X","PMID":"8996151","abstract":"PURPOSE We report the results of a prospectively randomized study that compared the combination of epirubicin, cisplatin, and protracted venous infusion fluorouracil (5-FU) (ECF regimen) with the standard combination of 5-FU, doxorubicin, and methotrexate (FAMTX) in previously untreated patients with advanced esophagogastric cancer. PATIENTS AND METHODS Two hundred seventy-four patients with adenocarcinoma or undifferentiated carcinoma were randomized and analyzed for survival, tumor response, toxicity, and quality of life (QL). RESULTS The overall response rate was 45% (95% confidence interval [CI], 36% to 54%) with ECF and 21% (95% CI, 13% to 29%) with FAMTX (P = .0002). Toxicity was tolerable and there were only three toxic deaths. The FAMTX regimen caused more hematologic toxicity and serious infections, but ECF caused more emesis and alopecia. The median survival duration was 8.9 months with ECF and 5.7 months with FAMTX (P = .0009); at 1 year, 36% (95% CI, 27% to 45%) of ECF and 21% (95% CI, 14% to 29%) of FAMTX patients were alive. The median failure-free survival duration was 7.4 months with ECF and 3.4 months with FAMTX (P = .00006). The global QL scores were better for ECF at 24 weeks, but the remaining QL data showed no differences between either arm of the study. Hospital-based cost analysis on a subset of patients was similar for each arm and translated into an increment cost of $975 per life-year gained. CONCLUSION The ECF regimen results in a survival and response advantage, tolerable toxicity, better QL and cost-effectiveness compared with FAMTX chemotherapy. This regimen should now be considered the standard treatment for advanced esophagogastric cancer.","author":[{"dropping-particle":"","family":"Webb","given":"Andrew","non-dropping-particle":"","parse-names":false,"suffix":""},{"dropping-particle":"","family":"Cunningham","given":"David","non-dropping-particle":"","parse-names":false,"suffix":""},{"dropping-particle":"","family":"Scarffe","given":"J. H.","non-dropping-particle":"","parse-names":false,"suffix":""},{"dropping-particle":"","family":"Harper","given":"P.","non-dropping-particle":"","parse-names":false,"suffix":""},{"dropping-particle":"","family":"Norman","given":"A.","non-dropping-particle":"","parse-names":false,"suffix":""},{"dropping-particle":"","family":"Joffe","given":"J. K.","non-dropping-particle":"","parse-names":false,"suffix":""},{"dropping-particle":"","family":"Hughes","given":"M.","non-dropping-particle":"","parse-names":false,"suffix":""},{"dropping-particle":"","family":"Mansi","given":"J.","non-dropping-particle":"","parse-names":false,"suffix":""},{"dropping-particle":"","family":"Findlay","given":"M.","non-dropping-particle":"","parse-names":false,"suffix":""},{"dropping-particle":"","family":"Hill","given":"A.","non-dropping-particle":"","parse-names":false,"suffix":""},{"dropping-particle":"","family":"Oates","given":"J.","non-dropping-particle":"","parse-names":false,"suffix":""},{"dropping-particle":"","family":"Nicolson","given":"M.","non-dropping-particle":"","parse-names":false,"suffix":""},{"dropping-particle":"","family":"Hickish","given":"T.","non-dropping-particle":"","parse-names":false,"suffix":""},{"dropping-particle":"","family":"O'Brien","given":"M.","non-dropping-particle":"","parse-names":false,"suffix":""},{"dropping-particle":"","family":"Iveson","given":"T.","non-dropping-particle":"","parse-names":false,"suffix":""},{"dropping-particle":"","family":"Watson","given":"M.","non-dropping-particle":"","parse-names":false,"suffix":""},{"dropping-particle":"","family":"Underhill","given":"C.","non-dropping-particle":"","parse-names":false,"suffix":""},{"dropping-particle":"","family":"Wardley","given":"A.","non-dropping-particle":"","parse-names":false,"suffix":""},{"dropping-particle":"","family":"Meehan","given":"M.","non-dropping-particle":"","parse-names":false,"suffix":""}],"container-title":"Journal of Clinical Oncology","id":"ITEM-1","issue":"1","issued":{"date-parts":[["1997"]]},"page":"261-267","title":"Randomized trial comparing epirubicin, cisplatin, and fluorouracil versus fluorouracil, doxorubicin, and methotrexate in advanced esophagogastric cancer","type":"article-journal","volume":"15"},"uris":["http://www.mendeley.com/documents/?uuid=f0f9e15c-6e0d-4607-9207-cd3def9b9c6a"]}],"mendeley":{"formattedCitation":"[77]","plainTextFormattedCitation":"[77]","previouslyFormattedCitation":"[77]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eastAsia="zh-TW"/>
              </w:rPr>
              <w:t>[77]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6B4C2043" w14:textId="77777777" w:rsidR="00B61A3A" w:rsidRPr="007D2E2F" w:rsidRDefault="00B61A3A" w:rsidP="00B61A3A">
            <w:pPr>
              <w:spacing w:before="240" w:line="360" w:lineRule="auto"/>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126</w:t>
            </w:r>
          </w:p>
        </w:tc>
        <w:tc>
          <w:tcPr>
            <w:tcW w:w="1708" w:type="dxa"/>
            <w:gridSpan w:val="2"/>
            <w:shd w:val="clear" w:color="auto" w:fill="auto"/>
            <w:noWrap/>
            <w:hideMark/>
          </w:tcPr>
          <w:p w14:paraId="627E93FD" w14:textId="77777777" w:rsidR="00B61A3A" w:rsidRPr="007D2E2F" w:rsidRDefault="00B61A3A" w:rsidP="00B61A3A">
            <w:pPr>
              <w:spacing w:before="240" w:line="360" w:lineRule="auto"/>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Epi+Cis+5-FU</w:t>
            </w:r>
          </w:p>
        </w:tc>
        <w:tc>
          <w:tcPr>
            <w:tcW w:w="1322" w:type="dxa"/>
            <w:shd w:val="clear" w:color="auto" w:fill="auto"/>
            <w:noWrap/>
            <w:hideMark/>
          </w:tcPr>
          <w:p w14:paraId="2D002F3F"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99 (79)</w:t>
            </w:r>
          </w:p>
        </w:tc>
        <w:tc>
          <w:tcPr>
            <w:tcW w:w="1623" w:type="dxa"/>
            <w:gridSpan w:val="2"/>
            <w:shd w:val="clear" w:color="auto" w:fill="auto"/>
            <w:noWrap/>
            <w:hideMark/>
          </w:tcPr>
          <w:p w14:paraId="7B2151A9"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59 (35-79)</w:t>
            </w:r>
          </w:p>
        </w:tc>
        <w:tc>
          <w:tcPr>
            <w:tcW w:w="1379" w:type="dxa"/>
            <w:shd w:val="clear" w:color="auto" w:fill="auto"/>
            <w:noWrap/>
            <w:hideMark/>
          </w:tcPr>
          <w:p w14:paraId="4846AF10"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79 (63)</w:t>
            </w:r>
          </w:p>
        </w:tc>
        <w:tc>
          <w:tcPr>
            <w:tcW w:w="797" w:type="dxa"/>
            <w:shd w:val="clear" w:color="auto" w:fill="auto"/>
            <w:noWrap/>
            <w:hideMark/>
          </w:tcPr>
          <w:p w14:paraId="5AB6DD97" w14:textId="77777777" w:rsidR="00B61A3A" w:rsidRPr="007D2E2F" w:rsidRDefault="00B61A3A" w:rsidP="00B61A3A">
            <w:pPr>
              <w:spacing w:before="240" w:line="360" w:lineRule="auto"/>
              <w:jc w:val="right"/>
              <w:rPr>
                <w:rFonts w:ascii="Times New Roman" w:eastAsia="Times New Roman" w:hAnsi="Times New Roman"/>
                <w:color w:val="000000"/>
                <w:sz w:val="16"/>
                <w:szCs w:val="16"/>
                <w:lang w:eastAsia="zh-TW"/>
              </w:rPr>
            </w:pPr>
            <w:r w:rsidRPr="007D2E2F">
              <w:rPr>
                <w:rFonts w:ascii="Times New Roman" w:eastAsia="Times New Roman" w:hAnsi="Times New Roman"/>
                <w:color w:val="000000"/>
                <w:sz w:val="16"/>
                <w:szCs w:val="16"/>
                <w:lang w:eastAsia="zh-TW"/>
              </w:rPr>
              <w:t>30 (24)</w:t>
            </w:r>
          </w:p>
        </w:tc>
      </w:tr>
      <w:tr w:rsidR="00B61A3A" w:rsidRPr="007D2E2F" w14:paraId="21845F86" w14:textId="77777777" w:rsidTr="00DF4D7C">
        <w:trPr>
          <w:trHeight w:val="255"/>
        </w:trPr>
        <w:tc>
          <w:tcPr>
            <w:tcW w:w="2552" w:type="dxa"/>
            <w:shd w:val="clear" w:color="auto" w:fill="auto"/>
            <w:noWrap/>
            <w:hideMark/>
          </w:tcPr>
          <w:p w14:paraId="5AA6A108" w14:textId="015BB20E"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lang w:eastAsia="zh-TW"/>
              </w:rPr>
              <w:t xml:space="preserve">KRGCGC 1992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eastAsia="zh-TW"/>
              </w:rPr>
              <w:instrText>ADDIN CSL_CITATION {"citationItems":[{"id":"ITEM-1","itemData":{"ISBN":"0250-7005","ISSN":"02507005","PMID":"1295444","abstract":"Sixty patients with inoperable or recurrent gastric cancers were randomly assigned into 2 treatment regimens: the FP regimen, consisting of cisplatin (CDDP, 50 mg/body, d1) + 5-fluorouracil (5-FU, 250 mg/body, d2-d5), or the FPEPIR regimen, CDDP+5-FU (FP) + 4'-epirubicin (EPIR, 30 mg/m2, d2), administered intravenously every 2 weeks. The objective responses were evaluated in 43 patients (FP: 21; FPEPIR: 22). The response rates were 24% (5PR/21) for FP and 27% (6PR/22) for FPEPIR. Objective responses were seen in 1 primary lesion and 4 metastatic lesions in patients on the FP regimen, and in 3 primary lesions and 4 metastatic lesions in patients on the FPEPIR regimen. The 6 month and 1 year survival rates were 34% and 13% for FP, and 55% and 27% for FPEPIR, respectively (not significant). Significantly higher survival rates were demonstrated in those patients with recurrent cancers (p &lt; 0.01) and those who responded to the FPEPIR regimen (p &lt; 0.05). Drug toxicities were assessed in 56 patients, and were in general mild and well tolerated. However, the FP regimen induced significantly less neutropenia (p &lt; 0.01) and less complete alopecia (p &lt; 0.01) than the did FPEPIR regimen. These results suggest that FPEPIR may be a more beneficial regimen for the treatment of gastric cancer than FP, and may be indicated for further clinical trials.","author":[{"dropping-particle":"","family":"Nio","given":"Y.","non-dropping-particle":"","parse-names":false,"suffix":""}],"container-title":"Anticancer Research","id":"ITEM-1","issue":"6 B","issued":{"date-parts":[["1992"]]},"page":"1983-1988","title":"A randomized, comparative study of combination chemotherapies in advanced gastric cancer: 5-Fluorouracil and cisplatin (FP) versus 5-Fluorouracil, cisplatin, and 4'-Epirubicin (FPEPIR)","type":"article-journal","volume":"12"},"uris":["http://www.mendeley.com/documents/?uuid=70bc610f-e4ce-45fa-86d0-0eb6893db458"]}],"mendeley":{"formattedCitation":"[23]","plainTextFormattedCitation":"[23]","previouslyFormattedCitation":"[23]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[23]</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57C8E7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w:t>
            </w:r>
          </w:p>
        </w:tc>
        <w:tc>
          <w:tcPr>
            <w:tcW w:w="1708" w:type="dxa"/>
            <w:gridSpan w:val="2"/>
            <w:shd w:val="clear" w:color="auto" w:fill="auto"/>
            <w:noWrap/>
            <w:hideMark/>
          </w:tcPr>
          <w:p w14:paraId="56724DE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w:t>
            </w:r>
          </w:p>
        </w:tc>
        <w:tc>
          <w:tcPr>
            <w:tcW w:w="1322" w:type="dxa"/>
            <w:shd w:val="clear" w:color="auto" w:fill="auto"/>
            <w:noWrap/>
            <w:hideMark/>
          </w:tcPr>
          <w:p w14:paraId="7A23C5F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20 (66)</w:t>
            </w:r>
          </w:p>
        </w:tc>
        <w:tc>
          <w:tcPr>
            <w:tcW w:w="1623" w:type="dxa"/>
            <w:gridSpan w:val="2"/>
            <w:shd w:val="clear" w:color="auto" w:fill="auto"/>
            <w:noWrap/>
            <w:hideMark/>
          </w:tcPr>
          <w:p w14:paraId="496DE11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379" w:type="dxa"/>
            <w:shd w:val="clear" w:color="auto" w:fill="auto"/>
            <w:noWrap/>
            <w:hideMark/>
          </w:tcPr>
          <w:p w14:paraId="17619CF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16CF15C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12 (40)</w:t>
            </w:r>
          </w:p>
        </w:tc>
      </w:tr>
      <w:tr w:rsidR="00B61A3A" w:rsidRPr="007D2E2F" w14:paraId="02CA6971" w14:textId="77777777" w:rsidTr="00DF4D7C">
        <w:trPr>
          <w:trHeight w:val="255"/>
        </w:trPr>
        <w:tc>
          <w:tcPr>
            <w:tcW w:w="2552" w:type="dxa"/>
            <w:tcBorders>
              <w:bottom w:val="single" w:sz="4" w:space="0" w:color="auto"/>
            </w:tcBorders>
            <w:shd w:val="clear" w:color="auto" w:fill="auto"/>
            <w:noWrap/>
            <w:hideMark/>
          </w:tcPr>
          <w:p w14:paraId="6E51496E" w14:textId="27D29E90"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Cunningham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{"citationItems":[{"id":"ITEM-1","itemData":{"DOI":"10.1056/NEJMoa073149","ISBN":"1533-4406 (Electronic)","ISSN":"0028-4793","PMID":"18172173","abstract":"BACKGROUND: We evaluated capecitabine (an oral fluoropyrimidine) and oxaliplatin (a platinum compound) as alternatives to infused fluorouracil and cisplatin, respectively, for untreated advanced esophagogastric cancer. METHODS: In a two-by-two design, we randomly assigned 1002 patients to receive triplet therapy with epirubicin and cisplatin plus either fluorouracil (ECF) or capecitabine (ECX) or triplet therapy with epirubicin and oxaliplatin plus either fluorouracil (EOF) or capecitabine (EOX). The primary end point was noninferiority in overall survival for the triplet therapies containing capecitabine as compared with fluorouracil and for those containing oxaliplatin as compared with cisplatin. RESULTS: For the capecitabine-fluorouracil comparison, the hazard ratio for death in the capecitabine group was 0.86 (95% confidence interval [CI], 0.80 to 0.99); for the oxaliplatin-cisplatin comparison, the hazard ratio for the oxaliplatin group was 0.92 (95% CI, 0.80 to 1.10). The upper limit of the confidence intervals for both hazard ratios excluded the predefined noninferiority margin of 1.23. Median survival times in the ECF, ECX, EOF, and EOX groups were 9.9 months, 9.9 months, 9.3 months, and 11.2 months, respectively; survival rates at 1 year were 37.7%, 40.8%, 40.4%, and 46.8%, respectively. In the secondary analysis, overall survival was longer with EOX than with ECF, with a hazard ratio for death of 0.80 in the EOX group (95% CI, 0.66 to 0.97; P=0.02). Progression-free survival and response rates did not differ significantly among the regimens. Toxic effects of capecitabine and fluorouracil were similar. As compared with cisplatin, oxaliplatin was associated with lower incidences of grade 3 or 4 neutropenia, alopecia, renal toxicity, and thromboembolism but with slightly higher incidences of grade 3 or 4 diarrhea and neuropathy. CONCLUSIONS: Capecitabine and oxaliplatin are as effective as fluorouracil and cisplatin, respectively, in patients with previously untreated esophagogastric cancer. (Current Controlled Trials number, ISRCTN51678883 [controlled-trials.com].).","author":[{"dropping-particle":"","family":"Cunningham","given":"David","non-dropping-particle":"","parse-names":false,"suffix":""},{"dropping-particle":"","family":"Starling","given":"Naureen","non-dropping-particle":"","parse-names":false,"suffix":""},{"dropping-particle":"","family":"Rao","given":"Sheela","non-dropping-particle":"","parse-names":false,"suffix":""},{"dropping-particle":"","family":"Iveson","given":"Timothy","non-dropping-particle":"","parse-names":false,"suffix":""},{"dropping-particle":"","family":"Nicolson","given":"Marianne","non-dropping-particle":"","parse-names":false,"suffix":""},{"dropping-particle":"","family":"Coxon","given":"Fareeda","non-dropping-particle":"","parse-names":false,"suffix":""},{"dropping-particle":"","family":"Middleton","given":"Gary","non-dropping-particle":"","parse-names":false,"suffix":""},{"dropping-particle":"","family":"Daniel","given":"Francis","non-dropping-particle":"","parse-names":false,"suffix":""},{"dropping-particle":"","family":"Oates","given":"Jacqueline","non-dropping-particle":"","parse-names":false,"suffix":""},{"dropping-particle":"","family":"Norman","given":"Andrew Richard","non-dropping-particle":"","parse-names":false,"suffix":""}],"container-title":"New England Journal of Medicine","id":"ITEM-1","issue":"1","issued":{"date-parts":[["2008"]]},"page":"36-46","title":"Capecitabine and Oxaliplatin for Advanced Esophagogastric Cancer","type":"article-journal","volume":"358"},"uris":["http://www.mendeley.com/documents/?uuid=f2a6c77c-5204-4e55-9254-923cd7245302"]}],"mendeley":{"formattedCitation":"[78]","plainTextFormattedCitation":"[78]","previouslyFormattedCitation":"[78]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[78]</w:t>
            </w:r>
            <w:r w:rsidRPr="007D2E2F">
              <w:rPr>
                <w:rFonts w:ascii="Times New Roman" w:eastAsia="Times New Roman" w:hAnsi="Times New Roman"/>
                <w:color w:val="000000"/>
                <w:sz w:val="16"/>
                <w:szCs w:val="16"/>
              </w:rPr>
              <w:fldChar w:fldCharType="end"/>
            </w:r>
          </w:p>
        </w:tc>
        <w:tc>
          <w:tcPr>
            <w:tcW w:w="456" w:type="dxa"/>
            <w:tcBorders>
              <w:bottom w:val="single" w:sz="4" w:space="0" w:color="auto"/>
            </w:tcBorders>
            <w:shd w:val="clear" w:color="auto" w:fill="auto"/>
            <w:noWrap/>
            <w:hideMark/>
          </w:tcPr>
          <w:p w14:paraId="3F7AF22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249</w:t>
            </w:r>
          </w:p>
        </w:tc>
        <w:tc>
          <w:tcPr>
            <w:tcW w:w="1708" w:type="dxa"/>
            <w:gridSpan w:val="2"/>
            <w:tcBorders>
              <w:bottom w:val="single" w:sz="4" w:space="0" w:color="auto"/>
            </w:tcBorders>
            <w:shd w:val="clear" w:color="auto" w:fill="auto"/>
            <w:noWrap/>
            <w:hideMark/>
          </w:tcPr>
          <w:p w14:paraId="6AA993D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w:t>
            </w:r>
          </w:p>
        </w:tc>
        <w:tc>
          <w:tcPr>
            <w:tcW w:w="1322" w:type="dxa"/>
            <w:tcBorders>
              <w:bottom w:val="single" w:sz="4" w:space="0" w:color="auto"/>
            </w:tcBorders>
            <w:shd w:val="clear" w:color="auto" w:fill="auto"/>
            <w:noWrap/>
            <w:hideMark/>
          </w:tcPr>
          <w:p w14:paraId="069A9E9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201 (81)</w:t>
            </w:r>
          </w:p>
        </w:tc>
        <w:tc>
          <w:tcPr>
            <w:tcW w:w="1623" w:type="dxa"/>
            <w:gridSpan w:val="2"/>
            <w:tcBorders>
              <w:bottom w:val="single" w:sz="4" w:space="0" w:color="auto"/>
            </w:tcBorders>
            <w:shd w:val="clear" w:color="auto" w:fill="auto"/>
            <w:noWrap/>
            <w:hideMark/>
          </w:tcPr>
          <w:p w14:paraId="74C2D2C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65 (22-83)</w:t>
            </w:r>
          </w:p>
        </w:tc>
        <w:tc>
          <w:tcPr>
            <w:tcW w:w="1379" w:type="dxa"/>
            <w:tcBorders>
              <w:bottom w:val="single" w:sz="4" w:space="0" w:color="auto"/>
            </w:tcBorders>
            <w:shd w:val="clear" w:color="auto" w:fill="auto"/>
            <w:noWrap/>
            <w:hideMark/>
          </w:tcPr>
          <w:p w14:paraId="711C366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249 (100)</w:t>
            </w:r>
          </w:p>
        </w:tc>
        <w:tc>
          <w:tcPr>
            <w:tcW w:w="797" w:type="dxa"/>
            <w:tcBorders>
              <w:bottom w:val="single" w:sz="4" w:space="0" w:color="auto"/>
            </w:tcBorders>
            <w:shd w:val="clear" w:color="auto" w:fill="auto"/>
            <w:noWrap/>
            <w:hideMark/>
          </w:tcPr>
          <w:p w14:paraId="625F72F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29 (12)</w:t>
            </w:r>
          </w:p>
        </w:tc>
      </w:tr>
      <w:tr w:rsidR="001A6F97" w:rsidRPr="00BA62DB" w14:paraId="688EECAE" w14:textId="77777777" w:rsidTr="00DF4D7C">
        <w:trPr>
          <w:trHeight w:val="255"/>
        </w:trPr>
        <w:tc>
          <w:tcPr>
            <w:tcW w:w="3008" w:type="dxa"/>
            <w:gridSpan w:val="2"/>
            <w:tcBorders>
              <w:top w:val="single" w:sz="4" w:space="0" w:color="auto"/>
              <w:bottom w:val="single" w:sz="4" w:space="0" w:color="auto"/>
            </w:tcBorders>
            <w:shd w:val="clear" w:color="auto" w:fill="auto"/>
            <w:noWrap/>
          </w:tcPr>
          <w:p w14:paraId="4E1B3630"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w:hAnsi="Times New Roman"/>
                <w:bCs/>
                <w:sz w:val="16"/>
                <w:szCs w:val="24"/>
                <w:lang w:val="en-US"/>
              </w:rPr>
              <w:lastRenderedPageBreak/>
              <w:t>Supplementary table 2. (continued)</w:t>
            </w:r>
          </w:p>
        </w:tc>
        <w:tc>
          <w:tcPr>
            <w:tcW w:w="1708" w:type="dxa"/>
            <w:gridSpan w:val="2"/>
            <w:tcBorders>
              <w:top w:val="single" w:sz="4" w:space="0" w:color="auto"/>
              <w:bottom w:val="single" w:sz="4" w:space="0" w:color="auto"/>
            </w:tcBorders>
            <w:shd w:val="clear" w:color="auto" w:fill="auto"/>
            <w:noWrap/>
          </w:tcPr>
          <w:p w14:paraId="04FAAD54"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p>
        </w:tc>
        <w:tc>
          <w:tcPr>
            <w:tcW w:w="1322" w:type="dxa"/>
            <w:tcBorders>
              <w:top w:val="single" w:sz="4" w:space="0" w:color="auto"/>
              <w:bottom w:val="single" w:sz="4" w:space="0" w:color="auto"/>
            </w:tcBorders>
            <w:shd w:val="clear" w:color="auto" w:fill="auto"/>
            <w:noWrap/>
          </w:tcPr>
          <w:p w14:paraId="1FD8137C"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623" w:type="dxa"/>
            <w:gridSpan w:val="2"/>
            <w:tcBorders>
              <w:top w:val="single" w:sz="4" w:space="0" w:color="auto"/>
              <w:bottom w:val="single" w:sz="4" w:space="0" w:color="auto"/>
            </w:tcBorders>
            <w:shd w:val="clear" w:color="auto" w:fill="auto"/>
            <w:noWrap/>
          </w:tcPr>
          <w:p w14:paraId="3F7036B7"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379" w:type="dxa"/>
            <w:tcBorders>
              <w:top w:val="single" w:sz="4" w:space="0" w:color="auto"/>
              <w:bottom w:val="single" w:sz="4" w:space="0" w:color="auto"/>
            </w:tcBorders>
            <w:shd w:val="clear" w:color="auto" w:fill="auto"/>
            <w:noWrap/>
          </w:tcPr>
          <w:p w14:paraId="4EEFECF0"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797" w:type="dxa"/>
            <w:tcBorders>
              <w:top w:val="single" w:sz="4" w:space="0" w:color="auto"/>
              <w:bottom w:val="single" w:sz="4" w:space="0" w:color="auto"/>
            </w:tcBorders>
            <w:shd w:val="clear" w:color="auto" w:fill="auto"/>
            <w:noWrap/>
          </w:tcPr>
          <w:p w14:paraId="65618096"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r>
      <w:tr w:rsidR="001A6F97" w:rsidRPr="001F70C0" w14:paraId="4639B848" w14:textId="77777777" w:rsidTr="00DF4D7C">
        <w:trPr>
          <w:trHeight w:val="255"/>
        </w:trPr>
        <w:tc>
          <w:tcPr>
            <w:tcW w:w="2552" w:type="dxa"/>
            <w:tcBorders>
              <w:top w:val="single" w:sz="4" w:space="0" w:color="auto"/>
              <w:bottom w:val="single" w:sz="4" w:space="0" w:color="auto"/>
            </w:tcBorders>
            <w:shd w:val="clear" w:color="auto" w:fill="auto"/>
            <w:noWrap/>
          </w:tcPr>
          <w:p w14:paraId="4E1AC885" w14:textId="77777777" w:rsidR="001A6F97" w:rsidRPr="001F70C0"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New Roman" w:hAnsi="Times New Roman"/>
                <w:bCs/>
                <w:color w:val="000000"/>
                <w:sz w:val="16"/>
                <w:szCs w:val="16"/>
                <w:lang w:val="en-US"/>
              </w:rPr>
              <w:t>Studies</w:t>
            </w:r>
          </w:p>
        </w:tc>
        <w:tc>
          <w:tcPr>
            <w:tcW w:w="456" w:type="dxa"/>
            <w:tcBorders>
              <w:top w:val="single" w:sz="4" w:space="0" w:color="auto"/>
              <w:bottom w:val="single" w:sz="4" w:space="0" w:color="auto"/>
            </w:tcBorders>
            <w:shd w:val="clear" w:color="auto" w:fill="auto"/>
            <w:noWrap/>
          </w:tcPr>
          <w:p w14:paraId="748B7313"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No.</w:t>
            </w:r>
          </w:p>
        </w:tc>
        <w:tc>
          <w:tcPr>
            <w:tcW w:w="1708" w:type="dxa"/>
            <w:gridSpan w:val="2"/>
            <w:tcBorders>
              <w:top w:val="single" w:sz="4" w:space="0" w:color="auto"/>
              <w:bottom w:val="single" w:sz="4" w:space="0" w:color="auto"/>
            </w:tcBorders>
            <w:shd w:val="clear" w:color="auto" w:fill="auto"/>
            <w:noWrap/>
          </w:tcPr>
          <w:p w14:paraId="24CA9B29"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322" w:type="dxa"/>
            <w:tcBorders>
              <w:top w:val="single" w:sz="4" w:space="0" w:color="auto"/>
              <w:bottom w:val="single" w:sz="4" w:space="0" w:color="auto"/>
            </w:tcBorders>
            <w:shd w:val="clear" w:color="auto" w:fill="auto"/>
            <w:noWrap/>
          </w:tcPr>
          <w:p w14:paraId="0BAF4618"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5E20C429"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1623" w:type="dxa"/>
            <w:gridSpan w:val="2"/>
            <w:tcBorders>
              <w:top w:val="single" w:sz="4" w:space="0" w:color="auto"/>
              <w:bottom w:val="single" w:sz="4" w:space="0" w:color="auto"/>
            </w:tcBorders>
            <w:shd w:val="clear" w:color="auto" w:fill="auto"/>
            <w:noWrap/>
          </w:tcPr>
          <w:p w14:paraId="2A1230A3"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16E0AB98"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Median (range)</w:t>
            </w:r>
          </w:p>
        </w:tc>
        <w:tc>
          <w:tcPr>
            <w:tcW w:w="1379" w:type="dxa"/>
            <w:tcBorders>
              <w:top w:val="single" w:sz="4" w:space="0" w:color="auto"/>
              <w:bottom w:val="single" w:sz="4" w:space="0" w:color="auto"/>
            </w:tcBorders>
            <w:shd w:val="clear" w:color="auto" w:fill="auto"/>
            <w:noWrap/>
          </w:tcPr>
          <w:p w14:paraId="4423998B"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24C65399"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797" w:type="dxa"/>
            <w:tcBorders>
              <w:top w:val="single" w:sz="4" w:space="0" w:color="auto"/>
              <w:bottom w:val="single" w:sz="4" w:space="0" w:color="auto"/>
            </w:tcBorders>
            <w:shd w:val="clear" w:color="auto" w:fill="auto"/>
            <w:noWrap/>
          </w:tcPr>
          <w:p w14:paraId="6781CFD9"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WHO&gt;2 </w:t>
            </w:r>
          </w:p>
          <w:p w14:paraId="7A0FABAB"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r>
      <w:tr w:rsidR="00B61A3A" w:rsidRPr="00BA62DB" w14:paraId="30555A08" w14:textId="77777777" w:rsidTr="00B61A3A">
        <w:trPr>
          <w:trHeight w:val="255"/>
        </w:trPr>
        <w:tc>
          <w:tcPr>
            <w:tcW w:w="2552" w:type="dxa"/>
            <w:shd w:val="clear" w:color="auto" w:fill="auto"/>
            <w:noWrap/>
            <w:hideMark/>
          </w:tcPr>
          <w:p w14:paraId="2A3BC342" w14:textId="31EA21BB" w:rsidR="00B61A3A" w:rsidRPr="00F72E17"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Roth 2007</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{"citationItems":[{"id":"ITEM-1","itemData":{"DOI":"10.1200/JCO.2006.08.0135","ISBN":"0732183X (ISSN)","ISSN":"0732183X","PMID":"17664469","abstract":"This randomized phase II trial evaluated two docetaxel-based regimens to see which would be most promising according to overall response rate (ORR) for comparison in a phase III trial with epirubicin-cisplatin-fluorouracil (ECF) as first-line advanced gastric cancer therapy.","author":[{"dropping-particle":"","family":"Roth","given":"Arnaud D.","non-dropping-particle":"","parse-names":false,"suffix":""},{"dropping-particle":"","family":"Fazio","given":"Nicola","non-dropping-particle":"","parse-names":false,"suffix":""},{"dropping-particle":"","family":"Stupp","given":"Roger","non-dropping-particle":"","parse-names":false,"suffix":""},{"dropping-particle":"","family":"Falk","given":"Stephen","non-dropping-particle":"","parse-names":false,"suffix":""},{"dropping-particle":"","family":"Bernhard","given":"Jürg","non-dropping-particle":"","parse-names":false,"suffix":""},{"dropping-particle":"","family":"Saletti","given":"Piercarlo","non-dropping-particle":"","parse-names":false,"suffix":""},{"dropping-particle":"","family":"Köberle","given":"Dieter","non-dropping-particle":"","parse-names":false,"suffix":""},{"dropping-particle":"","family":"Borner","given":"Markus M.","non-dropping-particle":"","parse-names":false,"suffix":""},{"dropping-particle":"","family":"Rufibach","given":"Kaspar","non-dropping-particle":"","parse-names":false,"suffix":""},{"dropping-particle":"","family":"Maibach","given":"Rudolf","non-dropping-particle":"","parse-names":false,"suffix":""},{"dropping-particle":"","family":"Wernli","given":"Martin","non-dropping-particle":"","parse-names":false,"suffix":""},{"dropping-particle":"","family":"Leslie","given":"Martin","non-dropping-particle":"","parse-names":false,"suffix":""},{"dropping-particle":"","family":"Glynne-Jones","given":"Robert","non-dropping-particle":"","parse-names":false,"suffix":""},{"dropping-particle":"","family":"Widmer","given":"Lukas","non-dropping-particle":"","parse-names":false,"suffix":""},{"dropping-particle":"","family":"Seymour","given":"Matthew","non-dropping-particle":"","parse-names":false,"suffix":""},{"dropping-particle":"","family":"Braud","given":"Filippo","non-dropping-particle":"De","parse-names":false,"suffix":""}],"container-title":"Journal of Clinical Oncology","id":"ITEM-1","issue":"22","issued":{"date-parts":[["2007"]]},"page":"3217-3223","title":"Docetaxel, cisplatin, and fluorouracil; docetaxel and cisplatin; and epirubicin, cisplatin, and fluorouracil as systemic treatment for advanced gastric carcinoma: A randomized phase II trial of the Swiss group for clinical cancer research","type":"article-journal","volume":"25"},"uris":["http://www.mendeley.com/documents/?uuid=f396a520-e740-4a4a-bd40-7a3469e7c8eb"]}],"mendeley":{"formattedCitation":"[55]","plainTextFormattedCitation":"[55]","previouslyFormattedCitation":"[55]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[55]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51BE7F17"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40</w:t>
            </w:r>
          </w:p>
        </w:tc>
        <w:tc>
          <w:tcPr>
            <w:tcW w:w="1708" w:type="dxa"/>
            <w:gridSpan w:val="2"/>
            <w:shd w:val="clear" w:color="auto" w:fill="auto"/>
            <w:noWrap/>
            <w:hideMark/>
          </w:tcPr>
          <w:p w14:paraId="141E641C"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Epi+Cis+5-FU</w:t>
            </w:r>
          </w:p>
        </w:tc>
        <w:tc>
          <w:tcPr>
            <w:tcW w:w="1322" w:type="dxa"/>
            <w:shd w:val="clear" w:color="auto" w:fill="auto"/>
            <w:noWrap/>
            <w:hideMark/>
          </w:tcPr>
          <w:p w14:paraId="6CF335F9"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30 (75)</w:t>
            </w:r>
          </w:p>
        </w:tc>
        <w:tc>
          <w:tcPr>
            <w:tcW w:w="1623" w:type="dxa"/>
            <w:gridSpan w:val="2"/>
            <w:shd w:val="clear" w:color="auto" w:fill="auto"/>
            <w:noWrap/>
            <w:hideMark/>
          </w:tcPr>
          <w:p w14:paraId="496A8D50"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59 (32-71)</w:t>
            </w:r>
          </w:p>
        </w:tc>
        <w:tc>
          <w:tcPr>
            <w:tcW w:w="1379" w:type="dxa"/>
            <w:shd w:val="clear" w:color="auto" w:fill="auto"/>
            <w:noWrap/>
            <w:hideMark/>
          </w:tcPr>
          <w:p w14:paraId="17BC19A5"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33 (83)</w:t>
            </w:r>
          </w:p>
        </w:tc>
        <w:tc>
          <w:tcPr>
            <w:tcW w:w="797" w:type="dxa"/>
            <w:shd w:val="clear" w:color="auto" w:fill="auto"/>
            <w:noWrap/>
            <w:hideMark/>
          </w:tcPr>
          <w:p w14:paraId="263091C8"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0 (0)</w:t>
            </w:r>
          </w:p>
        </w:tc>
      </w:tr>
      <w:tr w:rsidR="00B61A3A" w:rsidRPr="007D2E2F" w14:paraId="16194862" w14:textId="77777777" w:rsidTr="00B61A3A">
        <w:trPr>
          <w:trHeight w:val="255"/>
        </w:trPr>
        <w:tc>
          <w:tcPr>
            <w:tcW w:w="2552" w:type="dxa"/>
            <w:shd w:val="clear" w:color="auto" w:fill="auto"/>
            <w:noWrap/>
            <w:hideMark/>
          </w:tcPr>
          <w:p w14:paraId="556BBD78" w14:textId="6842B71F" w:rsidR="00B61A3A" w:rsidRPr="007D2E2F" w:rsidRDefault="00B61A3A" w:rsidP="00B61A3A">
            <w:pPr>
              <w:spacing w:before="240" w:line="360" w:lineRule="auto"/>
              <w:rPr>
                <w:rFonts w:ascii="Times New Roman" w:eastAsia="Times New Roman" w:hAnsi="Times New Roman"/>
                <w:b/>
                <w:color w:val="000000"/>
                <w:sz w:val="16"/>
                <w:szCs w:val="16"/>
              </w:rPr>
            </w:pPr>
            <w:proofErr w:type="spellStart"/>
            <w:r w:rsidRPr="00F72E17">
              <w:rPr>
                <w:rFonts w:ascii="Times New Roman" w:eastAsia="Times New Roman" w:hAnsi="Times New Roman"/>
                <w:b/>
                <w:color w:val="000000"/>
                <w:sz w:val="16"/>
                <w:szCs w:val="16"/>
                <w:lang w:val="en-US"/>
              </w:rPr>
              <w:t>Thuss</w:t>
            </w:r>
            <w:proofErr w:type="spellEnd"/>
            <w:r w:rsidRPr="00F72E17">
              <w:rPr>
                <w:rFonts w:ascii="Times New Roman" w:eastAsia="Times New Roman" w:hAnsi="Times New Roman"/>
                <w:b/>
                <w:color w:val="000000"/>
                <w:sz w:val="16"/>
                <w:szCs w:val="16"/>
                <w:lang w:val="en-US"/>
              </w:rPr>
              <w:t xml:space="preserve">-patience 2005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{"citationItems":[{"id":"ITEM-1","itemData":{"DOI":"10.1200/JCO.2005.02.163","ISSN":"0732-183X","PMID":"15659494","abstract":"PURPOSE: A combination of docetaxel and fluorouracil (DF) was evaluated in an outpatient setting and compared with epirubicin, cisplatin, and fluorouracil (ECF), which served as an internal control arm to avoid selection bias.\n\nPATIENTS AND METHODS: Patients with metastatic or locally advanced gastric adenocarcinoma without prior chemotherapy were randomly assigned to receive either ECF (epirubicin 50 mg/m(2) day 1, cisplatin 60 mg/m(2) day 1, and fluorouracil 200 mg/m(2) days 1 through 21, every 3 weeks) or DF (docetaxel 75 mg/m(2) day 1, and fluorouracil 200 mg/m(2) days 1 through 21, every 3 weeks).\n\nRESULTS: Ninety patients were randomly assigned. Toxicity was rarely severe. Major toxic effects included diarrhea, stomatitis, and leukopenia in the DF arm and nausea, vomiting, and leukopenia in the ECF arm. Forty-three of 45 patients in each arm were assessable. In the DF arm, two patients (4.4%, intent to treat) experienced a confirmed complete tumor remission as best response, and 15 patients (33.3%) experienced a confirmed partial remission (overall response rate [ORR], 37.8%; 95% CI, 25.9% to 51.9%). Two patients (4.4%) in the ECF arm showed confirmed complete remission, and 14 (31.1%) showed confirmed partial remission (ORR, 35.6%; 95% CI, 24.8% to 48.7%). For the DF and ECF arms, the median survival was 9.5 and 9.7 months, and the median time to tumor progression 5.5 and 5.3 months, respectively.\n\nCONCLUSION: DF can be safely given in an ambulant setting. Compared with ECF, the dual combination of DF shows promising efficacy and may be an alternative treatment option that avoids cisplatin.","author":[{"dropping-particle":"","family":"Thuss-Patience","given":"Peter C","non-dropping-particle":"","parse-names":false,"suffix":""},{"dropping-particle":"","family":"Kretzschmar","given":"Albrecht","non-dropping-particle":"","parse-names":false,"suffix":""},{"dropping-particle":"","family":"Repp","given":"Michael","non-dropping-particle":"","parse-names":false,"suffix":""},{"dropping-particle":"","family":"Kingreen","given":"Dorothea","non-dropping-particle":"","parse-names":false,"suffix":""},{"dropping-particle":"","family":"Hennesser","given":"Dirk","non-dropping-particle":"","parse-names":false,"suffix":""},{"dropping-particle":"","family":"Micheel","given":"Simone","non-dropping-particle":"","parse-names":false,"suffix":""},{"dropping-particle":"","family":"Pink","given":"Daniel","non-dropping-particle":"","parse-names":false,"suffix":""},{"dropping-particle":"","family":"Scholz","given":"Christian","non-dropping-particle":"","parse-names":false,"suffix":""},{"dropping-particle":"","family":"Dörken","given":"Bernd","non-dropping-particle":"","parse-names":false,"suffix":""},{"dropping-particle":"","family":"Reichardt","given":"Peter","non-dropping-particle":"","parse-names":false,"suffix":""}],"container-title":"Journal of clinical oncology : official journal of the American Society of Clinical Oncology","id":"ITEM-1","issue":"3","issued":{"date-parts":[["2005","1","20"]]},"page":"494-501","title":"Docetaxel and continuous-infusion fluorouracil versus epirubicin, cisplatin, and fluorouracil for advanced gastric adenocarcinoma: a randomized phase II study.","type":"article-journal","volume":"23"},"uris":["http://www.mendeley.com/documents/?uuid=f0eb7487-c18e-4cdb-b59f-9e2ea206377b"]}],"mendeley":{"formattedCitation":"[69]","plainTextFormattedCitation":"[69]","previouslyFormattedCitation":"[69]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150994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45</w:t>
            </w:r>
          </w:p>
        </w:tc>
        <w:tc>
          <w:tcPr>
            <w:tcW w:w="1708" w:type="dxa"/>
            <w:gridSpan w:val="2"/>
            <w:shd w:val="clear" w:color="auto" w:fill="auto"/>
            <w:noWrap/>
            <w:hideMark/>
          </w:tcPr>
          <w:p w14:paraId="2C144BB3"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w:t>
            </w:r>
          </w:p>
        </w:tc>
        <w:tc>
          <w:tcPr>
            <w:tcW w:w="1322" w:type="dxa"/>
            <w:shd w:val="clear" w:color="auto" w:fill="auto"/>
            <w:noWrap/>
            <w:hideMark/>
          </w:tcPr>
          <w:p w14:paraId="21A8D9E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36 (80)</w:t>
            </w:r>
          </w:p>
        </w:tc>
        <w:tc>
          <w:tcPr>
            <w:tcW w:w="1623" w:type="dxa"/>
            <w:gridSpan w:val="2"/>
            <w:shd w:val="clear" w:color="auto" w:fill="auto"/>
            <w:noWrap/>
            <w:hideMark/>
          </w:tcPr>
          <w:p w14:paraId="65BB945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63 (33-75)</w:t>
            </w:r>
          </w:p>
        </w:tc>
        <w:tc>
          <w:tcPr>
            <w:tcW w:w="1379" w:type="dxa"/>
            <w:shd w:val="clear" w:color="auto" w:fill="auto"/>
            <w:noWrap/>
            <w:hideMark/>
          </w:tcPr>
          <w:p w14:paraId="68375E6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44 (98)</w:t>
            </w:r>
          </w:p>
        </w:tc>
        <w:tc>
          <w:tcPr>
            <w:tcW w:w="797" w:type="dxa"/>
            <w:shd w:val="clear" w:color="auto" w:fill="auto"/>
            <w:noWrap/>
            <w:hideMark/>
          </w:tcPr>
          <w:p w14:paraId="2F2E164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 (2)</w:t>
            </w:r>
          </w:p>
        </w:tc>
      </w:tr>
      <w:tr w:rsidR="00B61A3A" w:rsidRPr="007D2E2F" w14:paraId="557E3798" w14:textId="77777777" w:rsidTr="00B61A3A">
        <w:trPr>
          <w:trHeight w:val="255"/>
        </w:trPr>
        <w:tc>
          <w:tcPr>
            <w:tcW w:w="2552" w:type="dxa"/>
            <w:shd w:val="clear" w:color="auto" w:fill="auto"/>
            <w:noWrap/>
            <w:hideMark/>
          </w:tcPr>
          <w:p w14:paraId="62FA9FFB" w14:textId="11F3FF54"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Cocconi 1994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{"citationItems":[{"id":"ITEM-1","itemData":{"DOI":"10.1200/JCO.1994.12.12.2687","ISSN":"0732-183X","PMID":"7989945","abstract":"PURPOSE The combination of cisplatin, epirubicin, and leucovorin preceding fluorouracil (PELF) includes three novel agents compared with the standard combination of fluorouracil, doxorubicin, and mitomycin (FAM) in the treatment of advanced gastric carcinoma. We report the results of a prospective randomized comparison of the two combinations in previously untreated patients. PATIENTS AND METHODS One hundred thirty assessable patients were entered onto the trial; 52 received FAM and 85 PELF. A 1:2 unbalanced randomization in favor of the experimental treatment was chosen. Approximately 90% of patients had measurable tumor masses. RESULTS The overall response rates (complete responses [CRs] and partial responses [PRs]) were 15% and 43% for the FAM and the PELF regimens, respectively, with a statistically significant advantage for the experimental treatment (P = .001). Time to progression (median, 2.6 and 4.7 months), duration of response (median, 10.7 and 10.2 months), and survival durations (median, 5.6 and 8.1 months) were not significantly different between the FAM and PELF regimens, respectively. The PELF combination was more toxic compared with FAM, but generally tolerable. CONCLUSION This study showed that the PELF combination is about three times more effective than the FAM combination in inducing objective responses. Due to tolerability, it is not recommended for routine clinical use. However, it should be considered, among other second-generation chemotherapy combinations, in future randomized studies aimed to improve the therapeutic outcome in gastric carcinoma.","author":[{"dropping-particle":"","family":"Cocconi","given":"G","non-dropping-particle":"","parse-names":false,"suffix":""},{"dropping-particle":"","family":"Bella","given":"M","non-dropping-particle":"","parse-names":false,"suffix":""},{"dropping-particle":"","family":"Zironi","given":"S","non-dropping-particle":"","parse-names":false,"suffix":""},{"dropping-particle":"","family":"Algeri","given":"R","non-dropping-particle":"","parse-names":false,"suffix":""},{"dropping-particle":"","family":"Costanzo","given":"F","non-dropping-particle":"Di","parse-names":false,"suffix":""},{"dropping-particle":"","family":"Lisi","given":"V","non-dropping-particle":"De","parse-names":false,"suffix":""},{"dropping-particle":"","family":"Luppi","given":"G","non-dropping-particle":"","parse-names":false,"suffix":""},{"dropping-particle":"","family":"Mazzocchi","given":"B","non-dropping-particle":"","parse-names":false,"suffix":""},{"dropping-particle":"","family":"Rodinò","given":"C","non-dropping-particle":"","parse-names":false,"suffix":""},{"dropping-particle":"","family":"Soldani","given":"M","non-dropping-particle":"","parse-names":false,"suffix":""}],"container-title":"Journal of clinical oncology : official journal of the American Society of Clinical Oncology","id":"ITEM-1","issue":"12","issued":{"date-parts":[["1994","12"]]},"page":"2687-93","title":"Fluorouracil, doxorubicin, and mitomycin combination versus PELF chemotherapy in advanced gastric cancer: a prospective randomized trial of the Italian Oncology Group for Clinical Research.","type":"article-journal","volume":"12"},"uris":["http://www.mendeley.com/documents/?uuid=af2fa9ee-3aa5-4efa-9b4c-a03e35d2d3d0","http://www.mendeley.com/documents/?uuid=fc65342b-705b-4e41-84be-53ea61918e0f"]}],"mendeley":{"formattedCitation":"[79]","plainTextFormattedCitation":"[79]","previouslyFormattedCitation":"[79]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[79]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3D84BDB"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85</w:t>
            </w:r>
          </w:p>
        </w:tc>
        <w:tc>
          <w:tcPr>
            <w:tcW w:w="1708" w:type="dxa"/>
            <w:gridSpan w:val="2"/>
            <w:shd w:val="clear" w:color="auto" w:fill="auto"/>
            <w:noWrap/>
            <w:hideMark/>
          </w:tcPr>
          <w:p w14:paraId="5BE2EB1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Epi+Cis+5-FU/LV</w:t>
            </w:r>
          </w:p>
        </w:tc>
        <w:tc>
          <w:tcPr>
            <w:tcW w:w="1322" w:type="dxa"/>
            <w:shd w:val="clear" w:color="auto" w:fill="auto"/>
            <w:noWrap/>
            <w:hideMark/>
          </w:tcPr>
          <w:p w14:paraId="2B60FB9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623" w:type="dxa"/>
            <w:gridSpan w:val="2"/>
            <w:shd w:val="clear" w:color="auto" w:fill="auto"/>
            <w:noWrap/>
            <w:hideMark/>
          </w:tcPr>
          <w:p w14:paraId="429F9DF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379" w:type="dxa"/>
            <w:shd w:val="clear" w:color="auto" w:fill="auto"/>
            <w:noWrap/>
            <w:hideMark/>
          </w:tcPr>
          <w:p w14:paraId="007C516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3C4C484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7D2E2F" w14:paraId="286596B7" w14:textId="77777777" w:rsidTr="00B61A3A">
        <w:trPr>
          <w:trHeight w:val="255"/>
        </w:trPr>
        <w:tc>
          <w:tcPr>
            <w:tcW w:w="2552" w:type="dxa"/>
            <w:shd w:val="clear" w:color="auto" w:fill="auto"/>
            <w:noWrap/>
            <w:hideMark/>
          </w:tcPr>
          <w:p w14:paraId="6627990F" w14:textId="2474F988"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Icli 1998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{"citationItems":[{"id":"ITEM-1","itemData":{"ISBN":"0008-543X (Print)\\r0008-543X (Linking)","ISSN":"0008-543X","PMID":"9874451","abstract":"BACKGROUND: Gastric carcinoma is a substantial health problem in Turkey, and the majority of patients present with inoperable disease. The aim of this randomized trial was to assess the activity of 5-fluorouracil versus etoposide when combined with epirubicin plus cisplatin in patients with advanced gastric carcinoma (AGC). METHODS: In this prospective, randomized, multicenter Phase III study, previously untreated patients with histopathologically proven AGC enrolled after giving informed consent. Patients were allocated to receive either EEP (etoposide 120 mg/m2, epirubicin 30 mg/m2, and cisplatin 40 mg/m2 on Days 1 and 8) or FEP (5-fluorouracil 600 mg/m2, epirubicin 60 mg/m2, and cisplatin 80 mg/m2 on Day 1), and the regimens were to be repeated every fourth week. RESULTS: Of a total of 131 eligible patients, 64 were in the EEP group and 67 were in the FEP group. The objective response (complete + partial) rates for evaluable patients (n = 118) were comparable (P = 0.63) in the EEP (20.3%, 12/59) and FEP (15.3%, 9/59) groups, respectively. Actuarial analyses revealed comparable median progression free survival (6 vs. 7 months, P &gt; 0.05) and overall survival (6 vs. 5 months, P &gt; 0.05) duration in the EEP and FEP groups. Both regimens were well tolerated. The most common toxicity was Grade 1-2 nausea with or without vomiting. No chemotherapy-related death occurred. CONCLUSIONS: The current study resulted in inadequate response rates for EEP and FEP regimens. Neither combination, as used at the doses and schedules in this study, can be recommended as standard treatment for patients with AGC.","author":[{"dropping-particle":"","family":"Icli","given":"F","non-dropping-particle":"","parse-names":false,"suffix":""},{"dropping-particle":"","family":"Celik","given":"I","non-dropping-particle":"","parse-names":false,"suffix":""},{"dropping-particle":"","family":"Aykan","given":"F","non-dropping-particle":"","parse-names":false,"suffix":""},{"dropping-particle":"","family":"Uner","given":"A","non-dropping-particle":"","parse-names":false,"suffix":""},{"dropping-particle":"","family":"Demirkazik","given":"A","non-dropping-particle":"","parse-names":false,"suffix":""},{"dropping-particle":"","family":"Ozet","given":"A","non-dropping-particle":"","parse-names":false,"suffix":""},{"dropping-particle":"","family":"Ozguroglu","given":"M","non-dropping-particle":"","parse-names":false,"suffix":""},{"dropping-particle":"","family":"Tas","given":"F","non-dropping-particle":"","parse-names":false,"suffix":""},{"dropping-particle":"","family":"Akbulut","given":"H","non-dropping-particle":"","parse-names":false,"suffix":""},{"dropping-particle":"","family":"Firat","given":"D","non-dropping-particle":"","parse-names":false,"suffix":""}],"container-title":"Cancer","id":"ITEM-1","issue":"12","issued":{"date-parts":[["1998"]]},"page":"2475-2480","title":"A randomized Phase III trial of etoposide, epirubicin, and cisplatin versus 5-fluorouracil, epirubicin, and cisplatin in the treatment of patients with advanced gastric carcinoma. Turkish Oncology Group","type":"article-journal","volume":"83"},"uris":["http://www.mendeley.com/documents/?uuid=78e7acc1-e070-46ea-a725-57344c3b7a2e"]}],"mendeley":{"formattedCitation":"[80]","plainTextFormattedCitation":"[80]","previouslyFormattedCitation":"[80]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[80]</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827C24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67</w:t>
            </w:r>
          </w:p>
        </w:tc>
        <w:tc>
          <w:tcPr>
            <w:tcW w:w="1708" w:type="dxa"/>
            <w:gridSpan w:val="2"/>
            <w:shd w:val="clear" w:color="auto" w:fill="auto"/>
            <w:noWrap/>
            <w:hideMark/>
          </w:tcPr>
          <w:p w14:paraId="48559C0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w:t>
            </w:r>
          </w:p>
        </w:tc>
        <w:tc>
          <w:tcPr>
            <w:tcW w:w="1322" w:type="dxa"/>
            <w:shd w:val="clear" w:color="auto" w:fill="auto"/>
            <w:noWrap/>
            <w:hideMark/>
          </w:tcPr>
          <w:p w14:paraId="174F77C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40 (60)</w:t>
            </w:r>
          </w:p>
        </w:tc>
        <w:tc>
          <w:tcPr>
            <w:tcW w:w="1623" w:type="dxa"/>
            <w:gridSpan w:val="2"/>
            <w:shd w:val="clear" w:color="auto" w:fill="auto"/>
            <w:noWrap/>
            <w:hideMark/>
          </w:tcPr>
          <w:p w14:paraId="5EB3192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53 (24-67)</w:t>
            </w:r>
          </w:p>
        </w:tc>
        <w:tc>
          <w:tcPr>
            <w:tcW w:w="1379" w:type="dxa"/>
            <w:shd w:val="clear" w:color="auto" w:fill="auto"/>
            <w:noWrap/>
            <w:hideMark/>
          </w:tcPr>
          <w:p w14:paraId="17D9FEA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53 (79)</w:t>
            </w:r>
          </w:p>
        </w:tc>
        <w:tc>
          <w:tcPr>
            <w:tcW w:w="797" w:type="dxa"/>
            <w:shd w:val="clear" w:color="auto" w:fill="auto"/>
            <w:noWrap/>
            <w:hideMark/>
          </w:tcPr>
          <w:p w14:paraId="210A6F8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21 (31)</w:t>
            </w:r>
          </w:p>
        </w:tc>
      </w:tr>
      <w:tr w:rsidR="00B61A3A" w:rsidRPr="007D2E2F" w14:paraId="5BDC90F1" w14:textId="77777777" w:rsidTr="00B61A3A">
        <w:trPr>
          <w:trHeight w:val="255"/>
        </w:trPr>
        <w:tc>
          <w:tcPr>
            <w:tcW w:w="2552" w:type="dxa"/>
            <w:shd w:val="clear" w:color="auto" w:fill="auto"/>
            <w:noWrap/>
            <w:hideMark/>
          </w:tcPr>
          <w:p w14:paraId="5C53A9F1" w14:textId="4F6C626A"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Ross 2002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{"citationItems":[{"id":"ITEM-1","itemData":{"DOI":"10.1200/JCO.2002.08.105","ISBN":"0732183X (ISSN)","ISSN":"0732183X","PMID":"11956258","abstract":"PURPOSE: We report the results of a prospectively randomized study that compared the combination of epirubicin, cisplatin, and protracted venous-infusion fluorouracil (PVI 5-FU) (ECF) with the combination of mitomycin, cisplatin, and PVI 5-FU (MCF) in previously untreated patients with advanced esophagogastric cancer. PATIENTS AND METHODS: Five hundred eighty patients with adenocarcinoma, squamous carcinoma, or undifferentiated carcinoma were randomized to receive either ECF (epirubicin 50 mg/m(2) every 3 weeks, cisplatin 60 mg/m(2) every 3 weeks and PVI 5-FU 200 mg/m(2)/d) or MCF (mitomycin 7 mg/m(2) every 6 weeks, cisplatin 60 mg/m(2) every 3 weeks, and PVI 5-FU 300 mg/m(2)/d) and analyzed for survival, response, toxicity, and quality of life (QOL). RESULTS: The overall response rate was 42.4% (95% confidence interval [CI], 37% to 48%) with ECF and 44.1% (95% CI, 38% to 50%) with MCF (P =.692). Toxicity was tolerable, and there were only two toxic deaths. ECF resulted in more grade 3/4 neutropenia and grade 2 alopecia, but MCF caused more thrombocytopenia and plantar-palmar erythema. Median survival was 9.4 months with ECF and 8.7 months with MCF (P =.315); at 1 year, 40.2% (95% CI, 34% to 46%) of ECF and 32.7% (95% CI, 27% to 38%) of MCF patients were alive. Median failure-free survival was 7 months with both regimens. Global QOL scores were better with ECF at 3 and 6 months. CONCLUSION: This study confirms response, survival, and QOL benefits of ECF observed in a previous randomized study. The equivalent efficacy of MCF was demonstrated, but QOL was superior with ECF. ECF remains one of the reference treatments for advanced esophagogastric cancer.","author":[{"dropping-particle":"","family":"Ross","given":"P.","non-dropping-particle":"","parse-names":false,"suffix":""},{"dropping-particle":"","family":"Nicolson","given":"M.","non-dropping-particle":"","parse-names":false,"suffix":""},{"dropping-particle":"","family":"Cunningham","given":"D.","non-dropping-particle":"","parse-names":false,"suffix":""},{"dropping-particle":"","family":"Valle","given":"J.","non-dropping-particle":"","parse-names":false,"suffix":""},{"dropping-particle":"","family":"Seymour","given":"M.","non-dropping-particle":"","parse-names":false,"suffix":""},{"dropping-particle":"","family":"Harper","given":"P.","non-dropping-particle":"","parse-names":false,"suffix":""},{"dropping-particle":"","family":"Price","given":"T.","non-dropping-particle":"","parse-names":false,"suffix":""},{"dropping-particle":"","family":"Anderson","given":"H.","non-dropping-particle":"","parse-names":false,"suffix":""},{"dropping-particle":"","family":"Iveson","given":"T.","non-dropping-particle":"","parse-names":false,"suffix":""},{"dropping-particle":"","family":"Hickish","given":"T.","non-dropping-particle":"","parse-names":false,"suffix":""},{"dropping-particle":"","family":"Lofts","given":"F.","non-dropping-particle":"","parse-names":false,"suffix":""},{"dropping-particle":"","family":"Norman","given":"A.","non-dropping-particle":"","parse-names":false,"suffix":""}],"container-title":"Journal of Clinical Oncology","id":"ITEM-1","issue":"8","issued":{"date-parts":[["2002"]]},"page":"1996-2004","title":"Prospective randomized trial comparing mitomycin, cisplatin, and protracted venous-infusion fluorouracil (PVI 5-FU) with epirubicin, cisplatin, and PVI 5-FU in advanced esophagogastric cancer","type":"article-journal","volume":"20"},"uris":["http://www.mendeley.com/documents/?uuid=cde2cdeb-04cc-4d76-9782-13a7bf0ea714"]}],"mendeley":{"formattedCitation":"[81]","plainTextFormattedCitation":"[81]","previouslyFormattedCitation":"[81]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[81]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0AB7CF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289</w:t>
            </w:r>
          </w:p>
        </w:tc>
        <w:tc>
          <w:tcPr>
            <w:tcW w:w="1708" w:type="dxa"/>
            <w:gridSpan w:val="2"/>
            <w:shd w:val="clear" w:color="auto" w:fill="auto"/>
            <w:noWrap/>
            <w:hideMark/>
          </w:tcPr>
          <w:p w14:paraId="1DE6A1B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w:t>
            </w:r>
          </w:p>
        </w:tc>
        <w:tc>
          <w:tcPr>
            <w:tcW w:w="1322" w:type="dxa"/>
            <w:shd w:val="clear" w:color="auto" w:fill="auto"/>
            <w:noWrap/>
            <w:hideMark/>
          </w:tcPr>
          <w:p w14:paraId="33D7D9D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218 (75)</w:t>
            </w:r>
          </w:p>
        </w:tc>
        <w:tc>
          <w:tcPr>
            <w:tcW w:w="1623" w:type="dxa"/>
            <w:gridSpan w:val="2"/>
            <w:shd w:val="clear" w:color="auto" w:fill="auto"/>
            <w:noWrap/>
            <w:hideMark/>
          </w:tcPr>
          <w:p w14:paraId="7ACC71C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58 (28-78)</w:t>
            </w:r>
          </w:p>
        </w:tc>
        <w:tc>
          <w:tcPr>
            <w:tcW w:w="1379" w:type="dxa"/>
            <w:shd w:val="clear" w:color="auto" w:fill="auto"/>
            <w:noWrap/>
            <w:hideMark/>
          </w:tcPr>
          <w:p w14:paraId="1034EDD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284 (98)</w:t>
            </w:r>
          </w:p>
        </w:tc>
        <w:tc>
          <w:tcPr>
            <w:tcW w:w="797" w:type="dxa"/>
            <w:shd w:val="clear" w:color="auto" w:fill="auto"/>
            <w:noWrap/>
            <w:hideMark/>
          </w:tcPr>
          <w:p w14:paraId="59959E0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60 (21)</w:t>
            </w:r>
          </w:p>
        </w:tc>
      </w:tr>
      <w:tr w:rsidR="00B61A3A" w:rsidRPr="00022291" w14:paraId="1424D713" w14:textId="77777777" w:rsidTr="00B61A3A">
        <w:trPr>
          <w:trHeight w:val="255"/>
        </w:trPr>
        <w:tc>
          <w:tcPr>
            <w:tcW w:w="2552" w:type="dxa"/>
            <w:shd w:val="clear" w:color="auto" w:fill="auto"/>
            <w:noWrap/>
            <w:hideMark/>
          </w:tcPr>
          <w:p w14:paraId="37B146F1" w14:textId="6031C522" w:rsidR="00B61A3A" w:rsidRPr="00F72E17"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Ocvirk 2012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{"citationItems":[{"id":"ITEM-1","itemData":{"DOI":"10.1097/COC.0b013e31820dc0b0","ISSN":"1537-453X","PMID":"21399488","abstract":"OBJECTIVES: The aim of this study was to compare the efficacy and safety of the epirubicin, cisplatin, and continuous infusion of 5-fluorouracil (ECF) regimen with that of the epirubicin, cisplatin, and capecitabine (ECX) regimen in patients with advanced or metastatic gastric cancer.\n\nMETHODS: Patients were randomized to receive either the ECF or ECX regimen. The primary end point was the response rate. The secondary end points were time to progression (TTP), overall survival (OS), and safety.\n\nRESULTS: Eighty-five patients were enrolled in the study from January 2003 to March 2007. Forty-five patients received the ECF regimen and 40 patients received the ECX regimen. The objective response rate was 31% [9% complete response (CR) and 22% partial response (PR)] for ECF and 30% (10% CR and 20% PR) for ECX. The disease control rate was 51% and 73%, respectively (P&lt;0.05). Median OS and TTP were 6.8 and 5.5 months, respectively, in the ECF group and 8.3 and 6.0 months, respectively, in the ECX group. The majority of adverse events were grade 1/2. The most frequent grade 3/4 adverse events in both groups were fatigue (ECF 15%, ECX 21%), neutropenia (ECF 16%, ECX 16%), vomiting (ECF 11%, ECX 8%), nausea (ECF 9%, ECX 3%), and anemia (ECF 7%, ECX 5%).\n\nCONCLUSIONS: The ECX regimen was at least as effective as the ECF regimen with a similar tolerability profile, and could therefore replace the ECF regimen for the first-line treatment of patients with advanced gastric cancer.","author":[{"dropping-particle":"","family":"Ocvirk","given":"Janja","non-dropping-particle":"","parse-names":false,"suffix":""},{"dropping-particle":"","family":"Reberšek","given":"Martina","non-dropping-particle":"","parse-names":false,"suffix":""},{"dropping-particle":"","family":"Skof","given":"Erik","non-dropping-particle":"","parse-names":false,"suffix":""},{"dropping-particle":"","family":"Hlebanja","given":"Zvezdana","non-dropping-particle":"","parse-names":false,"suffix":""},{"dropping-particle":"","family":"Boc","given":"Marko","non-dropping-particle":"","parse-names":false,"suffix":""}],"container-title":"American journal of clinical oncology","id":"ITEM-1","issue":"3","issued":{"date-parts":[["2012","6"]]},"page":"237-41","title":"Randomized prospective phase II study to compare the combination chemotherapy regimen epirubicin, cisplatin, and 5-fluorouracil with epirubicin, cisplatin, and capecitabine in patients with advanced or metastatic gastric cancer.","type":"article-journal","volume":"35"},"uris":["http://www.mendeley.com/documents/?uuid=73a43198-7e94-480b-a3fc-94bdd6995fea"]}],"mendeley":{"formattedCitation":"[82]","plainTextFormattedCitation":"[82]","previouslyFormattedCitation":"[82]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[82]</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6FB59C7"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45</w:t>
            </w:r>
          </w:p>
        </w:tc>
        <w:tc>
          <w:tcPr>
            <w:tcW w:w="1708" w:type="dxa"/>
            <w:gridSpan w:val="2"/>
            <w:shd w:val="clear" w:color="auto" w:fill="auto"/>
            <w:noWrap/>
            <w:hideMark/>
          </w:tcPr>
          <w:p w14:paraId="13AFF30C"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Epi+Cis+5-FU</w:t>
            </w:r>
          </w:p>
        </w:tc>
        <w:tc>
          <w:tcPr>
            <w:tcW w:w="1322" w:type="dxa"/>
            <w:shd w:val="clear" w:color="auto" w:fill="auto"/>
            <w:noWrap/>
            <w:hideMark/>
          </w:tcPr>
          <w:p w14:paraId="600BDF56"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34 (76)</w:t>
            </w:r>
          </w:p>
        </w:tc>
        <w:tc>
          <w:tcPr>
            <w:tcW w:w="1623" w:type="dxa"/>
            <w:gridSpan w:val="2"/>
            <w:shd w:val="clear" w:color="auto" w:fill="auto"/>
            <w:noWrap/>
            <w:hideMark/>
          </w:tcPr>
          <w:p w14:paraId="4283C720"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55 (20-72)</w:t>
            </w:r>
          </w:p>
        </w:tc>
        <w:tc>
          <w:tcPr>
            <w:tcW w:w="1379" w:type="dxa"/>
            <w:shd w:val="clear" w:color="auto" w:fill="auto"/>
            <w:noWrap/>
            <w:hideMark/>
          </w:tcPr>
          <w:p w14:paraId="547AEB25"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37 (82)</w:t>
            </w:r>
          </w:p>
        </w:tc>
        <w:tc>
          <w:tcPr>
            <w:tcW w:w="797" w:type="dxa"/>
            <w:shd w:val="clear" w:color="auto" w:fill="auto"/>
            <w:noWrap/>
            <w:hideMark/>
          </w:tcPr>
          <w:p w14:paraId="0A9BC017"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3 (6)</w:t>
            </w:r>
          </w:p>
        </w:tc>
      </w:tr>
      <w:tr w:rsidR="00B61A3A" w:rsidRPr="00022291" w14:paraId="04E364AF" w14:textId="77777777" w:rsidTr="00B61A3A">
        <w:trPr>
          <w:trHeight w:val="255"/>
        </w:trPr>
        <w:tc>
          <w:tcPr>
            <w:tcW w:w="3008" w:type="dxa"/>
            <w:gridSpan w:val="2"/>
            <w:shd w:val="clear" w:color="auto" w:fill="auto"/>
            <w:noWrap/>
            <w:hideMark/>
          </w:tcPr>
          <w:p w14:paraId="645BA787" w14:textId="77777777" w:rsidR="00B61A3A" w:rsidRPr="00F72E17" w:rsidRDefault="00B61A3A" w:rsidP="00B61A3A">
            <w:pPr>
              <w:spacing w:before="240" w:line="360" w:lineRule="auto"/>
              <w:rPr>
                <w:rFonts w:ascii="Times New Roman" w:eastAsia="Times New Roman" w:hAnsi="Times New Roman"/>
                <w:b/>
                <w:color w:val="000000"/>
                <w:sz w:val="16"/>
                <w:szCs w:val="16"/>
                <w:u w:val="single"/>
                <w:lang w:val="en-US"/>
              </w:rPr>
            </w:pPr>
            <w:proofErr w:type="spellStart"/>
            <w:r w:rsidRPr="00F72E17">
              <w:rPr>
                <w:rFonts w:ascii="Times New Roman" w:eastAsia="Times New Roman" w:hAnsi="Times New Roman"/>
                <w:b/>
                <w:color w:val="000000"/>
                <w:sz w:val="16"/>
                <w:szCs w:val="16"/>
                <w:u w:val="single"/>
                <w:lang w:val="en-US"/>
              </w:rPr>
              <w:t>Epirubicin+Cisplatin+CAP</w:t>
            </w:r>
            <w:proofErr w:type="spellEnd"/>
          </w:p>
        </w:tc>
        <w:tc>
          <w:tcPr>
            <w:tcW w:w="1708" w:type="dxa"/>
            <w:gridSpan w:val="2"/>
            <w:shd w:val="clear" w:color="auto" w:fill="auto"/>
            <w:noWrap/>
            <w:hideMark/>
          </w:tcPr>
          <w:p w14:paraId="2B36C5A7" w14:textId="77777777" w:rsidR="00B61A3A" w:rsidRPr="00F72E17" w:rsidRDefault="00B61A3A" w:rsidP="00B61A3A">
            <w:pPr>
              <w:spacing w:before="240" w:line="360" w:lineRule="auto"/>
              <w:rPr>
                <w:rFonts w:ascii="Times New Roman" w:eastAsia="Times New Roman" w:hAnsi="Times New Roman"/>
                <w:color w:val="000000"/>
                <w:sz w:val="16"/>
                <w:szCs w:val="16"/>
                <w:u w:val="single"/>
                <w:lang w:val="en-US"/>
              </w:rPr>
            </w:pPr>
            <w:r w:rsidRPr="00F72E17">
              <w:rPr>
                <w:rFonts w:ascii="Times New Roman" w:eastAsia="Times New Roman" w:hAnsi="Times New Roman"/>
                <w:color w:val="000000"/>
                <w:sz w:val="16"/>
                <w:szCs w:val="16"/>
                <w:u w:val="single"/>
                <w:lang w:val="en-US"/>
              </w:rPr>
              <w:t>ACF</w:t>
            </w:r>
          </w:p>
        </w:tc>
        <w:tc>
          <w:tcPr>
            <w:tcW w:w="1322" w:type="dxa"/>
            <w:shd w:val="clear" w:color="auto" w:fill="auto"/>
            <w:noWrap/>
            <w:hideMark/>
          </w:tcPr>
          <w:p w14:paraId="6F4968D0"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623" w:type="dxa"/>
            <w:gridSpan w:val="2"/>
            <w:shd w:val="clear" w:color="auto" w:fill="auto"/>
            <w:noWrap/>
            <w:hideMark/>
          </w:tcPr>
          <w:p w14:paraId="6E46E8E6"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379" w:type="dxa"/>
            <w:shd w:val="clear" w:color="auto" w:fill="auto"/>
            <w:noWrap/>
            <w:hideMark/>
          </w:tcPr>
          <w:p w14:paraId="3161AAC7"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797" w:type="dxa"/>
            <w:shd w:val="clear" w:color="auto" w:fill="auto"/>
            <w:noWrap/>
            <w:hideMark/>
          </w:tcPr>
          <w:p w14:paraId="0AE16B70"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r>
      <w:tr w:rsidR="00B61A3A" w:rsidRPr="00022291" w14:paraId="33A28A2A" w14:textId="77777777" w:rsidTr="00B61A3A">
        <w:trPr>
          <w:trHeight w:val="255"/>
        </w:trPr>
        <w:tc>
          <w:tcPr>
            <w:tcW w:w="2552" w:type="dxa"/>
            <w:shd w:val="clear" w:color="auto" w:fill="auto"/>
            <w:noWrap/>
            <w:hideMark/>
          </w:tcPr>
          <w:p w14:paraId="229A3B82" w14:textId="2BDD57F5" w:rsidR="00B61A3A" w:rsidRPr="00F72E17" w:rsidRDefault="00B61A3A" w:rsidP="00B61A3A">
            <w:pPr>
              <w:spacing w:before="240" w:line="360" w:lineRule="auto"/>
              <w:rPr>
                <w:rFonts w:ascii="Times New Roman" w:eastAsia="Times New Roman" w:hAnsi="Times New Roman"/>
                <w:b/>
                <w:color w:val="000000"/>
                <w:sz w:val="16"/>
                <w:szCs w:val="16"/>
                <w:lang w:val="en-US"/>
              </w:rPr>
            </w:pPr>
            <w:proofErr w:type="spellStart"/>
            <w:r w:rsidRPr="00F72E17">
              <w:rPr>
                <w:rFonts w:ascii="Times New Roman" w:eastAsia="Times New Roman" w:hAnsi="Times New Roman"/>
                <w:b/>
                <w:color w:val="000000"/>
                <w:sz w:val="16"/>
                <w:szCs w:val="16"/>
                <w:lang w:val="en-US"/>
              </w:rPr>
              <w:t>Guimbaud</w:t>
            </w:r>
            <w:proofErr w:type="spellEnd"/>
            <w:r w:rsidRPr="00F72E17">
              <w:rPr>
                <w:rFonts w:ascii="Times New Roman" w:eastAsia="Times New Roman" w:hAnsi="Times New Roman"/>
                <w:b/>
                <w:color w:val="000000"/>
                <w:sz w:val="16"/>
                <w:szCs w:val="16"/>
                <w:lang w:val="en-US"/>
              </w:rPr>
              <w:t xml:space="preserve">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{"citationItems":[{"id":"ITEM-1","itemData":{"DOI":"10.1200/JCO.2013.54.1011","ISBN":"1527-7755 (Electronic)\\r0732-183X (Linking)","ISSN":"15277755","PMID":"25287828","abstract":"PURPOSE: To compare epirubicin, cisplatin, and capecitabine (ECX) with fluorouracil, leucovorin, and irinotecan (FOLFIRI) as first-line treatments in patients with advanced gastric or esophagogastric junction (EGJ) adenocarcinoma. PATIENTS AND METHODS: This open, randomized, phase III study was carried out in 71 centers. Patients with locally advanced or metastatic gastric or EGJ cancer were randomly assigned to receive either ECX as first-line treatment (ECX arm) or FOLFIRI (FOLFIRI arm). Second-line treatment was predefined (FOLFIRI for the ECX arm and ECX for the FOLFIRI arm). The primary criterion was time-to-treatment failure (TTF) of the first-line therapy. Secondary criteria were progression-free survival (PFS), overall survival (OS), toxicity, and quality of life. RESULTS: In all, 416 patients were included (median age, 61.4 years; 74% male). After a median follow-up of 31 months, median TTF was significantly longer with FOLFIRI than with ECX (5.1 v 4.2 months; P = .008). There was no significant difference between the two groups in median PFS (5.3 v 5.8 months; P = .96), median OS (9.5 v 9.7 months; P = .95), or response rate (39.2% v 37.8%). First-line FOLFIRI was better tolerated (overall rate of grade 3 to 4 toxicity, 69% v 84%; P &lt; .001; hematologic adverse events [AEs], 38% v 64.5%; P &lt; .001; nonhematologic AEs: 53% v 53.5%; P = .81). CONCLUSION: FOLFIRI as first-line treatment for advanced gastric and EGJ cancer demonstrated significantly better TTF than did ECX. Other outcome results indicate that FOLFIRI is an acceptable first-line regimen in this setting and should be explored as a backbone regimen for targeted agents.","author":[{"dropping-particle":"","family":"Guimbaud","given":"Rosine","non-dropping-particle":"","parse-names":false,"suffix":""},{"dropping-particle":"","family":"Louvet","given":"Christophe","non-dropping-particle":"","parse-names":false,"suffix":""},{"dropping-particle":"","family":"Ries","given":"Pauline","non-dropping-particle":"","parse-names":false,"suffix":""},{"dropping-particle":"","family":"Ychou","given":"Marc","non-dropping-particle":"","parse-names":false,"suffix":""},{"dropping-particle":"","family":"Maillard","given":"Emilie","non-dropping-particle":"","parse-names":false,"suffix":""},{"dropping-particle":"","family":"André","given":"Thierry","non-dropping-particle":"","parse-names":false,"suffix":""},{"dropping-particle":"","family":"Gornet","given":"Jean Marc","non-dropping-particle":"","parse-names":false,"suffix":""},{"dropping-particle":"","family":"Aparicio","given":"Thomas","non-dropping-particle":"","parse-names":false,"suffix":""},{"dropping-particle":"","family":"Nguyen","given":"Suzanne","non-dropping-particle":"","parse-names":false,"suffix":""},{"dropping-particle":"","family":"Azzedine","given":"Ahmed","non-dropping-particle":"","parse-names":false,"suffix":""},{"dropping-particle":"","family":"Etienne","given":"Pierre Luc","non-dropping-particle":"","parse-names":false,"suffix":""},{"dropping-particle":"","family":"Boucher","given":"Eveline","non-dropping-particle":"","parse-names":false,"suffix":""},{"dropping-particle":"","family":"Rebischung","given":"Christine","non-dropping-particle":"","parse-names":false,"suffix":""},{"dropping-particle":"","family":"Hammel","given":"Pascal","non-dropping-particle":"","parse-names":false,"suffix":""},{"dropping-particle":"","family":"Rougier","given":"Philippe","non-dropping-particle":"","parse-names":false,"suffix":""},{"dropping-particle":"","family":"Bedenne","given":"Laurent","non-dropping-particle":"","parse-names":false,"suffix":""},{"dropping-particle":"","family":"Bouché","given":"Olivier","non-dropping-particle":"","parse-names":false,"suffix":""}],"container-title":"Journal of Clinical Oncology","id":"ITEM-1","issue":"31","issued":{"date-parts":[["2014"]]},"page":"3520-3526","title":"Prospective, randomized, multicenter, phase III study of fluorouracil, leucovorin, and irinotecan versus epirubicin, cisplatin, and capecitabine in advanced gastric adenocarcinoma: A French intergroup (Fédération Francophone de Cancérologie Digestive, Féd","type":"article-journal","volume":"32"},"uris":["http://www.mendeley.com/documents/?uuid=d90173de-628f-462e-9b79-90fc0ec386c2"]}],"mendeley":{"formattedCitation":"[58]","plainTextFormattedCitation":"[58]","previouslyFormattedCitation":"[58]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[58]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1E9AAF8"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209</w:t>
            </w:r>
          </w:p>
        </w:tc>
        <w:tc>
          <w:tcPr>
            <w:tcW w:w="1708" w:type="dxa"/>
            <w:gridSpan w:val="2"/>
            <w:shd w:val="clear" w:color="auto" w:fill="auto"/>
            <w:noWrap/>
            <w:hideMark/>
          </w:tcPr>
          <w:p w14:paraId="4C509D2C"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Epi+Cis+5-FU</w:t>
            </w:r>
          </w:p>
        </w:tc>
        <w:tc>
          <w:tcPr>
            <w:tcW w:w="1322" w:type="dxa"/>
            <w:shd w:val="clear" w:color="auto" w:fill="auto"/>
            <w:noWrap/>
            <w:hideMark/>
          </w:tcPr>
          <w:p w14:paraId="4BAA79D9"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154 (74)</w:t>
            </w:r>
          </w:p>
        </w:tc>
        <w:tc>
          <w:tcPr>
            <w:tcW w:w="1623" w:type="dxa"/>
            <w:gridSpan w:val="2"/>
            <w:shd w:val="clear" w:color="auto" w:fill="auto"/>
            <w:noWrap/>
            <w:hideMark/>
          </w:tcPr>
          <w:p w14:paraId="66116401"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61 (28-84)</w:t>
            </w:r>
          </w:p>
        </w:tc>
        <w:tc>
          <w:tcPr>
            <w:tcW w:w="1379" w:type="dxa"/>
            <w:shd w:val="clear" w:color="auto" w:fill="auto"/>
            <w:noWrap/>
            <w:hideMark/>
          </w:tcPr>
          <w:p w14:paraId="443662F7"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173 (83)</w:t>
            </w:r>
          </w:p>
        </w:tc>
        <w:tc>
          <w:tcPr>
            <w:tcW w:w="797" w:type="dxa"/>
            <w:shd w:val="clear" w:color="auto" w:fill="auto"/>
            <w:noWrap/>
            <w:hideMark/>
          </w:tcPr>
          <w:p w14:paraId="757F6715"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36 (17)</w:t>
            </w:r>
          </w:p>
        </w:tc>
      </w:tr>
      <w:tr w:rsidR="00B61A3A" w:rsidRPr="007D2E2F" w14:paraId="6BC12E70" w14:textId="77777777" w:rsidTr="00B61A3A">
        <w:trPr>
          <w:trHeight w:val="255"/>
        </w:trPr>
        <w:tc>
          <w:tcPr>
            <w:tcW w:w="2552" w:type="dxa"/>
            <w:shd w:val="clear" w:color="auto" w:fill="auto"/>
            <w:noWrap/>
            <w:hideMark/>
          </w:tcPr>
          <w:p w14:paraId="7D9B38B5" w14:textId="148C7067" w:rsidR="00B61A3A" w:rsidRPr="007D2E2F" w:rsidRDefault="00B61A3A" w:rsidP="00B61A3A">
            <w:pPr>
              <w:spacing w:before="240" w:line="360" w:lineRule="auto"/>
              <w:rPr>
                <w:rFonts w:ascii="Times New Roman" w:eastAsia="Times New Roman" w:hAnsi="Times New Roman"/>
                <w:b/>
                <w:color w:val="000000"/>
                <w:sz w:val="16"/>
                <w:szCs w:val="16"/>
              </w:rPr>
            </w:pPr>
            <w:r w:rsidRPr="00F72E17">
              <w:rPr>
                <w:rFonts w:ascii="Times New Roman" w:eastAsia="Times New Roman" w:hAnsi="Times New Roman"/>
                <w:b/>
                <w:color w:val="000000"/>
                <w:sz w:val="16"/>
                <w:szCs w:val="16"/>
                <w:lang w:val="en-US"/>
              </w:rPr>
              <w:t xml:space="preserve">Cunningham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{"citationItems":[{"id":"ITEM-1","itemData":{"DOI":"10.1056/NEJMoa073149","ISBN":"1533-4406 (Electronic)","ISSN":"0028-4793","PMID":"18172173","abstract":"BACKGROUND: We evaluated capecitabine (an oral fluoropyrimidine) and oxaliplatin (a platinum compound) as alternatives to infused fluorouracil and cisplatin, respectively, for untreated advanced esophagogastric cancer. METHODS: In a two-by-two design, we randomly assigned 1002 patients to receive triplet therapy with epirubicin and cisplatin plus either fluorouracil (ECF) or capecitabine (ECX) or triplet therapy with epirubicin and oxaliplatin plus either fluorouracil (EOF) or capecitabine (EOX). The primary end point was noninferiority in overall survival for the triplet therapies containing capecitabine as compared with fluorouracil and for those containing oxaliplatin as compared with cisplatin. RESULTS: For the capecitabine-fluorouracil comparison, the hazard ratio for death in the capecitabine group was 0.86 (95% confidence interval [CI], 0.80 to 0.99); for the oxaliplatin-cisplatin comparison, the hazard ratio for the oxaliplatin group was 0.92 (95% CI, 0.80 to 1.10). The upper limit of the confidence intervals for both hazard ratios excluded the predefined noninferiority margin of 1.23. Median survival times in the ECF, ECX, EOF, and EOX groups were 9.9 months, 9.9 months, 9.3 months, and 11.2 months, respectively; survival rates at 1 year were 37.7%, 40.8%, 40.4%, and 46.8%, respectively. In the secondary analysis, overall survival was longer with EOX than with ECF, with a hazard ratio for death of 0.80 in the EOX group (95% CI, 0.66 to 0.97; P=0.02). Progression-free survival and response rates did not differ significantly among the regimens. Toxic effects of capecitabine and fluorouracil were similar. As compared with cisplatin, oxaliplatin was associated with lower incidences of grade 3 or 4 neutropenia, alopecia, renal toxicity, and thromboembolism but with slightly higher incidences of grade 3 or 4 diarrhea and neuropathy. CONCLUSIONS: Capecitabine and oxaliplatin are as effective as fluorouracil and cisplatin, respectively, in patients with previously untreated esophagogastric cancer. (Current Controlled Trials number, ISRCTN51678883 [controlled-trials.com].).","author":[{"dropping-particle":"","family":"Cunningham","given":"David","non-dropping-particle":"","parse-names":false,"suffix":""},{"dropping-particle":"","family":"Starling","given":"Naureen","non-dropping-particle":"","parse-names":false,"suffix":""},{"dropping-particle":"","family":"Rao","given":"Sheela","non-dropping-particle":"","parse-names":false,"suffix":""},{"dropping-particle":"","family":"Iveson","given":"Timothy","non-dropping-particle":"","parse-names":false,"suffix":""},{"dropping-particle":"","family":"Nicolson","given":"Marianne","non-dropping-particle":"","parse-names":false,"suffix":""},{"dropping-particle":"","family":"Coxon","given":"Fareeda","non-dropping-particle":"","parse-names":false,"suffix":""},{"dropping-particle":"","family":"Middleton","given":"Gary","non-dropping-particle":"","parse-names":false,"suffix":""},{"dropping-particle":"","family":"Daniel","given":"Francis","non-dropping-particle":"","parse-names":false,"suffix":""},{"dropping-particle":"","family":"Oates","given":"Jacqueline","non-dropping-particle":"","parse-names":false,"suffix":""},{"dropping-particle":"","family":"Norman","given":"Andrew Richard","non-dropping-particle":"","parse-names":false,"suffix":""}],"container-title":"New England Journal of Medicine","id":"ITEM-1","issue":"1","issued":{"date-parts":[["2008"]]},"page":"36-46","title":"Capecitabine and Oxaliplatin for Advanced Esophagogastric Cancer","type":"article-journal","volume":"358"},"uris":["http://www.mendeley.com/documents/?uuid=f2a6c77c-5204-4e55-9254-923cd7245302"]}],"mendeley":{"formattedCitation":"[78]","plainTextFormattedCitation":"[78]","previouslyFormattedCitation":"[78]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[78]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6DB749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241</w:t>
            </w:r>
          </w:p>
        </w:tc>
        <w:tc>
          <w:tcPr>
            <w:tcW w:w="1708" w:type="dxa"/>
            <w:gridSpan w:val="2"/>
            <w:shd w:val="clear" w:color="auto" w:fill="auto"/>
            <w:noWrap/>
            <w:hideMark/>
          </w:tcPr>
          <w:p w14:paraId="6C1469A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w:t>
            </w:r>
          </w:p>
        </w:tc>
        <w:tc>
          <w:tcPr>
            <w:tcW w:w="1322" w:type="dxa"/>
            <w:shd w:val="clear" w:color="auto" w:fill="auto"/>
            <w:noWrap/>
            <w:hideMark/>
          </w:tcPr>
          <w:p w14:paraId="6625BFE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201 (81)</w:t>
            </w:r>
          </w:p>
        </w:tc>
        <w:tc>
          <w:tcPr>
            <w:tcW w:w="1623" w:type="dxa"/>
            <w:gridSpan w:val="2"/>
            <w:shd w:val="clear" w:color="auto" w:fill="auto"/>
            <w:noWrap/>
            <w:hideMark/>
          </w:tcPr>
          <w:p w14:paraId="513FB63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(25-82)</w:t>
            </w:r>
          </w:p>
        </w:tc>
        <w:tc>
          <w:tcPr>
            <w:tcW w:w="1379" w:type="dxa"/>
            <w:shd w:val="clear" w:color="auto" w:fill="auto"/>
            <w:noWrap/>
            <w:hideMark/>
          </w:tcPr>
          <w:p w14:paraId="143D554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192 (77)</w:t>
            </w:r>
          </w:p>
        </w:tc>
        <w:tc>
          <w:tcPr>
            <w:tcW w:w="797" w:type="dxa"/>
            <w:shd w:val="clear" w:color="auto" w:fill="auto"/>
            <w:noWrap/>
            <w:hideMark/>
          </w:tcPr>
          <w:p w14:paraId="0FFCAE8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 (12)</w:t>
            </w:r>
          </w:p>
        </w:tc>
      </w:tr>
      <w:tr w:rsidR="00B61A3A" w:rsidRPr="007D2E2F" w14:paraId="2147B7A0" w14:textId="77777777" w:rsidTr="00B61A3A">
        <w:trPr>
          <w:trHeight w:val="255"/>
        </w:trPr>
        <w:tc>
          <w:tcPr>
            <w:tcW w:w="2552" w:type="dxa"/>
            <w:shd w:val="clear" w:color="auto" w:fill="auto"/>
            <w:noWrap/>
            <w:hideMark/>
          </w:tcPr>
          <w:p w14:paraId="6D1F6902" w14:textId="0F189CF7"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Yun 2010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{"citationItems":[{"id":"ITEM-1","itemData":{"DOI":"10.1016/j.ejca.2009.12.015","ISSN":"1879-0852","PMID":"20060288","abstract":"BACKGROUND: Both cisplatin/capecitabine (CX) and epirubicin plus CX (ECX) have clearly demonstrated efficacy against advanced gastric cancer (AGC).\n\nMETHODS: Chemotherapy-naïve patients with histologically confirmed, measurable AGC were randomised to receive CX (cisplatin 75mg/m(2) iv on day 1 and capecitabine 1000mg/m(2) bid po on days 1-14) or ECX (epirubicin 50mg/m(2) plus CX) every 3weeks. The primary endpoint was progression-free survival (PFS).\n\nRESULTS: Of the 91 registered patients, 45 patients were treated with CX and 44 with ECX. A total of 241 CX (median, 6; range, 1-12) and 201 ECX (median, 5; range, 1-11) cycles were delivered. Treatment duration was similar for both arms (4.4 for CX versus 4.2months for ECX). There was no relevant difference in the occurrence of overall grade 3 or 4 toxicities between the CX and ECX arms (80% versus 78%, respectively; P=0.516). However, none in the CX and 12% in the ECX arm discontinued treatment because of toxicity. There were no significant differences in therapeutic efficacy between CX and ECX with respect to the response rate (38% versus 37%, respectively) and PFS (6.4 versus 6.5months).\n\nCONCLUSION: Both CX and ECX appear to be active as first-line chemotherapy for AGC, and the safety profiles are acceptable. Given the comparable efficacy results, CX could be a reasonable standard chemotherapy for untreated AGC patients.","author":[{"dropping-particle":"","family":"Yun","given":"Jina","non-dropping-particle":"","parse-names":false,"suffix":""},{"dropping-particle":"","family":"Lee","given":"Jeeyun","non-dropping-particle":"","parse-names":false,"suffix":""},{"dropping-particle":"","family":"Park","given":"Se Hoon","non-dropping-particle":"","parse-names":false,"suffix":""},{"dropping-particle":"","family":"Park","given":"Joon Oh","non-dropping-particle":"","parse-names":false,"suffix":""},{"dropping-particle":"","family":"Park","given":"Young Suk","non-dropping-particle":"","parse-names":false,"suffix":""},{"dropping-particle":"","family":"Lim","given":"Ho Yeong","non-dropping-particle":"","parse-names":false,"suffix":""},{"dropping-particle":"","family":"Kang","given":"Won Ki","non-dropping-particle":"","parse-names":false,"suffix":""}],"container-title":"European journal of cancer (Oxford, England : 1990)","id":"ITEM-1","issue":"5","issued":{"date-parts":[["2010","3"]]},"page":"885-91","publisher":"Elsevier Ltd","title":"A randomised phase II study of combination chemotherapy with epirubicin, cisplatin and capecitabine (ECX) or cisplatin and capecitabine (CX) in advanced gastric cancer.","type":"article-journal","volume":"46"},"uris":["http://www.mendeley.com/documents/?uuid=53b07b7a-7b6f-4003-b90f-c86910d1182b"]}],"mendeley":{"formattedCitation":"[51]","plainTextFormattedCitation":"[51]","previouslyFormattedCitation":"[51]"},"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[51]</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690C685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44</w:t>
            </w:r>
          </w:p>
        </w:tc>
        <w:tc>
          <w:tcPr>
            <w:tcW w:w="1708" w:type="dxa"/>
            <w:gridSpan w:val="2"/>
            <w:shd w:val="clear" w:color="auto" w:fill="auto"/>
            <w:noWrap/>
            <w:hideMark/>
          </w:tcPr>
          <w:p w14:paraId="1C0B99C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w:t>
            </w:r>
          </w:p>
        </w:tc>
        <w:tc>
          <w:tcPr>
            <w:tcW w:w="1322" w:type="dxa"/>
            <w:shd w:val="clear" w:color="auto" w:fill="auto"/>
            <w:noWrap/>
            <w:hideMark/>
          </w:tcPr>
          <w:p w14:paraId="0416A49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28 (64)</w:t>
            </w:r>
          </w:p>
        </w:tc>
        <w:tc>
          <w:tcPr>
            <w:tcW w:w="1623" w:type="dxa"/>
            <w:gridSpan w:val="2"/>
            <w:shd w:val="clear" w:color="auto" w:fill="auto"/>
            <w:noWrap/>
            <w:hideMark/>
          </w:tcPr>
          <w:p w14:paraId="73B5B52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55 (35-71)</w:t>
            </w:r>
          </w:p>
        </w:tc>
        <w:tc>
          <w:tcPr>
            <w:tcW w:w="1379" w:type="dxa"/>
            <w:shd w:val="clear" w:color="auto" w:fill="auto"/>
            <w:noWrap/>
            <w:hideMark/>
          </w:tcPr>
          <w:p w14:paraId="1CF4B4F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72CF99A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 (2)</w:t>
            </w:r>
          </w:p>
        </w:tc>
      </w:tr>
      <w:tr w:rsidR="00B61A3A" w:rsidRPr="007D2E2F" w14:paraId="1CD8B1E5" w14:textId="77777777" w:rsidTr="00B61A3A">
        <w:trPr>
          <w:trHeight w:val="255"/>
        </w:trPr>
        <w:tc>
          <w:tcPr>
            <w:tcW w:w="2552" w:type="dxa"/>
            <w:shd w:val="clear" w:color="auto" w:fill="auto"/>
            <w:noWrap/>
            <w:hideMark/>
          </w:tcPr>
          <w:p w14:paraId="575C4213" w14:textId="1D4AF335"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Iveson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{"citationItems":[{"id":"ITEM-1","itemData":{"DOI":"10.1016/S1470-2045(14)70023-3","ISBN":"1474-5488 (Electronic)\\r1470-2045 (Linking)","ISSN":"14745488","PMID":"24965569","abstract":"Background: Dysregulation of the hepatocyte growth factor (HGF)/MET pathway promotes tumour growth and metastasis. Rilotumumab is a fully human, monoclonal antibody that neutralises HGF. We aimed to assess the safety, efficacy, biomarkers, and pharmacokinetics of rilotumumab combined with epirubicin, cisplatin, and capecitabine (ECX) in patients with advanced gastric or oesophagogastric junction cancer. Methods: We recruited patients (???18 years old) with unresectable locally advanced or metastatic gastric or oesophagogastric junction adenocarcinoma, an Eastern Cooperative Oncology Group (ECOG) performance status of 0 or 1, who had not received previous systemic therapy, from 43 sites worldwide. Phase 1b was an open-label, dose de-escalation study to identify a safe dose of rilotumumab (initial dose 15 mg/kg intravenously on day 1) plus ECX (epirubicin 50 mg/m2 intravenously on day 1, cisplatin 60 mg/m2 intravenously on day 1, capecitabine 625 mg/m2 twice a day orally on days 1-21, respectively), administered every 3 weeks. The phase 1b primary endpoint was the incidence of dose-limiting toxicities in all phase 1b patients who received at least one dose of rilotumumab and completed the dose-limiting toxicity assessment window (first cycle of therapy). Phase 2 was a double-blind study that randomly assigned patients (1:1:1) using an interactive voice response system to receive rilotumumab 15 mg/kg, rilotumumab 7??5 mg/kg, or placebo, plus ECX (doses as above), stratified by ECOG performance status and disease extent. The phase 2 primary endpoint was progression-free survival (PFS), analysed by intention to treat. The study is registered with ClinicalTrials.gov, number NCT00719550. Findings: Seven of the nine patients enrolled in the phase 1b study received at least one dose of rilotumumab 15 mg/kg, only two of whom had three dose-limiting toxicities: palmar-plantar erythrodysesthesia, cerebral ischaemia, and deep-vein thrombosis. In phase 2, 121 patients were randomly assigned (40 to rilotumumab 15 mg/kg; 42 to rilotumumab 7??5 mg/kg; 39 to placebo). Median PFS was 5??1 months (95% CI 2??9-7??0) in the rilotumumab 15 mg/kg group, 6??8 months (4??5-7??5) in the rilotumumab 7??5 mg/kg group, 5??7 months (4??5-7??0) in both rilotumumab groups combined, and 4??2 months (2??9-4??9) in the placebo group. The hazard ratio for PFS events compared with placebo was 0??69 (80% CI 0??49-0??97; p=0??164) for rilotumumab 15 mg/kg, 0??53 (80% CI 0??38-0??73; p=0??009)…","author":[{"dropping-particle":"","family":"Iveson","given":"Timothy","non-dropping-particle":"","parse-names":false,"suffix":""},{"dropping-particle":"","family":"Donehower","given":"Ross C.","non-dropping-particle":"","parse-names":false,"suffix":""},{"dropping-particle":"","family":"Davidenko","given":"Irina","non-dropping-particle":"","parse-names":false,"suffix":""},{"dropping-particle":"","family":"Tjulandin","given":"Sergey","non-dropping-particle":"","parse-names":false,"suffix":""},{"dropping-particle":"","family":"Deptala","given":"Andrzej","non-dropping-particle":"","parse-names":false,"suffix":""},{"dropping-particle":"","family":"Harrison","given":"Mark","non-dropping-particle":"","parse-names":false,"suffix":""},{"dropping-particle":"","family":"Nirni","given":"Somanath","non-dropping-particle":"","parse-names":false,"suffix":""},{"dropping-particle":"","family":"Lakshmaiah","given":"Kuntegowdanahalli","non-dropping-particle":"","parse-names":false,"suffix":""},{"dropping-particle":"","family":"Thomas","given":"Anne","non-dropping-particle":"","parse-names":false,"suffix":""},{"dropping-particle":"","family":"Jiang","given":"Yizhou","non-dropping-particle":"","parse-names":false,"suffix":""},{"dropping-particle":"","family":"Zhu","given":"Min","non-dropping-particle":"","parse-names":false,"suffix":""},{"dropping-particle":"","family":"Tang","given":"Rui","non-dropping-particle":"","parse-names":false,"suffix":""},{"dropping-particle":"","family":"Anderson","given":"Abraham","non-dropping-particle":"","parse-names":false,"suffix":""},{"dropping-particle":"","family":"Dubey","given":"Sarita","non-dropping-particle":"","parse-names":false,"suffix":""},{"dropping-particle":"","family":"Oliner","given":"Kelly S.","non-dropping-particle":"","parse-names":false,"suffix":""},{"dropping-particle":"","family":"Loh","given":"Elwyn","non-dropping-particle":"","parse-names":false,"suffix":""}],"container-title":"The Lancet Oncology","id":"ITEM-1","issue":"9","issued":{"date-parts":[["2014"]]},"page":"1007-1018","publisher":"Elsevier Ltd","title":"Rilotumumab in combination with epirubicin, cisplatin, and capecitabine as first-line treatment for gastric or oesophagogastric junction adenocarcinoma: An open-label, dose de-escalation phase 1b study and a double-blind, randomised phase 2 study","type":"article-journal","volume":"15"},"uris":["http://www.mendeley.com/documents/?uuid=67a230f0-5ab1-45d5-a069-23fef250022d"]}],"mendeley":{"formattedCitation":"[83]","plainTextFormattedCitation":"[83]","previouslyFormattedCitation":"[83]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[83]</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95FC1A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39</w:t>
            </w:r>
          </w:p>
        </w:tc>
        <w:tc>
          <w:tcPr>
            <w:tcW w:w="1708" w:type="dxa"/>
            <w:gridSpan w:val="2"/>
            <w:shd w:val="clear" w:color="auto" w:fill="auto"/>
            <w:noWrap/>
            <w:hideMark/>
          </w:tcPr>
          <w:p w14:paraId="3994C29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w:t>
            </w:r>
          </w:p>
        </w:tc>
        <w:tc>
          <w:tcPr>
            <w:tcW w:w="1322" w:type="dxa"/>
            <w:shd w:val="clear" w:color="auto" w:fill="auto"/>
            <w:noWrap/>
            <w:hideMark/>
          </w:tcPr>
          <w:p w14:paraId="1AFADB8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 (79)</w:t>
            </w:r>
          </w:p>
        </w:tc>
        <w:tc>
          <w:tcPr>
            <w:tcW w:w="1623" w:type="dxa"/>
            <w:gridSpan w:val="2"/>
            <w:shd w:val="clear" w:color="auto" w:fill="auto"/>
            <w:noWrap/>
            <w:hideMark/>
          </w:tcPr>
          <w:p w14:paraId="24C573E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60 (39-79)</w:t>
            </w:r>
          </w:p>
        </w:tc>
        <w:tc>
          <w:tcPr>
            <w:tcW w:w="1379" w:type="dxa"/>
            <w:shd w:val="clear" w:color="auto" w:fill="auto"/>
            <w:noWrap/>
            <w:hideMark/>
          </w:tcPr>
          <w:p w14:paraId="45FB7FC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34 (87)</w:t>
            </w:r>
          </w:p>
        </w:tc>
        <w:tc>
          <w:tcPr>
            <w:tcW w:w="797" w:type="dxa"/>
            <w:shd w:val="clear" w:color="auto" w:fill="auto"/>
            <w:noWrap/>
            <w:hideMark/>
          </w:tcPr>
          <w:p w14:paraId="5C6153C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 (2)</w:t>
            </w:r>
          </w:p>
        </w:tc>
      </w:tr>
      <w:tr w:rsidR="00B61A3A" w:rsidRPr="001A6F97" w14:paraId="1F9BB17F" w14:textId="77777777" w:rsidTr="00B61A3A">
        <w:trPr>
          <w:trHeight w:val="255"/>
        </w:trPr>
        <w:tc>
          <w:tcPr>
            <w:tcW w:w="2552" w:type="dxa"/>
            <w:shd w:val="clear" w:color="auto" w:fill="auto"/>
            <w:noWrap/>
            <w:hideMark/>
          </w:tcPr>
          <w:p w14:paraId="402D708A" w14:textId="080C6CAF" w:rsidR="00B61A3A" w:rsidRPr="00022291"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Konings 2010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{"citationItems":[{"id":"ITEM-1","itemData":{"DOI":"10.1016/j.ejca.2010.07.036","ISSN":"09598049","PMID":"20727735","abstract":"Purpose: Statins have for long been considered to play a potential role in anticancer treatment based upon their ability to inhibit the mevalonate synthesis pathway. This randomised phase II trial compared the efficacy and safety of pravastatin added to epirubicin, cisplatin and capecitabine (ECC versus ECC + P) in patients with advanced gastric carcinoma. Methods: Patients were randomised to receive up to six cycles of 3-weekly ECC with or without pravastatin (40 mg, once daily from day 1 of the first cycle until day 21 of the last cycle). Primary end-point was progression-free rate at 6 months (PFR 6months). Secondary end-points were response rate (RR), progression-free survival (PFS), overall survival (OS) and safety. For early termination in case of futility, a two-stage design was applied (P0 = 50%; P1 = 70%; α = 0.05; β = 0.10). Results: Thirty patients were enrolled. PFR6months was 6/14 patients (42.8%) in the ECC + P arm, and 7/15 patients (46.7%) in the control arm, and therefore the study was terminated after the first stage. In the ECC and ECC + P arm, RR was 7/15 (46.7%) and 5/15 (33.3%), median PFS was 5 and 6 months and median OS was 6 and 8 months, respectively. Toxicity data showed no significant differences, although there was a trend towards more gastrointestinal side-effects such as diarrhoea and stomatitis in the ECC + P arm. Conclusion: In this randomised phase II trial the addition of pravastatin to ECC did not improve outcome in patients with advanced gastric cancer. Therefore, further testing of t</w:instrText>
            </w:r>
            <w:r w:rsidR="006739B2" w:rsidRPr="006739B2">
              <w:rPr>
                <w:rFonts w:ascii="Times New Roman" w:eastAsia="Times New Roman" w:hAnsi="Times New Roman"/>
                <w:b/>
                <w:color w:val="000000"/>
                <w:sz w:val="16"/>
                <w:szCs w:val="16"/>
                <w:lang w:val="en-US"/>
              </w:rPr>
              <w:instrText>his combination in a randomised phase III trial cannot be recommended. © 2010 Elsevier Ltd. All rights reserved.","author":[{"dropping-particle":"","family":"Konings","given":"Inge R.H.M.","non-dropping-particle":"","parse-names":false,"suffix":""},{"dropping-particle":"","family":"Gaast","given":"A.","non-dropping-particle":"Van Der","parse-names":false,"suffix":""},{"dropping-particle":"","family":"Wijk","given":"Lidemarie J.","non-dropping-particle":"Van Der","parse-names":false,"suffix":""},{"dropping-particle":"","family":"Jongh","given":"Felix E.","non-dropping-particle":"De","parse-names":false,"suffix":""},{"dropping-particle":"","family":"Eskens","given":"Ferry A.L.M.","non-dropping-particle":"","parse-names":false,"suffix":""},{"dropping-particle":"","family":"Sleijfer","given":"Stefan","non-dropping-particle":"","parse-names":false,"suffix":""}],"container-title":"European Journal of Cancer","id":"ITEM-1","issue":"18","issued":{"date-parts":[["2010"]]},"page":"3200-3204","publisher":"Elsevier Ltd","title":"The addition of pravastatin to chemotherapy in advanced gastric carcinoma: A randomised phase II trial","type":"article-journal","volume":"46"},"uris":["http://www.mendeley.com/documents/?uuid=d460cc2e-8fa0-408d-a9bf-8eb9a7f80a2b"]}],"mendeley":{"formattedCitation":"[84]","plainTextFormattedCitation":"[84]","previouslyFormattedCitation":"[84]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[84]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A432983"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15</w:t>
            </w:r>
          </w:p>
        </w:tc>
        <w:tc>
          <w:tcPr>
            <w:tcW w:w="1708" w:type="dxa"/>
            <w:gridSpan w:val="2"/>
            <w:shd w:val="clear" w:color="auto" w:fill="auto"/>
            <w:noWrap/>
            <w:hideMark/>
          </w:tcPr>
          <w:p w14:paraId="6D9C5616"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Epi+Cis+5-FU</w:t>
            </w:r>
          </w:p>
        </w:tc>
        <w:tc>
          <w:tcPr>
            <w:tcW w:w="1322" w:type="dxa"/>
            <w:shd w:val="clear" w:color="auto" w:fill="auto"/>
            <w:noWrap/>
            <w:hideMark/>
          </w:tcPr>
          <w:p w14:paraId="219F7F7B"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13 (87)</w:t>
            </w:r>
          </w:p>
        </w:tc>
        <w:tc>
          <w:tcPr>
            <w:tcW w:w="1623" w:type="dxa"/>
            <w:gridSpan w:val="2"/>
            <w:shd w:val="clear" w:color="auto" w:fill="auto"/>
            <w:noWrap/>
            <w:hideMark/>
          </w:tcPr>
          <w:p w14:paraId="7EEA6453"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57 (42-74)</w:t>
            </w:r>
          </w:p>
        </w:tc>
        <w:tc>
          <w:tcPr>
            <w:tcW w:w="1379" w:type="dxa"/>
            <w:shd w:val="clear" w:color="auto" w:fill="auto"/>
            <w:noWrap/>
            <w:hideMark/>
          </w:tcPr>
          <w:p w14:paraId="0117D1C5"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15 (100)</w:t>
            </w:r>
          </w:p>
        </w:tc>
        <w:tc>
          <w:tcPr>
            <w:tcW w:w="797" w:type="dxa"/>
            <w:shd w:val="clear" w:color="auto" w:fill="auto"/>
            <w:noWrap/>
            <w:hideMark/>
          </w:tcPr>
          <w:p w14:paraId="09D731BC"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0 (0)</w:t>
            </w:r>
          </w:p>
        </w:tc>
      </w:tr>
      <w:tr w:rsidR="00B61A3A" w:rsidRPr="007D2E2F" w14:paraId="7105EEA0" w14:textId="77777777" w:rsidTr="00B61A3A">
        <w:trPr>
          <w:trHeight w:val="255"/>
        </w:trPr>
        <w:tc>
          <w:tcPr>
            <w:tcW w:w="2552" w:type="dxa"/>
            <w:shd w:val="clear" w:color="auto" w:fill="auto"/>
            <w:noWrap/>
            <w:hideMark/>
          </w:tcPr>
          <w:p w14:paraId="3E714082" w14:textId="651FB172" w:rsidR="00B61A3A" w:rsidRPr="007D2E2F" w:rsidRDefault="00B61A3A" w:rsidP="00B61A3A">
            <w:pPr>
              <w:spacing w:before="240" w:line="360" w:lineRule="auto"/>
              <w:rPr>
                <w:rFonts w:ascii="Times New Roman" w:eastAsia="Times New Roman" w:hAnsi="Times New Roman"/>
                <w:b/>
                <w:color w:val="000000"/>
                <w:sz w:val="16"/>
                <w:szCs w:val="16"/>
              </w:rPr>
            </w:pPr>
            <w:r w:rsidRPr="00022291">
              <w:rPr>
                <w:rFonts w:ascii="Times New Roman" w:eastAsia="Times New Roman" w:hAnsi="Times New Roman"/>
                <w:b/>
                <w:color w:val="000000"/>
                <w:sz w:val="16"/>
                <w:szCs w:val="16"/>
                <w:lang w:val="en-US"/>
              </w:rPr>
              <w:t xml:space="preserve">Rao 2010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{"citationItems":[{"id":"ITEM-1","itemData":{"DOI":"10.1093/annonc/mdq247","ISBN":"1569-8041","ISSN":"09237534","PMID":"20497967","abstract":"Clinical data showed promising antitumour activity with feasible tolerability for matuzumab plus epirubicin, cisplatin and capecitabine (ECX) chemotherapy in untreated advanced oesophago-gastric (OG) cancer. The aim was to evaluate the efficacy of matuzumab plus ECX versus ECX alone.","author":[{"dropping-particle":"","family":"Rao","given":"S.","non-dropping-particle":"","parse-names":false,"suffix":""},{"dropping-particle":"","family":"Starling","given":"N.","non-dropping-particle":"","parse-names":false,"suffix":""},{"dropping-particle":"","family":"Cunningham","given":"D.","non-dropping-particle":"","parse-names":false,"suffix":""},{"dropping-particle":"","family":"Sumpter","given":"K.","non-dropping-particle":"","parse-names":false,"suffix":""},{"dropping-particle":"","family":"Gilligan","given":"D.","non-dropping-particle":"","parse-names":false,"suffix":""},{"dropping-particle":"","family":"Ruhstaller","given":"T.","non-dropping-particle":"","parse-names":false,"suffix":""},{"dropping-particle":"","family":"Valladares-Ayerbes","given":"M.","non-dropping-particle":"","parse-names":false,"suffix":""},{"dropping-particle":"","family":"Wilke","given":"H.","non-dropping-particle":"","parse-names":false,"suffix":""},{"dropping-particle":"","family":"Archer","given":"C.","non-dropping-particle":"","parse-names":false,"suffix":""},{"dropping-particle":"","family":"Kurek","given":"R.","non-dropping-particle":"","parse-names":false,"suffix":""},{"dropping-particle":"","family":"Beadman","given":"C.","non-dropping-particle":"","parse-names":false,"suffix":""},{"dropping-particle":"","family":"Oates","given":"J.","non-dropping-particle":"","parse-names":false,"suffix":""}],"container-title":"Annals of Oncology","id":"ITEM-1","issue":"11","issued":{"date-parts":[["2010"]]},"page":"2213-2219","title":"Matuzumab plus epirubicin, cisplatin and capecitabine (ECX) compared with epirubicin, cisplatin and capecitabine alone as first-line treatment in patients with advanced oesophago-gastric cancer: A randomised, multicentre open-label phase II study","type":"article-journal","volume":"21"},"uris":["http://www.mendeley.com/documents/?uuid=96810370-8ac8-4396-bb40-9f8efdfc7d3e"]}],"mendeley":{"formattedCitation":"[85]","plainTextFormattedCitation":"[85]","previouslyFormattedCitation":"[85]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[85]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9C498D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36</w:t>
            </w:r>
          </w:p>
        </w:tc>
        <w:tc>
          <w:tcPr>
            <w:tcW w:w="1708" w:type="dxa"/>
            <w:gridSpan w:val="2"/>
            <w:shd w:val="clear" w:color="auto" w:fill="auto"/>
            <w:noWrap/>
            <w:hideMark/>
          </w:tcPr>
          <w:p w14:paraId="2627386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w:t>
            </w:r>
          </w:p>
        </w:tc>
        <w:tc>
          <w:tcPr>
            <w:tcW w:w="1322" w:type="dxa"/>
            <w:shd w:val="clear" w:color="auto" w:fill="auto"/>
            <w:noWrap/>
            <w:hideMark/>
          </w:tcPr>
          <w:p w14:paraId="49AAD2C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27 (75)</w:t>
            </w:r>
          </w:p>
        </w:tc>
        <w:tc>
          <w:tcPr>
            <w:tcW w:w="1623" w:type="dxa"/>
            <w:gridSpan w:val="2"/>
            <w:shd w:val="clear" w:color="auto" w:fill="auto"/>
            <w:noWrap/>
            <w:hideMark/>
          </w:tcPr>
          <w:p w14:paraId="3964171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(36-76)</w:t>
            </w:r>
          </w:p>
        </w:tc>
        <w:tc>
          <w:tcPr>
            <w:tcW w:w="1379" w:type="dxa"/>
            <w:shd w:val="clear" w:color="auto" w:fill="auto"/>
            <w:noWrap/>
            <w:hideMark/>
          </w:tcPr>
          <w:p w14:paraId="4FD5E90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36 (100)</w:t>
            </w:r>
          </w:p>
        </w:tc>
        <w:tc>
          <w:tcPr>
            <w:tcW w:w="797" w:type="dxa"/>
            <w:shd w:val="clear" w:color="auto" w:fill="auto"/>
            <w:noWrap/>
            <w:hideMark/>
          </w:tcPr>
          <w:p w14:paraId="5C59831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3677BB58" w14:textId="77777777" w:rsidTr="00B61A3A">
        <w:trPr>
          <w:trHeight w:val="255"/>
        </w:trPr>
        <w:tc>
          <w:tcPr>
            <w:tcW w:w="2552" w:type="dxa"/>
            <w:shd w:val="clear" w:color="auto" w:fill="auto"/>
            <w:noWrap/>
            <w:hideMark/>
          </w:tcPr>
          <w:p w14:paraId="0BA06CF6" w14:textId="123F09F9"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Ocvirk 2012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{"citationItems":[{"id":"ITEM-1","itemData":{"DOI":"10.1097/COC.0b013e31820dc0b0","ISSN":"1537-453X","PMID":"21399488","abstract":"OBJECTIVES: The aim of this study was to compare the efficacy and safety of the epirubicin, cisplatin, and continuous infusion of 5-fluorouracil (ECF) regimen with that of the epirubicin, cisplatin, and capecitabine (ECX) regimen in patients with advanced or metastatic gastric cancer.\n\nMETHODS: Patients were randomized to receive either the ECF or ECX regimen. The primary end point was the response rate. The secondary end points were time to progression (TTP), overall survival (OS), and safety.\n\nRESULTS: Eighty-five patients were enrolled in the study from January 2003 to March 2007. Forty-five patients received the ECF regimen and 40 patients received the ECX regimen. The objective response rate was 31% [9% complete response (CR) and 22% partial response (PR)] for ECF and 30% (10% CR and 20% PR) for ECX. The disease control rate was 51% and 73%, respectively (P&lt;0.05). Median OS and TTP were 6.8 and 5.5 months, respectively, in the ECF group and 8.3 and 6.0 months, respectively, in the ECX group. The majority of adverse events were grade 1/2. The most frequent grade 3/4 adverse events in both groups were fatigue (ECF 15%, ECX 21%), neutropenia (ECF 16%, ECX 16%), vomiting (ECF 11%, ECX 8%), nausea (ECF 9%, ECX 3%), and anemia (ECF 7%, ECX 5%).\n\nCONCLUSIONS: The ECX regimen was at least as effective as the ECF regimen with a similar tolerability profile, and could therefore replace the ECF regimen for the first-line treatment of patients with advanced gastric cancer.","author":[{"dropping-particle":"","family":"Ocvirk","given":"Janja","non-dropping-particle":"","parse-names":false,"suffix":""},{"dropping-particle":"","family":"Reberšek","given":"Martina","non-dropping-particle":"","parse-names":false,"suffix":""},{"dropping-particle":"","family":"Skof","given":"Erik","non-dropping-particle":"","parse-names":false,"suffix":""},{"dropping-particle":"","family":"Hlebanja","given":"Zvezdana","non-dropping-particle":"","parse-names":false,"suffix":""},{"dropping-particle":"","family":"Boc","given":"Marko","non-dropping-particle":"","parse-names":false,"suffix":""}],"container-title":"American journal of clinical oncology","id":"ITEM-1","issue":"3","issued":{"date-parts":[["2012","6"]]},"page":"237-41","title":"Randomized prospective phase II study to compare the combination chemotherapy regimen epirubicin, cisplatin, and 5-fluorouracil with epirubicin, cisplatin, and capecitabine in patients with advanced or metastatic gastric cancer.","type":"article-journal","volume":"35"},"uris":["http://www.mendeley.com/documents/?uuid=73a43198-7e94-480b-a3fc-94bdd6995fea"]}],"mendeley":{"formattedCitation":"[82]","plainTextFormattedCitation":"[82]","previouslyFormattedCitation":"[82]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[82]</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480BE2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40</w:t>
            </w:r>
          </w:p>
        </w:tc>
        <w:tc>
          <w:tcPr>
            <w:tcW w:w="1708" w:type="dxa"/>
            <w:gridSpan w:val="2"/>
            <w:shd w:val="clear" w:color="auto" w:fill="auto"/>
            <w:noWrap/>
            <w:hideMark/>
          </w:tcPr>
          <w:p w14:paraId="7A0BE57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Epi+Cis+5-FU</w:t>
            </w:r>
          </w:p>
        </w:tc>
        <w:tc>
          <w:tcPr>
            <w:tcW w:w="1322" w:type="dxa"/>
            <w:shd w:val="clear" w:color="auto" w:fill="auto"/>
            <w:noWrap/>
            <w:hideMark/>
          </w:tcPr>
          <w:p w14:paraId="356FC7E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32 (80)</w:t>
            </w:r>
          </w:p>
        </w:tc>
        <w:tc>
          <w:tcPr>
            <w:tcW w:w="1623" w:type="dxa"/>
            <w:gridSpan w:val="2"/>
            <w:shd w:val="clear" w:color="auto" w:fill="auto"/>
            <w:noWrap/>
            <w:hideMark/>
          </w:tcPr>
          <w:p w14:paraId="1C54942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(40-77)</w:t>
            </w:r>
          </w:p>
        </w:tc>
        <w:tc>
          <w:tcPr>
            <w:tcW w:w="1379" w:type="dxa"/>
            <w:shd w:val="clear" w:color="auto" w:fill="auto"/>
            <w:noWrap/>
            <w:hideMark/>
          </w:tcPr>
          <w:p w14:paraId="73C46E9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35 (88)</w:t>
            </w:r>
          </w:p>
        </w:tc>
        <w:tc>
          <w:tcPr>
            <w:tcW w:w="797" w:type="dxa"/>
            <w:shd w:val="clear" w:color="auto" w:fill="auto"/>
            <w:noWrap/>
            <w:hideMark/>
          </w:tcPr>
          <w:p w14:paraId="51D3693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 (5)</w:t>
            </w:r>
          </w:p>
        </w:tc>
      </w:tr>
      <w:tr w:rsidR="00B61A3A" w:rsidRPr="007D2E2F" w14:paraId="4DC87D40" w14:textId="77777777" w:rsidTr="00DF4D7C">
        <w:trPr>
          <w:trHeight w:val="255"/>
        </w:trPr>
        <w:tc>
          <w:tcPr>
            <w:tcW w:w="3008" w:type="dxa"/>
            <w:gridSpan w:val="2"/>
            <w:shd w:val="clear" w:color="auto" w:fill="auto"/>
            <w:noWrap/>
            <w:hideMark/>
          </w:tcPr>
          <w:p w14:paraId="2A5AF570" w14:textId="77777777" w:rsidR="00B61A3A" w:rsidRPr="007D2E2F" w:rsidRDefault="00B61A3A" w:rsidP="00B61A3A">
            <w:pPr>
              <w:spacing w:before="240" w:line="360" w:lineRule="auto"/>
              <w:rPr>
                <w:rFonts w:ascii="Times New Roman" w:eastAsia="Times New Roman" w:hAnsi="Times New Roman"/>
                <w:b/>
                <w:color w:val="000000"/>
                <w:sz w:val="16"/>
                <w:szCs w:val="16"/>
                <w:u w:val="single"/>
              </w:rPr>
            </w:pPr>
            <w:r w:rsidRPr="007D2E2F">
              <w:rPr>
                <w:rFonts w:ascii="Times New Roman" w:eastAsia="Times New Roman" w:hAnsi="Times New Roman"/>
                <w:b/>
                <w:color w:val="000000"/>
                <w:sz w:val="16"/>
                <w:szCs w:val="16"/>
                <w:u w:val="single"/>
              </w:rPr>
              <w:t>Epirubicin+Oxaliplatin+5-FU</w:t>
            </w:r>
          </w:p>
        </w:tc>
        <w:tc>
          <w:tcPr>
            <w:tcW w:w="1708" w:type="dxa"/>
            <w:gridSpan w:val="2"/>
            <w:shd w:val="clear" w:color="auto" w:fill="auto"/>
            <w:noWrap/>
            <w:hideMark/>
          </w:tcPr>
          <w:p w14:paraId="7E8694B0"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AFOx</w:t>
            </w:r>
          </w:p>
        </w:tc>
        <w:tc>
          <w:tcPr>
            <w:tcW w:w="1322" w:type="dxa"/>
            <w:shd w:val="clear" w:color="auto" w:fill="auto"/>
            <w:noWrap/>
            <w:hideMark/>
          </w:tcPr>
          <w:p w14:paraId="0C031D5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6E88B68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0DCEDD1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54048E0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1A6F97" w14:paraId="299B2CE3" w14:textId="77777777" w:rsidTr="00DF4D7C">
        <w:trPr>
          <w:trHeight w:val="255"/>
        </w:trPr>
        <w:tc>
          <w:tcPr>
            <w:tcW w:w="2552" w:type="dxa"/>
            <w:tcBorders>
              <w:bottom w:val="single" w:sz="4" w:space="0" w:color="auto"/>
            </w:tcBorders>
            <w:shd w:val="clear" w:color="auto" w:fill="auto"/>
            <w:noWrap/>
            <w:hideMark/>
          </w:tcPr>
          <w:p w14:paraId="1F79E5A1" w14:textId="5A2A62AB" w:rsidR="00B61A3A" w:rsidRPr="00F72E17"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Cunningham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{"citationItems":[{"id":"ITEM-1","itemData":{"DOI":"10.1056/NEJMoa073149","ISBN":"1533-4406 (Electronic)","ISSN":"0028-4793","PMID":"18172173","abstract":"BACKGROUND: We evaluated capecitabine (an oral fluoropyrimidine) and oxaliplatin (a platinum compound) as alternatives to infused fluorouracil and cisplatin, respectively, for untreated advanced esophagogastric cancer. METHODS: In a two-by-two design, we randomly assigned 1002 patients to receive triplet therapy with epirubicin and cisplatin plus either fluorouracil (ECF) or capecitabine (ECX) or triplet therapy with epirubicin and oxaliplatin plus either fluorouracil (EOF) or capecitabine (EOX). The primary end point was noninferiority in overall survival for the triplet therapies containing capecitabine as compared with fluorouracil and for those containing oxaliplatin as compared with cisplatin. RESULTS: For the capecitabine-fluorouracil comparison, the hazard ratio for death in the capecitabine group was 0.86 (95% confidence interval [CI], 0.80 to 0.99); for the oxaliplatin-cisplatin comparison, the hazard ratio for the oxaliplatin group was 0.92 (95% CI, 0.80 to 1.10). The upper limit of the confidence intervals for both hazard ratios excluded the predefined noninferiority margin of 1.23. Median survival times in the ECF, ECX, EOF, and EOX groups were 9.9 months, 9.9 months, 9.3 months, and 11.2 months, respectively; survival rates at 1 year were 37.7%, 40.8%, 40.4%, and 46.8%, respectively. In the secondary analysis, overall survival was longer with EOX than with ECF, with a hazard ratio for death of 0.80 in the EOX group (95% CI, 0.66 to 0.97; P=0.02). Progression-free survival and response rates did not differ significantly among the regimens. Toxic effects of capecitabine and fluorouracil were similar. As compared with cisplatin, oxaliplatin was associated with lower incidences of grade 3 or 4 neutropenia, alopecia, renal toxicity, and thromboembolism but with slightly higher incidences of grade 3 or 4 diarrhea and neuropathy. CONCLUSIONS: Capecitabine and oxaliplatin are as effective as fluorouracil and cisplatin, respectively, in patients with previously untreated esophagogastric cancer. (Current Controlled Trials number, ISRCTN51678883 [controlled-trials.com].).","author":[{"dropping-particle":"","family":"Cunningham","given":"David","non-dropping-particle":"","parse-names":false,"suffix":""},{"dropping-particle":"","family":"Starling","given":"Naureen","non-dropping-particle":"","parse-names":false,"suffix":""},{"dropping-particle":"","family":"R</w:instrText>
            </w:r>
            <w:r w:rsidR="006739B2" w:rsidRPr="001A6F97">
              <w:rPr>
                <w:rFonts w:ascii="Times New Roman" w:eastAsia="Times New Roman" w:hAnsi="Times New Roman"/>
                <w:b/>
                <w:color w:val="000000"/>
                <w:sz w:val="16"/>
                <w:szCs w:val="16"/>
                <w:lang w:val="en-US"/>
              </w:rPr>
              <w:instrText>ao","given":"Sheela","non-dropping-particle":"","parse-names":false,"suffix":""},{"dropping-particle":"","family":"Iveson","given":"Timothy","non-dropping-particle":"","parse-names":false,"suffix":""},{"dropping-particle":"","family":"Nicolson","given":"Marianne","non-dropping-particle":"","parse-names":false,"suffix":""},{"dropping-particle":"","family":"Coxon","given":"Fareeda","non-dropping-particle":"","parse-names":false,"suffix":""},{"dropping-particle":"","family":"Middleton","given":"Gary","non-dropping-particle":"","parse-names":false,"suffix":""},{"dropping-particle":"","family":"Daniel","given":"Francis","non-dropping-particle":"","parse-names":false,"suffix":""},{"dropping-particle":"","family":"Oates","given":"Jacqueline","non-dropping-particle":"","parse-names":false,"suffix":""},{"dropping-particle":"","family":"Norman","given":"Andrew Richard","non-dropping-particle":"","parse-names":false,"suffix":""}],"container-title":"New England Journal of Medicine","id":"ITEM-1","issue":"1","issued":{"date-parts":[["2008"]]},"page":"36-46","title":"Capecitabine and Oxaliplatin for Advanced Esophagogastric Cancer","type":"article-journal","volume":"358"},"uris":["http://www.mendeley.com/documents/?uuid=f2a6c77c-5204-4e55-9254-923cd7245302"]}],"mendeley":{"formattedCitation":"[78]","plainTextFormattedCitation":"[78]","previouslyFormattedCitation":"[78]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[78]</w:t>
            </w:r>
            <w:r w:rsidRPr="007D2E2F">
              <w:rPr>
                <w:rFonts w:ascii="Times New Roman" w:eastAsia="Times New Roman" w:hAnsi="Times New Roman"/>
                <w:color w:val="000000"/>
                <w:sz w:val="16"/>
                <w:szCs w:val="16"/>
              </w:rPr>
              <w:fldChar w:fldCharType="end"/>
            </w:r>
          </w:p>
        </w:tc>
        <w:tc>
          <w:tcPr>
            <w:tcW w:w="456" w:type="dxa"/>
            <w:tcBorders>
              <w:bottom w:val="single" w:sz="4" w:space="0" w:color="auto"/>
            </w:tcBorders>
            <w:shd w:val="clear" w:color="auto" w:fill="auto"/>
            <w:noWrap/>
            <w:hideMark/>
          </w:tcPr>
          <w:p w14:paraId="226B221D"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235</w:t>
            </w:r>
          </w:p>
        </w:tc>
        <w:tc>
          <w:tcPr>
            <w:tcW w:w="1708" w:type="dxa"/>
            <w:gridSpan w:val="2"/>
            <w:tcBorders>
              <w:bottom w:val="single" w:sz="4" w:space="0" w:color="auto"/>
            </w:tcBorders>
            <w:shd w:val="clear" w:color="auto" w:fill="auto"/>
            <w:noWrap/>
            <w:hideMark/>
          </w:tcPr>
          <w:p w14:paraId="03087719"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Epi+Ox+5-FU</w:t>
            </w:r>
          </w:p>
        </w:tc>
        <w:tc>
          <w:tcPr>
            <w:tcW w:w="1322" w:type="dxa"/>
            <w:tcBorders>
              <w:bottom w:val="single" w:sz="4" w:space="0" w:color="auto"/>
            </w:tcBorders>
            <w:shd w:val="clear" w:color="auto" w:fill="auto"/>
            <w:noWrap/>
            <w:hideMark/>
          </w:tcPr>
          <w:p w14:paraId="76CDB546"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199 (81)</w:t>
            </w:r>
          </w:p>
        </w:tc>
        <w:tc>
          <w:tcPr>
            <w:tcW w:w="1623" w:type="dxa"/>
            <w:gridSpan w:val="2"/>
            <w:tcBorders>
              <w:bottom w:val="single" w:sz="4" w:space="0" w:color="auto"/>
            </w:tcBorders>
            <w:shd w:val="clear" w:color="auto" w:fill="auto"/>
            <w:noWrap/>
            <w:hideMark/>
          </w:tcPr>
          <w:p w14:paraId="4CB02B4D"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61 (33-78)</w:t>
            </w:r>
          </w:p>
        </w:tc>
        <w:tc>
          <w:tcPr>
            <w:tcW w:w="1379" w:type="dxa"/>
            <w:tcBorders>
              <w:bottom w:val="single" w:sz="4" w:space="0" w:color="auto"/>
            </w:tcBorders>
            <w:shd w:val="clear" w:color="auto" w:fill="auto"/>
            <w:noWrap/>
            <w:hideMark/>
          </w:tcPr>
          <w:p w14:paraId="1D7A16E5"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189 (77)</w:t>
            </w:r>
          </w:p>
        </w:tc>
        <w:tc>
          <w:tcPr>
            <w:tcW w:w="797" w:type="dxa"/>
            <w:tcBorders>
              <w:bottom w:val="single" w:sz="4" w:space="0" w:color="auto"/>
            </w:tcBorders>
            <w:shd w:val="clear" w:color="auto" w:fill="auto"/>
            <w:noWrap/>
            <w:hideMark/>
          </w:tcPr>
          <w:p w14:paraId="6FCD1493"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21 (9)</w:t>
            </w:r>
          </w:p>
        </w:tc>
      </w:tr>
      <w:tr w:rsidR="001A6F97" w:rsidRPr="00BA62DB" w14:paraId="25297B3E" w14:textId="77777777" w:rsidTr="00DF4D7C">
        <w:trPr>
          <w:trHeight w:val="255"/>
        </w:trPr>
        <w:tc>
          <w:tcPr>
            <w:tcW w:w="3008" w:type="dxa"/>
            <w:gridSpan w:val="2"/>
            <w:tcBorders>
              <w:top w:val="single" w:sz="4" w:space="0" w:color="auto"/>
              <w:bottom w:val="single" w:sz="4" w:space="0" w:color="auto"/>
            </w:tcBorders>
            <w:shd w:val="clear" w:color="auto" w:fill="auto"/>
            <w:noWrap/>
          </w:tcPr>
          <w:p w14:paraId="7B37B944"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w:hAnsi="Times New Roman"/>
                <w:bCs/>
                <w:sz w:val="16"/>
                <w:szCs w:val="24"/>
                <w:lang w:val="en-US"/>
              </w:rPr>
              <w:lastRenderedPageBreak/>
              <w:t>Supplementary table 2. (continued)</w:t>
            </w:r>
          </w:p>
        </w:tc>
        <w:tc>
          <w:tcPr>
            <w:tcW w:w="1708" w:type="dxa"/>
            <w:gridSpan w:val="2"/>
            <w:tcBorders>
              <w:top w:val="single" w:sz="4" w:space="0" w:color="auto"/>
              <w:bottom w:val="single" w:sz="4" w:space="0" w:color="auto"/>
            </w:tcBorders>
            <w:shd w:val="clear" w:color="auto" w:fill="auto"/>
            <w:noWrap/>
          </w:tcPr>
          <w:p w14:paraId="23CB5187"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p>
        </w:tc>
        <w:tc>
          <w:tcPr>
            <w:tcW w:w="1322" w:type="dxa"/>
            <w:tcBorders>
              <w:top w:val="single" w:sz="4" w:space="0" w:color="auto"/>
              <w:bottom w:val="single" w:sz="4" w:space="0" w:color="auto"/>
            </w:tcBorders>
            <w:shd w:val="clear" w:color="auto" w:fill="auto"/>
            <w:noWrap/>
          </w:tcPr>
          <w:p w14:paraId="4A036A34"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623" w:type="dxa"/>
            <w:gridSpan w:val="2"/>
            <w:tcBorders>
              <w:top w:val="single" w:sz="4" w:space="0" w:color="auto"/>
              <w:bottom w:val="single" w:sz="4" w:space="0" w:color="auto"/>
            </w:tcBorders>
            <w:shd w:val="clear" w:color="auto" w:fill="auto"/>
            <w:noWrap/>
          </w:tcPr>
          <w:p w14:paraId="000E35A5"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379" w:type="dxa"/>
            <w:tcBorders>
              <w:top w:val="single" w:sz="4" w:space="0" w:color="auto"/>
              <w:bottom w:val="single" w:sz="4" w:space="0" w:color="auto"/>
            </w:tcBorders>
            <w:shd w:val="clear" w:color="auto" w:fill="auto"/>
            <w:noWrap/>
          </w:tcPr>
          <w:p w14:paraId="3C2CABDF"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797" w:type="dxa"/>
            <w:tcBorders>
              <w:top w:val="single" w:sz="4" w:space="0" w:color="auto"/>
              <w:bottom w:val="single" w:sz="4" w:space="0" w:color="auto"/>
            </w:tcBorders>
            <w:shd w:val="clear" w:color="auto" w:fill="auto"/>
            <w:noWrap/>
          </w:tcPr>
          <w:p w14:paraId="18CA54F2"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r>
      <w:tr w:rsidR="001A6F97" w:rsidRPr="001F70C0" w14:paraId="44FE452E" w14:textId="77777777" w:rsidTr="00DF4D7C">
        <w:trPr>
          <w:trHeight w:val="255"/>
        </w:trPr>
        <w:tc>
          <w:tcPr>
            <w:tcW w:w="2552" w:type="dxa"/>
            <w:tcBorders>
              <w:top w:val="single" w:sz="4" w:space="0" w:color="auto"/>
              <w:bottom w:val="single" w:sz="4" w:space="0" w:color="auto"/>
            </w:tcBorders>
            <w:shd w:val="clear" w:color="auto" w:fill="auto"/>
            <w:noWrap/>
          </w:tcPr>
          <w:p w14:paraId="4369BD42" w14:textId="77777777" w:rsidR="001A6F97" w:rsidRPr="001F70C0"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New Roman" w:hAnsi="Times New Roman"/>
                <w:bCs/>
                <w:color w:val="000000"/>
                <w:sz w:val="16"/>
                <w:szCs w:val="16"/>
                <w:lang w:val="en-US"/>
              </w:rPr>
              <w:t>Studies</w:t>
            </w:r>
          </w:p>
        </w:tc>
        <w:tc>
          <w:tcPr>
            <w:tcW w:w="456" w:type="dxa"/>
            <w:tcBorders>
              <w:top w:val="single" w:sz="4" w:space="0" w:color="auto"/>
              <w:bottom w:val="single" w:sz="4" w:space="0" w:color="auto"/>
            </w:tcBorders>
            <w:shd w:val="clear" w:color="auto" w:fill="auto"/>
            <w:noWrap/>
          </w:tcPr>
          <w:p w14:paraId="4A8E6E9C"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No.</w:t>
            </w:r>
          </w:p>
        </w:tc>
        <w:tc>
          <w:tcPr>
            <w:tcW w:w="1708" w:type="dxa"/>
            <w:gridSpan w:val="2"/>
            <w:tcBorders>
              <w:top w:val="single" w:sz="4" w:space="0" w:color="auto"/>
              <w:bottom w:val="single" w:sz="4" w:space="0" w:color="auto"/>
            </w:tcBorders>
            <w:shd w:val="clear" w:color="auto" w:fill="auto"/>
            <w:noWrap/>
          </w:tcPr>
          <w:p w14:paraId="55362426"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322" w:type="dxa"/>
            <w:tcBorders>
              <w:top w:val="single" w:sz="4" w:space="0" w:color="auto"/>
              <w:bottom w:val="single" w:sz="4" w:space="0" w:color="auto"/>
            </w:tcBorders>
            <w:shd w:val="clear" w:color="auto" w:fill="auto"/>
            <w:noWrap/>
          </w:tcPr>
          <w:p w14:paraId="1915989A"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6C8C1AC4"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1623" w:type="dxa"/>
            <w:gridSpan w:val="2"/>
            <w:tcBorders>
              <w:top w:val="single" w:sz="4" w:space="0" w:color="auto"/>
              <w:bottom w:val="single" w:sz="4" w:space="0" w:color="auto"/>
            </w:tcBorders>
            <w:shd w:val="clear" w:color="auto" w:fill="auto"/>
            <w:noWrap/>
          </w:tcPr>
          <w:p w14:paraId="55EBD4B4"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534BCED6"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Median (range)</w:t>
            </w:r>
          </w:p>
        </w:tc>
        <w:tc>
          <w:tcPr>
            <w:tcW w:w="1379" w:type="dxa"/>
            <w:tcBorders>
              <w:top w:val="single" w:sz="4" w:space="0" w:color="auto"/>
              <w:bottom w:val="single" w:sz="4" w:space="0" w:color="auto"/>
            </w:tcBorders>
            <w:shd w:val="clear" w:color="auto" w:fill="auto"/>
            <w:noWrap/>
          </w:tcPr>
          <w:p w14:paraId="1E4AD298"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377DC572"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797" w:type="dxa"/>
            <w:tcBorders>
              <w:top w:val="single" w:sz="4" w:space="0" w:color="auto"/>
              <w:bottom w:val="single" w:sz="4" w:space="0" w:color="auto"/>
            </w:tcBorders>
            <w:shd w:val="clear" w:color="auto" w:fill="auto"/>
            <w:noWrap/>
          </w:tcPr>
          <w:p w14:paraId="6F0C710A"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WHO&gt;2 </w:t>
            </w:r>
          </w:p>
          <w:p w14:paraId="4B59898A"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r>
      <w:tr w:rsidR="00B61A3A" w:rsidRPr="001A6F97" w14:paraId="17C85402" w14:textId="77777777" w:rsidTr="00B61A3A">
        <w:trPr>
          <w:trHeight w:val="255"/>
        </w:trPr>
        <w:tc>
          <w:tcPr>
            <w:tcW w:w="3008" w:type="dxa"/>
            <w:gridSpan w:val="2"/>
            <w:shd w:val="clear" w:color="auto" w:fill="auto"/>
            <w:noWrap/>
            <w:hideMark/>
          </w:tcPr>
          <w:p w14:paraId="4115C014" w14:textId="77777777" w:rsidR="00B61A3A" w:rsidRPr="00F72E17" w:rsidRDefault="00B61A3A" w:rsidP="00B61A3A">
            <w:pPr>
              <w:spacing w:before="240" w:line="360" w:lineRule="auto"/>
              <w:rPr>
                <w:rFonts w:ascii="Times New Roman" w:eastAsia="Times New Roman" w:hAnsi="Times New Roman"/>
                <w:b/>
                <w:color w:val="000000"/>
                <w:sz w:val="16"/>
                <w:szCs w:val="16"/>
                <w:u w:val="single"/>
                <w:lang w:val="en-US"/>
              </w:rPr>
            </w:pPr>
            <w:proofErr w:type="spellStart"/>
            <w:r w:rsidRPr="00F72E17">
              <w:rPr>
                <w:rFonts w:ascii="Times New Roman" w:eastAsia="Times New Roman" w:hAnsi="Times New Roman"/>
                <w:b/>
                <w:color w:val="000000"/>
                <w:sz w:val="16"/>
                <w:szCs w:val="16"/>
                <w:u w:val="single"/>
                <w:lang w:val="en-US"/>
              </w:rPr>
              <w:t>Epirubicin+Oxaliplatin+CAP</w:t>
            </w:r>
            <w:proofErr w:type="spellEnd"/>
          </w:p>
        </w:tc>
        <w:tc>
          <w:tcPr>
            <w:tcW w:w="1708" w:type="dxa"/>
            <w:gridSpan w:val="2"/>
            <w:shd w:val="clear" w:color="auto" w:fill="auto"/>
            <w:noWrap/>
            <w:hideMark/>
          </w:tcPr>
          <w:p w14:paraId="7A76A145" w14:textId="77777777" w:rsidR="00B61A3A" w:rsidRPr="00F72E17" w:rsidRDefault="00B61A3A" w:rsidP="00B61A3A">
            <w:pPr>
              <w:spacing w:before="240" w:line="360" w:lineRule="auto"/>
              <w:rPr>
                <w:rFonts w:ascii="Times New Roman" w:eastAsia="Times New Roman" w:hAnsi="Times New Roman"/>
                <w:color w:val="000000"/>
                <w:sz w:val="16"/>
                <w:szCs w:val="16"/>
                <w:u w:val="single"/>
                <w:lang w:val="en-US"/>
              </w:rPr>
            </w:pPr>
            <w:proofErr w:type="spellStart"/>
            <w:r w:rsidRPr="00F72E17">
              <w:rPr>
                <w:rFonts w:ascii="Times New Roman" w:eastAsia="Times New Roman" w:hAnsi="Times New Roman"/>
                <w:color w:val="000000"/>
                <w:sz w:val="16"/>
                <w:szCs w:val="16"/>
                <w:u w:val="single"/>
                <w:lang w:val="en-US"/>
              </w:rPr>
              <w:t>AFOx</w:t>
            </w:r>
            <w:proofErr w:type="spellEnd"/>
          </w:p>
        </w:tc>
        <w:tc>
          <w:tcPr>
            <w:tcW w:w="1322" w:type="dxa"/>
            <w:shd w:val="clear" w:color="auto" w:fill="auto"/>
            <w:noWrap/>
            <w:hideMark/>
          </w:tcPr>
          <w:p w14:paraId="3415C463"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623" w:type="dxa"/>
            <w:gridSpan w:val="2"/>
            <w:shd w:val="clear" w:color="auto" w:fill="auto"/>
            <w:noWrap/>
            <w:hideMark/>
          </w:tcPr>
          <w:p w14:paraId="421BC83B"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379" w:type="dxa"/>
            <w:shd w:val="clear" w:color="auto" w:fill="auto"/>
            <w:noWrap/>
            <w:hideMark/>
          </w:tcPr>
          <w:p w14:paraId="3EDD571A"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797" w:type="dxa"/>
            <w:shd w:val="clear" w:color="auto" w:fill="auto"/>
            <w:noWrap/>
            <w:hideMark/>
          </w:tcPr>
          <w:p w14:paraId="4C6347DA"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r>
      <w:tr w:rsidR="00B61A3A" w:rsidRPr="007D2E2F" w14:paraId="6CB5CB2F" w14:textId="77777777" w:rsidTr="00B61A3A">
        <w:trPr>
          <w:trHeight w:val="255"/>
        </w:trPr>
        <w:tc>
          <w:tcPr>
            <w:tcW w:w="2552" w:type="dxa"/>
            <w:shd w:val="clear" w:color="auto" w:fill="auto"/>
            <w:noWrap/>
            <w:hideMark/>
          </w:tcPr>
          <w:p w14:paraId="7B4B9415" w14:textId="48CEAE97" w:rsidR="00B61A3A" w:rsidRPr="007D2E2F" w:rsidRDefault="00B61A3A" w:rsidP="00B61A3A">
            <w:pPr>
              <w:spacing w:before="240" w:line="360" w:lineRule="auto"/>
              <w:rPr>
                <w:rFonts w:ascii="Times New Roman" w:eastAsia="Times New Roman" w:hAnsi="Times New Roman"/>
                <w:b/>
                <w:color w:val="000000"/>
                <w:sz w:val="16"/>
                <w:szCs w:val="16"/>
              </w:rPr>
            </w:pPr>
            <w:r w:rsidRPr="00F72E17">
              <w:rPr>
                <w:rFonts w:ascii="Times New Roman" w:eastAsia="Times New Roman" w:hAnsi="Times New Roman"/>
                <w:b/>
                <w:color w:val="000000"/>
                <w:sz w:val="16"/>
                <w:szCs w:val="16"/>
                <w:lang w:val="en-US"/>
              </w:rPr>
              <w:t xml:space="preserve">Cunningham 2008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{"citationItems":[{"id":"ITEM-1","itemData":{"DOI":"10.1056/NEJMoa073149","ISBN":"1533-4406 (Electronic)","ISSN":"0028-4793","PMID":"18172173","abstract":"BACKGROUND: We evaluated capecitabine (an oral fluoropyrimidine) and oxaliplatin (a platinum compound) as alternatives to infused fluorouracil and cisplatin, respectively, for untreated advanced esophagogastric cancer. METHODS: In a two-by-two design, we randomly assigned 1002 patients to receive triplet therapy with epirubicin and cisplatin plus either fluorouracil (ECF) or capecitabine (ECX) or triplet therapy with epirubicin and oxaliplatin plus either fluorouracil (EOF) or capecitabine (EOX). The primary end point was noninferiority in overall survival for the triplet therapies containing capecitabine as compared with fluorouracil and for those containing oxaliplatin as compared with cisplatin. RESULTS: For the capecitabine-fluorouracil comparison, the hazard ratio for death in the capecitabine group was 0.86 (95% confidence interval [CI], 0.80 to 0.99); for the oxaliplatin-cisplatin comparison, the hazard ratio for the oxaliplatin group was 0.92 (95% CI, 0.80 to 1.10). The upper limit of the confidence intervals for both hazard ratios excluded the predefined noninferiority margin of 1.23. Median survival times in the ECF, ECX, EOF, and EOX groups were 9.9 months, 9.9 months, 9.3 months, and 11.2 months, respectively; survival rates at 1 year were 37.7%, 40.8%, 40.4%, and 46.8%, respectively. In the secondary analysis, overall survival was longer with EOX than with ECF, with a hazard ratio for death of 0.80 in the EOX group (95% CI, 0.66 to 0.97; P=0.02). Progression-free survival and response rates did not differ significantly among the regimens. Toxic effects of capecitabine and fluorouracil were similar. As compared with cisplatin, oxaliplatin was associated with lower incidences of grade 3 or 4 neutropenia, alopecia, renal toxicity, and thromboembolism but with slightly higher incidences of grade 3 or 4 diarrhea and neuropathy. CONCLUSIONS: Capecitabine and oxaliplatin are as effective as fluorouracil and cisplatin, respectively, in patients with previously untreated esophagogastric cancer. (Current Controlled Trials number, ISRCTN51678883 [controlled-trials.com].).","author":[{"dropping-particle":"","family":"Cunningham","given":"David","non-dropping-particle":"","parse-names":false,"suffix":""},{"dropping-particle":"","family":"Starling","given":"Naureen","non-dropping-particle":"","parse-names":false,"suffix":""},{"dropping-particle":"","family":"Rao","given":"Sheela","non-dropping-particle":"","parse-names":false,"suffix":""},{"dropping-particle":"","family":"Iveson","given":"Timothy","non-dropping-particle":"","parse-names":false,"suffix":""},{"dropping-particle":"","family":"Nicolson","given":"Marianne","non-dropping-particle":"","parse-names":false,"suffix":""},{"dropping-particle":"","family":"Coxon","given":"Fareeda","non-dropping-particle":"","parse-names":false,"suffix":""},{"dropping-particle":"","family":"Middleton","given":"Gary","non-dropping-particle":"","parse-names":false,"suffix":""},{"dropping-particle":"","family":"Daniel","given":"Francis","non-dropping-particle":"","parse-names":false,"suffix":""},{"dropping-particle":"","family":"Oates","given":"Jacqueline","non-dropping-particle":"","parse-names":false,"suffix":""},{"dropping-particle":"","family":"Norman","given":"Andrew Richard","non-dropping-particle":"","parse-names":false,"suffix":""}],"container-title":"New England Journal of Medicine","id":"ITEM-1","issue":"1","issued":{"date-parts":[["2008"]]},"page":"36-46","title":"Capecitabine and Oxaliplatin for Advanced Esophagogastric Cancer","type":"article-journal","volume":"358"},"uris":["http://www.mendeley.com/documents/?uuid=f2a6c77c-5204-4e55-9254-923cd7245302"]}],"mendeley":{"formattedCitation":"[78]","plainTextFormattedCitation":"[78]","previouslyFormattedCitation":"[78]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[78]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D7CF52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227</w:t>
            </w:r>
          </w:p>
        </w:tc>
        <w:tc>
          <w:tcPr>
            <w:tcW w:w="1708" w:type="dxa"/>
            <w:gridSpan w:val="2"/>
            <w:shd w:val="clear" w:color="auto" w:fill="auto"/>
            <w:noWrap/>
            <w:hideMark/>
          </w:tcPr>
          <w:p w14:paraId="5DD56EA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Epi+Ox+Cap</w:t>
            </w:r>
          </w:p>
        </w:tc>
        <w:tc>
          <w:tcPr>
            <w:tcW w:w="1322" w:type="dxa"/>
            <w:shd w:val="clear" w:color="auto" w:fill="auto"/>
            <w:noWrap/>
            <w:hideMark/>
          </w:tcPr>
          <w:p w14:paraId="60039B5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202 (83)</w:t>
            </w:r>
          </w:p>
        </w:tc>
        <w:tc>
          <w:tcPr>
            <w:tcW w:w="1623" w:type="dxa"/>
            <w:gridSpan w:val="2"/>
            <w:shd w:val="clear" w:color="auto" w:fill="auto"/>
            <w:noWrap/>
            <w:hideMark/>
          </w:tcPr>
          <w:p w14:paraId="056B572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62 (25-80)</w:t>
            </w:r>
          </w:p>
        </w:tc>
        <w:tc>
          <w:tcPr>
            <w:tcW w:w="1379" w:type="dxa"/>
            <w:shd w:val="clear" w:color="auto" w:fill="auto"/>
            <w:noWrap/>
            <w:hideMark/>
          </w:tcPr>
          <w:p w14:paraId="01FB91B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185 (76)</w:t>
            </w:r>
          </w:p>
        </w:tc>
        <w:tc>
          <w:tcPr>
            <w:tcW w:w="797" w:type="dxa"/>
            <w:shd w:val="clear" w:color="auto" w:fill="auto"/>
            <w:noWrap/>
            <w:hideMark/>
          </w:tcPr>
          <w:p w14:paraId="2B1200C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24 (10)</w:t>
            </w:r>
          </w:p>
        </w:tc>
      </w:tr>
      <w:tr w:rsidR="00B61A3A" w:rsidRPr="007D2E2F" w14:paraId="36877B34" w14:textId="77777777" w:rsidTr="00B61A3A">
        <w:trPr>
          <w:trHeight w:val="255"/>
        </w:trPr>
        <w:tc>
          <w:tcPr>
            <w:tcW w:w="2552" w:type="dxa"/>
            <w:shd w:val="clear" w:color="auto" w:fill="auto"/>
            <w:noWrap/>
            <w:hideMark/>
          </w:tcPr>
          <w:p w14:paraId="1540AD95" w14:textId="525C2CDE"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Ochenduszko 2015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{"citationItems":[{"id":"ITEM-1","itemData":{"DOI":"10.1007/s12032-015-0687-7","ISSN":"1559131X","PMID":"26354521","abstract":"The aim of the study was to compare efficacy and safety of first-line palliative chemotherapy with (EOX) epirubicin/oxaliplatin/capecitabine and (mDCF) docetaxel/cisplatin/5FU/leucovorin regimens for untreated advanced HER2-negative gastric or gastroesophageal junction adenocarcinoma. Fifty-six patients were randomly assigned to mDCF (docetaxel 40 mg/m(2) day 1, leucovorin 400 mg/m(2) day 1, 5FU 400 mg/m(2) bolus day 1, 5FU 1000 mg/m(2)/d days 1 and 2, cisplatin 40 mg/m(2) day 3) or EOX (epirubicin 50 mg/m(2) day 1, oxaliplatin 130 mg/m(2) day 1, capecitabine 1250 mg/m(2)/d days 1-21). The primary endpoint was overall survival. The median overall survival was 9.5 months with EOX and 11.9 months with mDCF (p = 0.135), while median progression-free survival was 6.4 and 6.8 months, respectively (p = 0.440). Two-year survival rate was 22.2 % with mDCF compared to 5.2 % with EOX. Patients in the EOX arm had more frequent reductions in chemotherapy doses (34.5 vs. 3.7 %; p = 0.010) and delays in subsequent chemotherapy cycles (82.8 vs. 63.0 %; p = 0.171). There was no statistically significant difference in the rates of grade 3-4 adverse events (EOX 79.3 vs. mDCF 61.5 %; p = 0.234). As compared with the mDCF, the EOX regimen was associated with more frequent nausea (34.5 vs. 15.4 %), thromboembolic events (13.8 vs. 7.7 %), abdominal pain (13.8 vs. 7.7 %) and grades 3-4 neutropenia (72.4 vs. 50.0 %), but lower incidences of anemia (44.8 vs. 61.5 %), mucositis (6.9 vs. 15.4 %) and peripheral neuropathy (6.9 vs. 15.4 %). In conclusion, the mDCF regimen was associated with a statistically nonsignificant 2.4-month longer median overall survival without an increase in toxicity. This trial is registered at ClinicalTrials.gov, number NCT02445209.","author":[{"dropping-particle":"","family":"Ochenduszko","given":"Sebastian","non-dropping-particle":"","parse-names":false,"suffix":""},{"dropping-particle":"","family":"Puskulluoglu","given":"Miroslawa","non-dropping-particle":"","parse-names":false,"suffix":""},{"dropping-particle":"","family":"Konopka","given":"Kamil","non-dropping-particle":"","parse-names":false,"suffix":""},{"dropping-particle":"","family":"Fijorek","given":"Kamil","non-dropping-particle":"","parse-names":false,"suffix":""},{"dropping-particle":"","family":"Urbanczyk","given":"Katarzyna","non-dropping-particle":"","parse-names":false,"suffix":""},{"dropping-particle":"","family":"Budzynski","given":"Andrzej","non-dropping-particle":"","parse-names":false,"suffix":""},{"dropping-particle":"","family":"Matlok","given":"Maciej","non-dropping-particle":"","parse-names":false,"suffix":""},{"dropping-particle":"","family":"Lazar","given":"Agata","non-dropping-particle":"","parse-names":false,"suffix":""},{"dropping-particle":"","family":"Sinczak-Kuta","given":"Anna","non-dropping-particle":"","parse-names":false,"suffix":""},{"dropping-particle":"","family":"Pedziwiatr","given":"Michal","non-dropping-particle":"","parse-names":false,"suffix":""},{"dropping-particle":"","family":"Krzemieniecki","given":"Krzysztof","non-dropping-particle":"","parse-names":false,"suffix":""}],"container-title":"Medical Oncology","id":"ITEM-1","issue":"10","issued":{"date-parts":[["2015"]]},"page":"1-8","publisher":"Springer US","title":"Comparison of efficacy and safety of first-line palliative chemotherapy with EOX and mDCF regimens in patients with locally advanced inoperable or metastatic HER2-negative gastric or gastroesophageal junction adenocarcinoma: a randomized phase 3 trial","type":"article-journal","volume":"32"},"uris":["http://www.mendeley.com/documents/?uuid=c4866849-c400-4826-a7db-44fa74051b13"]}],"mendeley":{"formattedCitation":"[86]","plainTextFormattedCitation":"[86]","previouslyFormattedCitation":"[86]"},"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[86]</w:t>
            </w:r>
            <w:r w:rsidRPr="007D2E2F">
              <w:rPr>
                <w:rFonts w:ascii="Times New Roman" w:eastAsia="Times New Roman" w:hAnsi="Times New Roman"/>
                <w:sz w:val="16"/>
                <w:szCs w:val="16"/>
              </w:rPr>
              <w:fldChar w:fldCharType="end"/>
            </w:r>
          </w:p>
        </w:tc>
        <w:tc>
          <w:tcPr>
            <w:tcW w:w="456" w:type="dxa"/>
            <w:shd w:val="clear" w:color="auto" w:fill="auto"/>
            <w:noWrap/>
            <w:hideMark/>
          </w:tcPr>
          <w:p w14:paraId="6D4FE8F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29</w:t>
            </w:r>
          </w:p>
        </w:tc>
        <w:tc>
          <w:tcPr>
            <w:tcW w:w="1708" w:type="dxa"/>
            <w:gridSpan w:val="2"/>
            <w:shd w:val="clear" w:color="auto" w:fill="auto"/>
            <w:noWrap/>
            <w:hideMark/>
          </w:tcPr>
          <w:p w14:paraId="2DAA5D7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Epi+Ox+Cap</w:t>
            </w:r>
          </w:p>
        </w:tc>
        <w:tc>
          <w:tcPr>
            <w:tcW w:w="1322" w:type="dxa"/>
            <w:shd w:val="clear" w:color="auto" w:fill="auto"/>
            <w:noWrap/>
            <w:hideMark/>
          </w:tcPr>
          <w:p w14:paraId="7BD1A97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16 (55.2)</w:t>
            </w:r>
          </w:p>
        </w:tc>
        <w:tc>
          <w:tcPr>
            <w:tcW w:w="1623" w:type="dxa"/>
            <w:gridSpan w:val="2"/>
            <w:shd w:val="clear" w:color="auto" w:fill="auto"/>
            <w:noWrap/>
            <w:hideMark/>
          </w:tcPr>
          <w:p w14:paraId="355F8D1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58 (NA)</w:t>
            </w:r>
          </w:p>
        </w:tc>
        <w:tc>
          <w:tcPr>
            <w:tcW w:w="1379" w:type="dxa"/>
            <w:shd w:val="clear" w:color="auto" w:fill="auto"/>
            <w:noWrap/>
            <w:hideMark/>
          </w:tcPr>
          <w:p w14:paraId="2DB4178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29 (100)</w:t>
            </w:r>
          </w:p>
        </w:tc>
        <w:tc>
          <w:tcPr>
            <w:tcW w:w="797" w:type="dxa"/>
            <w:shd w:val="clear" w:color="auto" w:fill="auto"/>
            <w:noWrap/>
            <w:hideMark/>
          </w:tcPr>
          <w:p w14:paraId="70F65E2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(10)</w:t>
            </w:r>
          </w:p>
        </w:tc>
      </w:tr>
      <w:tr w:rsidR="00B61A3A" w:rsidRPr="007D2E2F" w14:paraId="557D782A" w14:textId="77777777" w:rsidTr="00B61A3A">
        <w:trPr>
          <w:trHeight w:val="255"/>
        </w:trPr>
        <w:tc>
          <w:tcPr>
            <w:tcW w:w="2552" w:type="dxa"/>
            <w:shd w:val="clear" w:color="auto" w:fill="auto"/>
            <w:noWrap/>
            <w:hideMark/>
          </w:tcPr>
          <w:p w14:paraId="068E3CCE" w14:textId="28EA2B8E"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Hall 2017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{"citationItems":[{"id":"ITEM-1","itemData":{"DOI":"10.1038/bjc.2016.442","ISSN":"15321827","PMID":"28095397","abstract":"Background: Elderly patients are commonly under-represented in cancer\nclinical trials. The 321GO was undertaken in preparation for a\ndefinitive phase three trial assessing different chemotherapy regimens\nin a frail and/or elderly population with advanced gastroesophageal (GO)\ncancer.\nMethods: Patients with advanced GO cancer considered unfit for\nconventional dose chemotherapy were randomly assigned in a 1 : 1 : 1\nratio to: epirubicin, oxaliplatin and capecitabine (EOX); oxaliplatin\nand capecitabine (OX); and capecitabine alone (X) (all 80% of full dose\nand unblinded). The primary end point was patient recruitment over an\n18-month period. A registration study recorded treatment choice for all\npatients with advanced GO cancer at trial centres.\nResults: A total of 313 patients were considered for palliative\nchemotherapy for GO cancer over the 18-month period: 115 received full\ndose treatment, 89 less than standard treatment or entered 321GO and 111\nno treatment. Within 321GO, 55 patients were randomly assigned (19 to OX\nand X; 17 to EOX). Progression-free survival (PFS) for all patients was\n4.4 months and by arm 5.4, 5.6 and 3.0 months for EOX, OX and X,\nrespectively. The number of patients with a good overall treatment\nutility (OTU), a novel patient-centred endpoint, at 12 weeks was 3\n(18%), 6 (32%) and 1 (6%) for EOX, OX and X, respectively. At 6\nweeks, 22 patients (41%) had experienced a non-haematologic toxicity &gt;=\ngrade 3, most commonly lethargy or diarrhoea. The OTU was prognostic for\noverall survival in patients alive at week 12 (logrank test P = 0.0001).\nConclusions: It is feasible to recruit elderly and/or frail patients\nwith advanced GO cancer to a randomised clinical trial. The OX is the\npreferred regimen for further study. Overall treatment utility shows\npromise as a comparator between treatment regimens for feasibility and\nrandomised trials in the elderly and/or frail GO cancer population.","author":[{"dropping-particle":"","family":"Hall","given":"P. S.","non-dropping-particle":"","parse-names":false,"suffix":""},{"dropping-particle":"","family":"Lord","given":"S. R.","non-dropping-particle":"","parse-names":false,"suffix":""},{"dropping-particle":"","family":"Collinson","given":"M.","non-dropping-particle":"","parse-names":false,"suffix":""},{"dropping-particle":"","family":"Marshall","given":"H.","non-dropping-particle":"","parse-names":false,"suffix":""},{"dropping-particle":"","family":"Jones","given":"M.","non-dropping-particle":"","parse-names":false,"suffix":""},{"dropping-particle":"","family":"Lowe","given":"C.","non-dropping-particle":"","parse-names":false,"suffix":""},{"dropping-particle":"","family":"Howard","given":"H.","non-dropping-particle":"","parse-names":false,"suffix":""},{"dropping-particle":"","family":"Swinson","given":"D.","non-dropping-particle":"","parse-names":false,"suffix":""},{"dropping-particle":"","family":"Velikova","given":"G.","non-dropping-particle":"","parse-names":false,"suffix":""},{"dropping-particle":"","family":"Anthoney","given":"A.","non-dropping-particle":"","parse-names":false,"suffix":""},{"dropping-particle":"","family":"Roy","given":"R.","non-dropping-particle":"","parse-names":false,"suffix":""},{"dropping-particle":"","family":"Dent","given":"J.","non-dropping-particle":"","parse-names":false,"suffix":""},{"dropping-particle":"","family":"Cheeseman","given":"S.","non-dropping-particle":"","parse-names":false,"suffix":""},{"dropping-particle":"","family":"Last","given":"K.","non-dropping-particle":"","parse-names":false,"suffix":""},{"dropping-particle":"","family":"Seymour","given":"M. T.","non-dropping-particle":"","parse-names":false,"suffix":""}],"container-title":"British Journal of Cancer","id":"ITEM-1","issue":"4","issued":{"date-parts":[["2017"]]},"page":"472-478","publisher":"Nature Publishing Group","title":"A randomised phase II trial and feasibility study of palliative chemotherapy in frail or elderly patients with advanced gastroesophageal cancer (321GO)","type":"article-journal","volume":"116"},"uris":["http://www.mendeley.com/documents/?uuid=6f6e9c16-0f6e-42e6-80a7-035e667b17c1"]}],"mendeley":{"formattedCitation":"[14]","plainTextFormattedCitation":"[14]","previouslyFormattedCitation":"[14]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[14]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9BF662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17</w:t>
            </w:r>
          </w:p>
        </w:tc>
        <w:tc>
          <w:tcPr>
            <w:tcW w:w="1708" w:type="dxa"/>
            <w:gridSpan w:val="2"/>
            <w:shd w:val="clear" w:color="auto" w:fill="auto"/>
            <w:noWrap/>
            <w:hideMark/>
          </w:tcPr>
          <w:p w14:paraId="5EBFC72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Epi+Ox+Cap</w:t>
            </w:r>
          </w:p>
        </w:tc>
        <w:tc>
          <w:tcPr>
            <w:tcW w:w="1322" w:type="dxa"/>
            <w:shd w:val="clear" w:color="auto" w:fill="auto"/>
            <w:noWrap/>
            <w:hideMark/>
          </w:tcPr>
          <w:p w14:paraId="7E48183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13 (76)</w:t>
            </w:r>
          </w:p>
        </w:tc>
        <w:tc>
          <w:tcPr>
            <w:tcW w:w="1623" w:type="dxa"/>
            <w:gridSpan w:val="2"/>
            <w:shd w:val="clear" w:color="auto" w:fill="auto"/>
            <w:noWrap/>
            <w:hideMark/>
          </w:tcPr>
          <w:p w14:paraId="2ED5787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74 (64-82)</w:t>
            </w:r>
          </w:p>
        </w:tc>
        <w:tc>
          <w:tcPr>
            <w:tcW w:w="1379" w:type="dxa"/>
            <w:shd w:val="clear" w:color="auto" w:fill="auto"/>
            <w:noWrap/>
            <w:hideMark/>
          </w:tcPr>
          <w:p w14:paraId="4E7AD3D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17 (100)</w:t>
            </w:r>
          </w:p>
        </w:tc>
        <w:tc>
          <w:tcPr>
            <w:tcW w:w="797" w:type="dxa"/>
            <w:shd w:val="clear" w:color="auto" w:fill="auto"/>
            <w:noWrap/>
            <w:hideMark/>
          </w:tcPr>
          <w:p w14:paraId="591D561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 (35)</w:t>
            </w:r>
          </w:p>
        </w:tc>
      </w:tr>
      <w:tr w:rsidR="00B61A3A" w:rsidRPr="007D2E2F" w14:paraId="23291BFA" w14:textId="77777777" w:rsidTr="00B61A3A">
        <w:trPr>
          <w:trHeight w:val="255"/>
        </w:trPr>
        <w:tc>
          <w:tcPr>
            <w:tcW w:w="2552" w:type="dxa"/>
            <w:shd w:val="clear" w:color="auto" w:fill="auto"/>
            <w:noWrap/>
            <w:hideMark/>
          </w:tcPr>
          <w:p w14:paraId="4977D719" w14:textId="4CDAE494"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Al-batran 2016 (FAST)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{"citationItems":[{"id":"ITEM-1","itemData":{"DOI":"10.1200/JCO.2016.34.18_suppl.LBA4001","ISSN":"0732-183X","abstract":"LBA4001Background: Claudin18.2 (CLDN18.2) is a tight junction protein expressed by several cancers including gastric and GEJ adenocarcinoma. IMAB362 is a chimeric monoclonal antibody that mediates specific killing of CLDN18.2-positive cancer cells by activation of immune effector mechanisms. IMAB362 has demonstrated single-agent activity and was safe and tolerable in patients (pts) with pretreated gastric cancer. Methods: Pts with advanced/recurrent gastric and GEJ cancer were centrally evaluated for CLDN18.2 expression by IHC (validated CLAUDETECT18.2 Kit). Eligible pts had a CLDN18.2 expression of ≥ 2+ in ≥ 40% tumor cells, an ECOG PS of 0?1 and were not eligible for trastuzumab. Pts were randomized 1:1 to first-line EOX (epirubicin 50 mg/m2 and oxaliplatin 130 mg/m2 d1, and capecitabine 625 mg/m2 bid, d1?21; qd22) with or without IMAB362 (loading dose 800 mg/m2, then 600 mg/m2 d1, qd21). The study was extended by an exploratory Arm3 (N = 85) to investigate a high dose IMAB362 (1000 mg/m2) plus EOX, (not subject here). The primary study endpoint was PFS (Arm 1 v 2, 70% power, HR 0.72, 1-sided p = 0.1). Results: 730 pts were consented, of whom 352 pts (48%) were tested CLDN18.2+ per protocol criteria. Of those, 161 pts (median age, 58 yrs; male 64%; gastric, 80%; GEJ, 16%; esophageal, 4%) were randomized into Arms1 and 2. The study met its endpoints. IMAB362 plus EOX improved PFS (median 5.7 v 7.9 mon; HR 0.5; 95% CI 0.35?0.78, 1-sided p = 0.001) and OS (median 8.7 v 12.5 mon; HR 0.5, 95% CI 0.28?0.73) compared to EOX alone. In the subpopulation with very high CLDN18.2 expression ( ≥ 2+ intensity in ≥ 70% tumor cells), efficacy was more pronounced (PFS, 6.1 vs 9.1 mon; HR 0.46; OS, 9.3 v 16.6 mon; HR 0.44). Most common IMAB362-related adverse events included vomiting, neutropenia, and anemia, which were mostly of NCI-CTC grade 1/2. Grade 3/4 events were not significantly increased by IMAB362. Conclusions: IMAB362 combined with first-line chemotherapy exhibited a clinically relevant benefit in PFS and OS and a favorable risk/benefit profile. Clinical trial information: NCT01630083.","author":[{"dropping-particle":"","family":"Al-Batran","given":"Salah-Eddin","non-dropping-particle":"","parse-names":false,"suffix":""},{"dropping-particle":"","family":"Schuler","given":"Martin H","non-dropping-particle":"","parse-names":false,"suffix":""},{"dropping-particle":"","family":"Zvirbule","given":"Zanete","non-dropping-particle":"","parse-names":false,"suffix":""},{"dropping-particle":"","family":"Manikhas","given":"Georgiy","non-dropping-particle":"","parse-names":false,"suffix":""},{"dropping-particle":"","family":"Lordick","given":"Florian","non-dropping-particle":"","parse-names":false,"suffix":""},{"dropping-particle":"","family":"Rusyn","given":"Andriy","non-dropping-particle":"","parse-names":false,"suffix":""},{"dropping-particle":"","family":"Vynnyk","given":"Yuriy","non-dropping-particle":"","parse-names":false,"suffix":""},{"dropping-particle":"","family":"Vynnychenko","given":"Ihor","non-dropping-particle":"","parse-names":false,"suffix":""},{"dropping-particle":"","family":"Fadeeva","given":"Natalia","non-dropping-particle":"","parse-names":false,"suffix":""},{"dropping-particle":"","family":"Nechaeva","given":"Marina","non-dropping-particle":"","parse-names":false,"suffix":""},{"dropping-particle":"","family":"Dudov","given":"Assen","non-dropping-particle":"","parse-names":false,"suffix":""},{"dropping-particle":"","family":"Gotovkin","given":"Evgeny","non-dropping-particle":"","parse-names":false,"suffix":""},{"dropping-particle":"","family":"Pecheniy","given":"Alexander","non-dropping-particle":"","parse-names":false,"suffix":""},{"dropping-particle":"","family":"Bazin","given":"Igor","non-dropping-particle":"","parse-names":false,"suffix":""},{"dropping-particle":"","family":"Bondarenko","given":"Igor","non-dropping-particle":"","parse-names":false,"suffix":""},{"dropping-particle":"","family":"Melichar","given":"Bohuslav","non-dropping-particle":"","parse-names":false,"suffix":""},{"dropping-particle":"","family":"Mueller","given":"Christian","non-dropping-particle":"","parse-names":false,"suffix":""},{"dropping-particle":"","family":"Huber","given":"Christoph","non-dropping-particle":"","parse-names":false,"suffix":""},{"dropping-particle":"","family":"Tureci","given":"Oezlem","non-dropping-particle":"","parse-names":false,"suffix":""},{"dropping-particle":"","family":"Sahin","given":"Ugur","non-dropping-particle":"","parse-names":false,"suffix":""}],"container-title":"Journal of Clinical Oncology","id":"ITEM-1","issue":"18_suppl","issued":{"date-parts":[["2016","6","20"]]},"note":"doi: 10.1200/JCO.2016.34.18_suppl.LBA4001","page":"LBA4001-LBA4001","publisher":"American Society of Clinical Oncology","title":"FAST: An international, multicenter, randomized, phase II trial of epirubicin, oxaliplatin, and capecitabine (EOX) with or without IMAB362, a first-in-class anti-CLDN18.2 antibody, as first-line therapy in patients with advanced CLDN18.2+ gastric and gast","type":"article-journal","volume":"34"},"uris":["http://www.mendeley.com/documents/?uuid=29940408-2f3a-4a2b-bb0c-3244eb581263"]}],"mendeley":{"formattedCitation":"[87]","plainTextFormattedCitation":"[87]","previouslyFormattedCitation":"[87]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[87]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1583ACE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84</w:t>
            </w:r>
          </w:p>
        </w:tc>
        <w:tc>
          <w:tcPr>
            <w:tcW w:w="1708" w:type="dxa"/>
            <w:gridSpan w:val="2"/>
            <w:shd w:val="clear" w:color="auto" w:fill="auto"/>
            <w:noWrap/>
            <w:hideMark/>
          </w:tcPr>
          <w:p w14:paraId="778C028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Epi+Ox+Cap</w:t>
            </w:r>
          </w:p>
        </w:tc>
        <w:tc>
          <w:tcPr>
            <w:tcW w:w="1322" w:type="dxa"/>
            <w:shd w:val="clear" w:color="auto" w:fill="auto"/>
            <w:noWrap/>
            <w:hideMark/>
          </w:tcPr>
          <w:p w14:paraId="514B2B7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623" w:type="dxa"/>
            <w:gridSpan w:val="2"/>
            <w:shd w:val="clear" w:color="auto" w:fill="auto"/>
            <w:noWrap/>
            <w:hideMark/>
          </w:tcPr>
          <w:p w14:paraId="4BCEAC3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1379" w:type="dxa"/>
            <w:shd w:val="clear" w:color="auto" w:fill="auto"/>
            <w:noWrap/>
            <w:hideMark/>
          </w:tcPr>
          <w:p w14:paraId="52B1F18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0F8CAF2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1A6F97" w14:paraId="60CA5ADF" w14:textId="77777777" w:rsidTr="00B61A3A">
        <w:trPr>
          <w:trHeight w:val="255"/>
        </w:trPr>
        <w:tc>
          <w:tcPr>
            <w:tcW w:w="2552" w:type="dxa"/>
            <w:shd w:val="clear" w:color="auto" w:fill="auto"/>
            <w:noWrap/>
            <w:hideMark/>
          </w:tcPr>
          <w:p w14:paraId="7B231C5C" w14:textId="1713A957" w:rsidR="00B61A3A" w:rsidRPr="00F72E17"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Waddell 2013 (REAL 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{"citationItems":[{"id":"ITEM-1","itemData":{"DOI":"10.1016/S1470-2045(13)70096-2","ISBN":"1474-5488 (Electronic)\\n1470-2045 (Linking)","ISSN":"14702045","PMID":"23594787","abstract":"Background: EGFR overexpression occurs in 27-55% of oesophagogastric adenocarcinomas, and correlates with poor prognosis. We aimed to assess addition of the anti-EGFR antibody panitumumab to epirubicin, oxaliplatin, and capecitabine (EOC) in patients with advanced oesophagogastric adenocarcinoma. Methods: In this randomised, open-label phase 3 trial (REAL3), we enrolled patients with untreated, metastatic, or locally advanced oesophagogastric adenocarcinoma at 63 centres (tertiary referral centres, teaching hospitals, and district general hospitals) in the UK. Eligible patients were randomly allocated (1:1) to receive up to eight 21-day cycles of open-label EOC (epirubicin 50 mg/m2and oxaliplatin 130 mg/m2on day 1 and capecitabine 1250 mg/m2per day on days 1-21) or modified-dose EOC plus panitumumab (mEOC+P; epirubicin 50 mg/m2and oxaliplatin 100 mg/m2on day 1, capecitabine 1000 mg/m2per day on days 1-21, and panitumumab 9 mg/kg on day 1). Randomisation was blocked and stratified for centre region, extent of disease, and performance status. The primary endpoint was overall survival in the intention-to-treat population. We assessed safety in all patients who received at least one dose of study drug. After a preplanned independent data monitoring committee review in October, 2011, trial recruitment was halted and panitumumab withdrawn. Data for patients on treatment were censored at this timepoint. This study is registered with ClinicalTrials.gov, number NCT00824785. Findings: Between June 2, 2008, and Oct 17, 2011, we enrolled 553 eligible patients. Median overall survival in 275 patients allocated EOC was 11·3 months (95% CI 9·6-13·0) compared with 8·8 months (7·7-9·8) in 278 patients allocated mEOC+P (hazard ratio [HR] 1·37, 95% CI 1·07-1·76; p=0·013). mEOC+P was associated with increased incidence of grade 3-4 diarrhoea (48 [17%] of 276 patients allocated mEOC+P vs 29 [11%] of 266 patients allocated EOC), rash (29 [11%] vs two [1%]), mucositis (14 [5%] vs none), and hypomagnesaemia (13 [5%] vs none) but reduced incidence of haematological toxicity (grade ≥3 neutropenia 35 [13%] vs 74 [28%]). Interpretation: Addition of panitumumab to EOC chemotherapy does not increase overall survival and cannot be recommended for use in an unselected population with advanced oesophagogastric adenocarcinoma. Funding: Amgen, UK National Institute for Health Research Biomedical Research Centre. © 2013 Elsevier Ltd.","author":[{"dropping-particle":"","family":"Waddell","given":"Tom","non-dropping-particle":"","parse-names":false,"suffix":""},{"dropping-particle":"","family":"Chau","given":"Ian","non-dropping-particle":"","parse-names":false,"suffix":""},{"dropping-particle":"","family":"Cunningham","given":"David","non-dropping-particle":"","parse-names":false,"suffix":""},{"dropping-particle":"","family":"Gonzalez","given":"David","non-dropping-particle":"","parse-names":false,"suffix":""},{"dropping-particle":"","family":"Frances","given":"Alicia","non-dropping-particle":"","parse-names":false,"suffix":""},{"dropping-particle":"","family":"Okines","given":"Clare","non-dropping-particle":"","parse-names":false,"suffix":""},{"dropping-particle":"","family":"Wotherspoon","given":"Andrew","non-dropping-particle":"","parse-names":false,"suffix":""},{"dropping-particle":"","family":"Saffery","given":"Claire","non-dropping-particle":"","parse-names":false,"suffix":""},{"dropping-particle":"","family":"Middleton","given":"Gary","non-dropping-particle":"","parse-names":false,"suffix":""},{"dropping-particle":"","family":"Wadsley","given":"Jonathan","non-dropping-particle":"","parse-names":false,"suffix":""},{"dropping-particle":"","family":"Ferry","given":"David","non-dropping-particle":"","parse-names":false,"suffix":""},{"dropping-particle":"","family":"Mansoor","given":"Wasat","non-dropping-particle":"","parse-names":false,"suffix":""},{"dropping-particle":"","family":"Crosby","given":"Tom","non-dropping-particle":"","parse-names":false,"suffix":""},{"dropping-particle":"","family":"Coxon","given":"Fareeda","non-dropping-particle":"","parse-names":false,"suffix":""},{"dropping-partic</w:instrText>
            </w:r>
            <w:r w:rsidR="006739B2" w:rsidRPr="006739B2">
              <w:rPr>
                <w:rFonts w:ascii="Times New Roman" w:eastAsia="Times New Roman" w:hAnsi="Times New Roman"/>
                <w:b/>
                <w:color w:val="000000"/>
                <w:sz w:val="16"/>
                <w:szCs w:val="16"/>
                <w:lang w:val="en-US"/>
              </w:rPr>
              <w:instrText>le":"","family":"Smith","given":"David","non-dropping-particle":"","parse-names":false,"suffix":""},{"dropping-particle":"","family":"Waters","given":"Justin","non-dropping-particle":"","parse-names":false,"suffix":""},{"dropping-particle":"","family":"Iveson","given":"Timothy","non-dropping-particle":"","parse-names":false,"suffix":""},{"dropping-particle":"","family":"Falk","given":"Stephen","non-dropping-particle":"","parse-names":false,"suffix":""},{"dropping-particle":"","family":"Slater","given":"Sarah","non-dropping-particle":"","parse-names":false,"suffix":""},{"dropping-particle":"","family":"Peckitt","given":"Clare","non-dropping-particle":"","parse-names":false,"suffix":""},{"dropping-particle":"","family":"Barbachano","given":"Yolanda","non-dropping-particle":"","parse-names":false,"suffix":""}],"container-title":"The Lancet Oncology","id":"ITEM-1","issue":"6","issued":{"date-parts":[["2013"]]},"page":"481-489","title":"Epirubicin, oxaliplatin, and capecitabine with or without panitumumab for patients with previously untreated advanced oesophagogastric cancer (REAL3): A randomised, open-label phase 3 trial","type":"article-journal","volume":"14"},"uris":["http://www.mendeley.com/documents/?uuid=ce359f3b-1a7a-4c46-9fbd-07da482da773"]}],"mendeley":{"formattedCitation":"[88]","plainTextFormattedCitation":"[88]","previouslyFormattedCitation":"[88]"},"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[88]</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0D03EDC3"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275</w:t>
            </w:r>
          </w:p>
        </w:tc>
        <w:tc>
          <w:tcPr>
            <w:tcW w:w="1708" w:type="dxa"/>
            <w:gridSpan w:val="2"/>
            <w:shd w:val="clear" w:color="auto" w:fill="auto"/>
            <w:noWrap/>
            <w:hideMark/>
          </w:tcPr>
          <w:p w14:paraId="6AC4FA86"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proofErr w:type="spellStart"/>
            <w:r w:rsidRPr="00F72E17">
              <w:rPr>
                <w:rFonts w:ascii="Times New Roman" w:eastAsia="Times New Roman" w:hAnsi="Times New Roman"/>
                <w:color w:val="000000"/>
                <w:sz w:val="16"/>
                <w:szCs w:val="16"/>
                <w:lang w:val="en-US"/>
              </w:rPr>
              <w:t>Epi+Ox+Cap</w:t>
            </w:r>
            <w:proofErr w:type="spellEnd"/>
          </w:p>
        </w:tc>
        <w:tc>
          <w:tcPr>
            <w:tcW w:w="1322" w:type="dxa"/>
            <w:shd w:val="clear" w:color="auto" w:fill="auto"/>
            <w:noWrap/>
            <w:hideMark/>
          </w:tcPr>
          <w:p w14:paraId="21CBD8B9"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226 (82)</w:t>
            </w:r>
          </w:p>
        </w:tc>
        <w:tc>
          <w:tcPr>
            <w:tcW w:w="1623" w:type="dxa"/>
            <w:gridSpan w:val="2"/>
            <w:shd w:val="clear" w:color="auto" w:fill="auto"/>
            <w:noWrap/>
            <w:hideMark/>
          </w:tcPr>
          <w:p w14:paraId="2445F65E"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62 (26-83)</w:t>
            </w:r>
          </w:p>
        </w:tc>
        <w:tc>
          <w:tcPr>
            <w:tcW w:w="1379" w:type="dxa"/>
            <w:shd w:val="clear" w:color="auto" w:fill="auto"/>
            <w:noWrap/>
            <w:hideMark/>
          </w:tcPr>
          <w:p w14:paraId="2B0940BA"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250 (91)</w:t>
            </w:r>
          </w:p>
        </w:tc>
        <w:tc>
          <w:tcPr>
            <w:tcW w:w="797" w:type="dxa"/>
            <w:shd w:val="clear" w:color="auto" w:fill="auto"/>
            <w:noWrap/>
            <w:hideMark/>
          </w:tcPr>
          <w:p w14:paraId="1D04EB7A"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15 (5)</w:t>
            </w:r>
          </w:p>
        </w:tc>
      </w:tr>
      <w:tr w:rsidR="00B61A3A" w:rsidRPr="001A6F97" w14:paraId="406C6666" w14:textId="77777777" w:rsidTr="00B61A3A">
        <w:trPr>
          <w:trHeight w:val="255"/>
        </w:trPr>
        <w:tc>
          <w:tcPr>
            <w:tcW w:w="4716" w:type="dxa"/>
            <w:gridSpan w:val="4"/>
            <w:shd w:val="clear" w:color="auto" w:fill="auto"/>
            <w:noWrap/>
            <w:hideMark/>
          </w:tcPr>
          <w:p w14:paraId="4E0CF5A7"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proofErr w:type="spellStart"/>
            <w:r w:rsidRPr="00F72E17">
              <w:rPr>
                <w:rFonts w:ascii="Times New Roman" w:eastAsia="Times New Roman" w:hAnsi="Times New Roman"/>
                <w:color w:val="000000"/>
                <w:sz w:val="16"/>
                <w:szCs w:val="16"/>
                <w:lang w:val="en-US"/>
              </w:rPr>
              <w:t>Taxane</w:t>
            </w:r>
            <w:proofErr w:type="spellEnd"/>
            <w:r w:rsidRPr="00F72E17">
              <w:rPr>
                <w:rFonts w:ascii="Times New Roman" w:eastAsia="Times New Roman" w:hAnsi="Times New Roman"/>
                <w:color w:val="000000"/>
                <w:sz w:val="16"/>
                <w:szCs w:val="16"/>
                <w:lang w:val="en-US"/>
              </w:rPr>
              <w:t xml:space="preserve"> based triplets</w:t>
            </w:r>
          </w:p>
        </w:tc>
        <w:tc>
          <w:tcPr>
            <w:tcW w:w="1322" w:type="dxa"/>
            <w:shd w:val="clear" w:color="auto" w:fill="auto"/>
            <w:noWrap/>
            <w:hideMark/>
          </w:tcPr>
          <w:p w14:paraId="6238DCEF"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623" w:type="dxa"/>
            <w:gridSpan w:val="2"/>
            <w:shd w:val="clear" w:color="auto" w:fill="auto"/>
            <w:noWrap/>
            <w:hideMark/>
          </w:tcPr>
          <w:p w14:paraId="3A80B1CA"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379" w:type="dxa"/>
            <w:shd w:val="clear" w:color="auto" w:fill="auto"/>
            <w:noWrap/>
            <w:hideMark/>
          </w:tcPr>
          <w:p w14:paraId="76315A9C"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797" w:type="dxa"/>
            <w:shd w:val="clear" w:color="auto" w:fill="auto"/>
            <w:noWrap/>
            <w:hideMark/>
          </w:tcPr>
          <w:p w14:paraId="5E6E16C5"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r>
      <w:tr w:rsidR="00B61A3A" w:rsidRPr="001A6F97" w14:paraId="1EFFFDC9" w14:textId="77777777" w:rsidTr="00B61A3A">
        <w:trPr>
          <w:trHeight w:val="255"/>
        </w:trPr>
        <w:tc>
          <w:tcPr>
            <w:tcW w:w="3008" w:type="dxa"/>
            <w:gridSpan w:val="2"/>
            <w:shd w:val="clear" w:color="auto" w:fill="auto"/>
            <w:noWrap/>
            <w:hideMark/>
          </w:tcPr>
          <w:p w14:paraId="19A120F0" w14:textId="77777777" w:rsidR="00B61A3A" w:rsidRPr="00F72E17" w:rsidRDefault="00B61A3A" w:rsidP="00B61A3A">
            <w:pPr>
              <w:spacing w:before="240" w:line="360" w:lineRule="auto"/>
              <w:rPr>
                <w:rFonts w:ascii="Times New Roman" w:eastAsia="Times New Roman" w:hAnsi="Times New Roman"/>
                <w:b/>
                <w:color w:val="000000"/>
                <w:sz w:val="16"/>
                <w:szCs w:val="16"/>
                <w:u w:val="single"/>
                <w:lang w:val="en-US"/>
              </w:rPr>
            </w:pPr>
            <w:proofErr w:type="spellStart"/>
            <w:r w:rsidRPr="00F72E17">
              <w:rPr>
                <w:rFonts w:ascii="Times New Roman" w:eastAsia="Times New Roman" w:hAnsi="Times New Roman"/>
                <w:b/>
                <w:color w:val="000000"/>
                <w:sz w:val="16"/>
                <w:szCs w:val="16"/>
                <w:u w:val="single"/>
                <w:lang w:val="en-US"/>
              </w:rPr>
              <w:t>Capecitabine+Oxaliplatin+Docetaxel</w:t>
            </w:r>
            <w:proofErr w:type="spellEnd"/>
          </w:p>
        </w:tc>
        <w:tc>
          <w:tcPr>
            <w:tcW w:w="1708" w:type="dxa"/>
            <w:gridSpan w:val="2"/>
            <w:shd w:val="clear" w:color="auto" w:fill="auto"/>
            <w:noWrap/>
            <w:hideMark/>
          </w:tcPr>
          <w:p w14:paraId="55794E69" w14:textId="77777777" w:rsidR="00B61A3A" w:rsidRPr="00F72E17" w:rsidRDefault="00B61A3A" w:rsidP="00B61A3A">
            <w:pPr>
              <w:spacing w:before="240" w:line="360" w:lineRule="auto"/>
              <w:rPr>
                <w:rFonts w:ascii="Times New Roman" w:eastAsia="Times New Roman" w:hAnsi="Times New Roman"/>
                <w:color w:val="000000"/>
                <w:sz w:val="16"/>
                <w:szCs w:val="16"/>
                <w:u w:val="single"/>
                <w:lang w:val="en-US"/>
              </w:rPr>
            </w:pPr>
            <w:proofErr w:type="spellStart"/>
            <w:r w:rsidRPr="00F72E17">
              <w:rPr>
                <w:rFonts w:ascii="Times New Roman" w:eastAsia="Times New Roman" w:hAnsi="Times New Roman"/>
                <w:color w:val="000000"/>
                <w:sz w:val="16"/>
                <w:szCs w:val="16"/>
                <w:u w:val="single"/>
                <w:lang w:val="en-US"/>
              </w:rPr>
              <w:t>FOxT</w:t>
            </w:r>
            <w:proofErr w:type="spellEnd"/>
          </w:p>
        </w:tc>
        <w:tc>
          <w:tcPr>
            <w:tcW w:w="1322" w:type="dxa"/>
            <w:shd w:val="clear" w:color="auto" w:fill="auto"/>
            <w:noWrap/>
            <w:hideMark/>
          </w:tcPr>
          <w:p w14:paraId="29C1E6F7"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623" w:type="dxa"/>
            <w:gridSpan w:val="2"/>
            <w:shd w:val="clear" w:color="auto" w:fill="auto"/>
            <w:noWrap/>
            <w:hideMark/>
          </w:tcPr>
          <w:p w14:paraId="0EC65CE3"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1379" w:type="dxa"/>
            <w:shd w:val="clear" w:color="auto" w:fill="auto"/>
            <w:noWrap/>
            <w:hideMark/>
          </w:tcPr>
          <w:p w14:paraId="6AE62B0E"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c>
          <w:tcPr>
            <w:tcW w:w="797" w:type="dxa"/>
            <w:shd w:val="clear" w:color="auto" w:fill="auto"/>
            <w:noWrap/>
            <w:hideMark/>
          </w:tcPr>
          <w:p w14:paraId="1B0EB9F0"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 </w:t>
            </w:r>
          </w:p>
        </w:tc>
      </w:tr>
      <w:tr w:rsidR="00B61A3A" w:rsidRPr="007D2E2F" w14:paraId="78EA67CD" w14:textId="77777777" w:rsidTr="00B61A3A">
        <w:trPr>
          <w:trHeight w:val="255"/>
        </w:trPr>
        <w:tc>
          <w:tcPr>
            <w:tcW w:w="2552" w:type="dxa"/>
            <w:shd w:val="clear" w:color="auto" w:fill="auto"/>
            <w:noWrap/>
            <w:hideMark/>
          </w:tcPr>
          <w:p w14:paraId="5DB7DA70" w14:textId="3B28CAE3" w:rsidR="00B61A3A" w:rsidRPr="007D2E2F" w:rsidRDefault="00B61A3A" w:rsidP="00B61A3A">
            <w:pPr>
              <w:spacing w:before="240" w:line="360" w:lineRule="auto"/>
              <w:rPr>
                <w:rFonts w:ascii="Times New Roman" w:eastAsia="Times New Roman" w:hAnsi="Times New Roman"/>
                <w:b/>
                <w:color w:val="000000"/>
                <w:sz w:val="16"/>
                <w:szCs w:val="16"/>
              </w:rPr>
            </w:pPr>
            <w:r w:rsidRPr="00F72E17">
              <w:rPr>
                <w:rFonts w:ascii="Times New Roman" w:eastAsia="Times New Roman" w:hAnsi="Times New Roman"/>
                <w:b/>
                <w:color w:val="000000"/>
                <w:sz w:val="16"/>
                <w:szCs w:val="16"/>
                <w:lang w:val="en-US"/>
              </w:rPr>
              <w:t xml:space="preserve">Van </w:t>
            </w:r>
            <w:proofErr w:type="spellStart"/>
            <w:r w:rsidRPr="00F72E17">
              <w:rPr>
                <w:rFonts w:ascii="Times New Roman" w:eastAsia="Times New Roman" w:hAnsi="Times New Roman"/>
                <w:b/>
                <w:color w:val="000000"/>
                <w:sz w:val="16"/>
                <w:szCs w:val="16"/>
                <w:lang w:val="en-US"/>
              </w:rPr>
              <w:t>cutsem</w:t>
            </w:r>
            <w:proofErr w:type="spellEnd"/>
            <w:r w:rsidRPr="00F72E17">
              <w:rPr>
                <w:rFonts w:ascii="Times New Roman" w:eastAsia="Times New Roman" w:hAnsi="Times New Roman"/>
                <w:b/>
                <w:color w:val="000000"/>
                <w:sz w:val="16"/>
                <w:szCs w:val="16"/>
                <w:lang w:val="en-US"/>
              </w:rPr>
              <w:t xml:space="preserve">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{"citationItems":[{"id":"ITEM-1","itemData":{"DOI":"10.1093/annonc/mdu496","ISSN":"1569-8041","PMID":"25416687","abstract":"BACKGROUND: Docetaxel/cisplatin/infusional 5-fluorouracil (5-FU; DCF) is a standard chemotherapy regimen for patients with advanced gastric cancer (GC). This phase II study evaluated docetaxel/oxaliplatin (TE), docetaxel/oxaliplatin/5-FU (TEF), and docetaxel/oxaliplatin/capecitabine (TEX) in patients with advanced GC.\n\nPATIENTS AND METHODS: Patients with metastatic or locally recurrent gastric adenocarcinoma (including carcinoma of the gastro-oesophageal junction) were randomly assigned (1 : 1 : 1) to TE, TEF, or TEX. Each regimen was tested at two doses before full evaluation at optimized dose levels. The primary end point was progression-free survival (PFS). Overall survival (OS), tumour response, and safety were also assessed. A therapeutic index (median PFS relative to the incidence of febrile neutropenia) was calculated for each regimen and compared with DCF (historical data).\n\nRESULTS: Overall, 248 patients were randomly assigned to receive optimized dose treatment. Median PFS was longer with TEF (7.66 [95% confidence interval (CI): 6.97-9.40] months) versus TE (4.50 [3.68-5.32] months) and TEX (5.55 [4.30-6.37] months). Median OS was 14.59 (95% CI: 11.70-21.78) months for TEF versus 8.97 (7.79-10.87) months for TE and 11.30 (8.08-14.03) months for TEX. The rate of tumour response (complete or partial) was 46.6% (95% CI 35.9-57.5) for TEF versus 23.1% (14.3-34.0) for TE and 25.6% (16.6-36.4) for TEX. The frequency and type of adverse events (AEs) were similar across the three arms. Common grade 3/4 AEs were fatigue (21%), sensory neuropathy (14%), and diarrhoea (13%). Febrile neutropenia was reported in 2% (TEF), 14% (TE), and 9% (TEX) of patients. The therapeutic index was improved with TEF versus TEX, TE, or DCF.\n\nCONCLUSION: These results suggest that TEF is worthy of evaluation as an arm in a phase III trial or as a backbone regimen for new targeted agents in advanced GC. CLINICALTRIALS.GOV: Identifier Trial registration number: NCT00382720.","author":[{"dropping-particle":"","family":"Cutsem","given":"E","non-dropping-particle":"Van","parse-names":false,"suffix":""},{"dropping-particle":"","family":"Boni","given":"C","non-dropping-particle":"","parse-names":false,"suffix":""},{"dropping-particle":"","family":"Tabernero","given":"J","non-dropping-particle":"","parse-names":false,"suffix":""},{"dropping-particle":"","family":"Massuti","given":"B","non-dropping-particle":"","parse-names":false,"suffix":""},{"dropping-particle":"","family":"Middleton","given":"G","non-dropping-particle":"","parse-names":false,"suffix":""},{"dropping-particle":"","family":"Dane","given":"F","non-dropping-particle":"","parse-names":false,"suffix":""},{"dropping-particle":"","family":"Reichardt","given":"P","non-dropping-particle":"","parse-names":false,"suffix":""},{"dropping-particle":"","family":"Pimentel","given":"F L","non-dropping-particle":"","parse-names":false,"suffix":""},{"dropping-particle":"","family":"Cohn","given":"a","non-dropping-particle":"","parse-names":false,"suffix":""},{"dropping-particle":"","family":"Follana","given":"P","non-dropping-particle":"","parse-names":false,"suffix":""},{"dropping-particle":"","family":"Clemens","given":"M","non-dropping-particle":"","parse-names":false,"suffix":""},{"dropping-particle":"","family":"Zaniboni","given":"a","non-dropping-particle":"","parse-names":false,"suffix":""},{"dropping-particle":"","family":"Moiseyenko","given":"V","non-dropping-particle":"","parse-names":false,"suffix":""},{"dropping-particle":"","family":"Harrison","given":"M","non-dropping-particle":"","parse-names":false,"suffix":""},{"dropping-particle":"","family":"Richards","given":"D a","non-dropping-particle":"","parse-names":false,"suffix":""},{"dropping-particle":"","family":"Prenen","given":"H","non-dropping-particle":"","parse-names":false,"suffix":""},{"dropping-particle":"","family":"Pernot","given":"S","non-dropping-particle":"","parse-names":false,"suffix":""},{"dropping-particle":"","family":"Ecstein-Fraisse","given":"E","non-dropping-particle":"","parse-names":false,"suffix":""},{"dropping-particle":"","family":"Hitier","given":"S","non-dropping-particle":"","parse-names":false,"suffix":""},{"dropping-particle":"","family":"Rougier","given":"P","non-dropping-particle":"","parse-names":false,"suffix":""}],"container-title":"Annals of oncology : official journal of the European Society for Medical Oncology / ESMO","id":"ITEM-1","issue":"1","issued":{"date-parts":[["2015","1"]]},"page":"149-56","title":"Docetaxel plus oxaliplatin with or without fluorouracil or capecitabine in metastatic or locally recurrent gastric cancer: a randomized phase II study.","type":"article-journal","volume":"26"},"uris":["http://www.mendeley.com/documents/?uuid=2b7d5c39-ba88-4986-8309-762a645b32e2"]}],"mendeley":{"formattedCitation":"[89]","plainTextFormattedCitation":"[89]","previouslyFormattedCitation":"[89]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[89]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143F36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63</w:t>
            </w:r>
          </w:p>
        </w:tc>
        <w:tc>
          <w:tcPr>
            <w:tcW w:w="1708" w:type="dxa"/>
            <w:gridSpan w:val="2"/>
            <w:shd w:val="clear" w:color="auto" w:fill="auto"/>
            <w:noWrap/>
            <w:hideMark/>
          </w:tcPr>
          <w:p w14:paraId="56DD5B6E"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CAP+Ox+DTX</w:t>
            </w:r>
          </w:p>
        </w:tc>
        <w:tc>
          <w:tcPr>
            <w:tcW w:w="1322" w:type="dxa"/>
            <w:shd w:val="clear" w:color="auto" w:fill="auto"/>
            <w:noWrap/>
            <w:hideMark/>
          </w:tcPr>
          <w:p w14:paraId="050980F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64 (74)</w:t>
            </w:r>
          </w:p>
        </w:tc>
        <w:tc>
          <w:tcPr>
            <w:tcW w:w="1623" w:type="dxa"/>
            <w:gridSpan w:val="2"/>
            <w:shd w:val="clear" w:color="auto" w:fill="auto"/>
            <w:noWrap/>
            <w:hideMark/>
          </w:tcPr>
          <w:p w14:paraId="58A5AD8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59† (NA)</w:t>
            </w:r>
          </w:p>
        </w:tc>
        <w:tc>
          <w:tcPr>
            <w:tcW w:w="1379" w:type="dxa"/>
            <w:shd w:val="clear" w:color="auto" w:fill="auto"/>
            <w:noWrap/>
            <w:hideMark/>
          </w:tcPr>
          <w:p w14:paraId="66FE91B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86 (100)</w:t>
            </w:r>
          </w:p>
        </w:tc>
        <w:tc>
          <w:tcPr>
            <w:tcW w:w="797" w:type="dxa"/>
            <w:shd w:val="clear" w:color="auto" w:fill="auto"/>
            <w:noWrap/>
            <w:hideMark/>
          </w:tcPr>
          <w:p w14:paraId="4F2927D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(3)‡</w:t>
            </w:r>
          </w:p>
        </w:tc>
      </w:tr>
      <w:tr w:rsidR="00B61A3A" w:rsidRPr="007D2E2F" w14:paraId="10C8C12A" w14:textId="77777777" w:rsidTr="00B61A3A">
        <w:trPr>
          <w:trHeight w:val="255"/>
        </w:trPr>
        <w:tc>
          <w:tcPr>
            <w:tcW w:w="3008" w:type="dxa"/>
            <w:gridSpan w:val="2"/>
            <w:shd w:val="clear" w:color="auto" w:fill="auto"/>
            <w:noWrap/>
            <w:hideMark/>
          </w:tcPr>
          <w:p w14:paraId="539D179C" w14:textId="77777777" w:rsidR="00B61A3A" w:rsidRPr="007D2E2F" w:rsidRDefault="00B61A3A" w:rsidP="00B61A3A">
            <w:pPr>
              <w:spacing w:before="240" w:line="360" w:lineRule="auto"/>
              <w:rPr>
                <w:rFonts w:ascii="Times New Roman" w:eastAsia="Times New Roman" w:hAnsi="Times New Roman"/>
                <w:b/>
                <w:color w:val="000000"/>
                <w:sz w:val="16"/>
                <w:szCs w:val="16"/>
                <w:u w:val="single"/>
              </w:rPr>
            </w:pPr>
            <w:r w:rsidRPr="007D2E2F">
              <w:rPr>
                <w:rFonts w:ascii="Times New Roman" w:eastAsia="Times New Roman" w:hAnsi="Times New Roman"/>
                <w:b/>
                <w:color w:val="000000"/>
                <w:sz w:val="16"/>
                <w:szCs w:val="16"/>
                <w:u w:val="single"/>
              </w:rPr>
              <w:t>5-FU+Oxaliplatin+Docetaxel</w:t>
            </w:r>
          </w:p>
        </w:tc>
        <w:tc>
          <w:tcPr>
            <w:tcW w:w="1708" w:type="dxa"/>
            <w:gridSpan w:val="2"/>
            <w:shd w:val="clear" w:color="auto" w:fill="auto"/>
            <w:noWrap/>
            <w:hideMark/>
          </w:tcPr>
          <w:p w14:paraId="4C9FAA7E"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FOxT</w:t>
            </w:r>
          </w:p>
        </w:tc>
        <w:tc>
          <w:tcPr>
            <w:tcW w:w="1322" w:type="dxa"/>
            <w:shd w:val="clear" w:color="auto" w:fill="auto"/>
            <w:noWrap/>
            <w:hideMark/>
          </w:tcPr>
          <w:p w14:paraId="245C700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0943791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7C8A37E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5D90A2F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4075989C" w14:textId="77777777" w:rsidTr="00B61A3A">
        <w:trPr>
          <w:trHeight w:val="255"/>
        </w:trPr>
        <w:tc>
          <w:tcPr>
            <w:tcW w:w="2552" w:type="dxa"/>
            <w:shd w:val="clear" w:color="auto" w:fill="auto"/>
            <w:noWrap/>
            <w:hideMark/>
          </w:tcPr>
          <w:p w14:paraId="00A71D29" w14:textId="137CCC41"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Al-Batran 2013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{"citationItems":[{"id":"ITEM-1","itemData":{"DOI":"10.1016/j.ejca.2012.09.025","ISSN":"1879-0852","PMID":"23063354","abstract":"BACKGROUND: We evaluated the feasibility and tolerability of triple- versus double-drug chemotherapy in elderly patients with oesophagogastric cancer.\n\nMETHODS: Patients aged 65 years or older with locally advanced or metastatic oesophagogastric cancer were stratified and randomised to infusional 5-FU, leucovorin and oxaliplatin without (FLO) or with docetaxel 50 mg/m(2) (FLOT) every 2 weeks. The study is registered at ClinicalTrials.gov, identifier NCT00737373.\n\nFINDINGS: One hundred and forty three (FLO, 71; FLOT, 72) patients with a median age of 70 years were enrolled. The triple combination was associated with more treatment-related National Cancer Institute Common Toxicity Criteria (NCI-CTC) grade 3/4 adverse events (FLOT, 81.9%; FLO, 38.6%; P&lt;.001) and more patients experiencing a ≥10-points deterioration of European Organization for Research and Treatment of Cancer Quality of Life (EORTC QoL) global health status scores (FLOT, 47.5%; FLO 20.5%; p=.011). The triple combination was associated with more alopecia (P&lt;.001), neutropenia (P&lt;.001), leukopenia (P&lt;.001), diarrhoea (P=.006) and nausea (P=.029).). No differences were observed in treatment duration and discontinuation due to toxicity, cumulative doses or toxic deaths between arms. The triple combination improved response rates and progression-free survival in the locally advanced subgroup and in the subgroup of patients aged between 65 and 70 years but not in the metastatic group or in patients aged 70 years and older.\n\nINTERPRETATION: The triple-drug chemotherapy was feasible in elderly patients with oesophagogastric cancer. However, toxicity was significantly increased and QoL deteriorated in a relevant proportion of patients.\n\nFUNDING: The study was partially funded by Sanofi-Aventis.","author":[{"dropping-particle":"","family":"Al-Batran","given":"Salah-Eddin","non-dropping-particle":"","parse-names":false,"suffix":""},{"dropping-particle":"","family":"Pauligk","given":"Claudia","non-dropping-particle":"","parse-names":false,"suffix":""},{"dropping-particle":"","family":"Homann","given":"Nils","non-dropping-particle":"","parse-names":false,"suffix":""},{"dropping-particle":"","family":"Hartmann","given":"Jörg T","non-dropping-particle":"","parse-names":false,"suffix":""},{"dropping-particle":"","family":"Moehler","given":"Markus","non-dropping-particle":"","parse-names":false,"suffix":""},{"dropping-particle":"","family":"Probst","given":"Stephan","non-dropping-particle":"","parse-names":false,"suffix":""},{"dropping-particle":"","family":"Rethwisch","given":"Volker","non-dropping-particle":"","parse-names":false,"suffix":""},{"dropping-particle":"","family":"Stoehlmacher-Williams","given":"Jan","non-dropping-particle":"","parse-names":false,"suffix":""},{"dropping-particle":"","family":"Prasnikar","given":"Nicole","non-dropping-particle":"","parse-names":false,"suffix":""},{"dropping-particle":"","family":"Hollerbach","given":"Stephan","non-dropping-particle":"","parse-names":false,"suffix":""},{"dropping-particle":"","family":"Bokemeyer","given":"Carsten","non-dropping-particle":"","parse-names":false,"suffix":""},{"dropping-particle":"","family":"Mahlberg","given":"Rolf","non-dropping-particle":"","parse-names":false,"suffix":""},{"dropping-particle":"","family":"Hofheinz","given":"Ralf D","non-dropping-particle":"","parse-names":false,"suffix":""},{"dropping-particle":"","family":"Luley","given":"Kim","non-dropping-particle":"","parse-names":false,"suffix":""},{"dropping-particle":"","family":"Kullmann","given":"Frank","non-dropping-particle":"","parse-names":false,"suffix":""},{"dropping-particle":"","family":"Jäger","given":"Elke","non-dropping-particle":"","parse-names":false,"suffix":""}],"container-title":"European journal of cancer (Oxford, England : 1990)","id":"ITEM-1","issue":"4","issued":{"date-parts":[["2013","3"]]},"page":"835-42","title":"The feasibility of triple-drug chemotherapy combination in older adult patients with oesophagogastric cancer: a randomised trial of the Arbeitsgemeinschaft Internistische Onkologie (FLOT65+).","type":"article-journal","volume":"49"},"uris":["http://www.mendeley.com/documents/?uuid=ee8e25a0-88fd-4405-bb84-677d50749b54"]}],"mendeley":{"formattedCitation":"[63]","plainTextFormattedCitation":"[63]","previouslyFormattedCitation":"[63]"},"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[63]</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6166A83"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72</w:t>
            </w:r>
          </w:p>
        </w:tc>
        <w:tc>
          <w:tcPr>
            <w:tcW w:w="1708" w:type="dxa"/>
            <w:gridSpan w:val="2"/>
            <w:shd w:val="clear" w:color="auto" w:fill="auto"/>
            <w:noWrap/>
            <w:hideMark/>
          </w:tcPr>
          <w:p w14:paraId="4500FB68"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5-FU/LV+Ox+DTX</w:t>
            </w:r>
          </w:p>
        </w:tc>
        <w:tc>
          <w:tcPr>
            <w:tcW w:w="1322" w:type="dxa"/>
            <w:shd w:val="clear" w:color="auto" w:fill="auto"/>
            <w:noWrap/>
            <w:hideMark/>
          </w:tcPr>
          <w:p w14:paraId="51B9A5A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51 (71)</w:t>
            </w:r>
          </w:p>
        </w:tc>
        <w:tc>
          <w:tcPr>
            <w:tcW w:w="1623" w:type="dxa"/>
            <w:gridSpan w:val="2"/>
            <w:shd w:val="clear" w:color="auto" w:fill="auto"/>
            <w:noWrap/>
            <w:hideMark/>
          </w:tcPr>
          <w:p w14:paraId="5A13CF6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69 (max: 81)</w:t>
            </w:r>
          </w:p>
        </w:tc>
        <w:tc>
          <w:tcPr>
            <w:tcW w:w="1379" w:type="dxa"/>
            <w:shd w:val="clear" w:color="auto" w:fill="auto"/>
            <w:noWrap/>
            <w:hideMark/>
          </w:tcPr>
          <w:p w14:paraId="4507976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50 (69)</w:t>
            </w:r>
          </w:p>
        </w:tc>
        <w:tc>
          <w:tcPr>
            <w:tcW w:w="797" w:type="dxa"/>
            <w:shd w:val="clear" w:color="auto" w:fill="auto"/>
            <w:noWrap/>
            <w:hideMark/>
          </w:tcPr>
          <w:p w14:paraId="4F490C9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 (7)</w:t>
            </w:r>
          </w:p>
        </w:tc>
      </w:tr>
      <w:tr w:rsidR="00B61A3A" w:rsidRPr="001A6F97" w14:paraId="52175A0E" w14:textId="77777777" w:rsidTr="00B61A3A">
        <w:trPr>
          <w:trHeight w:val="255"/>
        </w:trPr>
        <w:tc>
          <w:tcPr>
            <w:tcW w:w="2552" w:type="dxa"/>
            <w:shd w:val="clear" w:color="auto" w:fill="auto"/>
            <w:noWrap/>
            <w:hideMark/>
          </w:tcPr>
          <w:p w14:paraId="7A6C6DA3" w14:textId="3CC9A5CF" w:rsidR="00B61A3A" w:rsidRPr="00022291"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Van Cutsem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{"citationItems":[{"id":"ITEM-1","itemData":{"DOI":"10.1093/annonc/mdu496","ISSN":"1569-8041","PMID":"25416687","abstract":"BACKGROUND: Docetaxel/cisplatin/infusional 5-fluorouracil (5-FU; DCF) is a standard chemotherapy regimen for patients with advanced gastric cancer (GC). This phase II study evaluated docetaxel/oxaliplatin (TE), docetaxel/oxaliplatin/5-FU (TEF), and docetaxel/oxaliplatin/capecitabine (TEX) in patients with advanced GC.\n\nPATIENTS AND METHODS: Patients with metastatic or locally recurrent gastric adenocarcinoma (including carcinoma of the gastro-oesophageal junction) were randomly assigned (1 : 1 : 1) to TE, TEF, or TEX. Each regimen was tested at two doses before full evaluation at optimized dose levels. The primary end point was progression-free survival (PFS). Overall survival (OS), tumour response, and safety were also assessed. A therapeutic index (median PFS relative to the incidence of febrile neutropenia) was calculated for each regimen and compared with DCF (historical data).\n\nRESULTS: Overall, 248 patients were randomly assigned to receive optimized dose treatment. Median PFS was longer with TEF (7.66 [95% confidence interval (CI): 6.97-9.40] months) versus TE (4.50 [3.68-5.32] months) and TEX (5.55 [4.30-6.37] months). Median OS was 14.59 (95% CI: 11.70-21.78) months for TEF versus 8.97 (7.79-10.87) months for TE and 11.30 (8.08-14.03) months for TEX. The rate of tumour response (complete or partial) was 46.6% (95% CI 35.9-57.5) for TEF versus 23.1% (14.3-34.0) for TE and 25.6% (16.6-36.4) for TEX. The frequency and type of adverse events (AEs) were similar across the three arms. Common grade 3/4 AEs were fatigue (21%), sensory neuropathy (14%), and diarrhoea (13%). Febrile neutropenia was reported in 2% (TEF), 14% (TE), and 9% (TEX) of patients. The therapeutic index was improved with TEF versus TEX, TE, or DCF.\n\nCONCLUSION: These results suggest that TEF is worthy of evaluation as an arm in a phase III trial or as a backbone regimen for new targeted agents in advanced GC. CLINICALTRIALS.GOV: Identifier Trial registration number: NCT00382720.","author":[{"dropping-particle":"","family":"Cutsem","given":"E","non-dropping-particle":"Van","parse-names":false,"suffix":""},{"dropping-particle":"","family":"Boni","given":"C","non-dropping-particle":"","parse-names":false,"suffix":""},{"dropping-particle":"","family":"Tabernero","given":"J","non-dropping-particle":"","parse-names":false,"suffix":""},{"dropping-particle":"","family":"Massuti","given":"B","non-dropping-particle":"","parse-names":false,"suffix":""},{"dropping-particle":"","family":"Middleton","given":"G","non-dropping-particle":"","parse-names":false,"suffix":""},{"dropping-particle":"","family":"Dane","given":"F","non-dropping-particle":"","parse-names":false,"suffix":""},{"dropping-particle":"","family":"Reichardt","given":"P","non-dropping-particle":"","parse-names":false,"suffix":""},{"dropping-particle":"","family":"Pimentel","given":"F L","non-dropping-particle":"","parse-names":false,"suffix":""},{"dropping-particle":"","family":"Cohn","given":"a","non-dropping-particle":"","parse-names":false,"suffix":""},{"dropping-particle":"","family":"Follana","given":"P","non-dropping-particle":"","parse-names":false,"suffix":""},{"dropping-particle":"","family":"Clemens","given":"M","non-dropping-particle":"","parse-names":false,"suffix":""},{"dropping-particle":"","family":"Zaniboni","given":"a","non-dropping-particle":"","parse-names":false,"suffix":""},{"dropping-particle":"","family":"Moiseyenko","given":"V","non-dropping-particle":"","parse-names":false,"suffix":""},{"dropping-particle":"","family</w:instrText>
            </w:r>
            <w:r w:rsidR="006739B2" w:rsidRPr="006739B2">
              <w:rPr>
                <w:rFonts w:ascii="Times New Roman" w:eastAsia="Times New Roman" w:hAnsi="Times New Roman"/>
                <w:b/>
                <w:color w:val="000000"/>
                <w:sz w:val="16"/>
                <w:szCs w:val="16"/>
                <w:lang w:val="en-US"/>
              </w:rPr>
              <w:instrText>":"Harrison","given":"M","non-dropping-particle":"","parse-names":false,"suffix":""},{"dropping-particle":"","family":"Richards","given":"D a","non-dropping-particle":"","parse-names":false,"suffix":""},{"dropping-particle":"","family":"Prenen","given":"H","non-dropping-particle":"","parse-names":false,"suffix":""},{"dropping-particle":"","family":"Pernot","given":"S","non-dropping-particle":"","parse-names":false,"suffix":""},{"dropping-particle":"","family":"Ecstein-Fraisse","given":"E","non-dropping-particle":"","parse-names":false,"suffix":""},{"dropping-particle":"","family":"Hitier","given":"S","non-dropping-particle":"","parse-names":false,"suffix":""},{"dropping-particle":"","family":"Rougier","given":"P","non-dropping-particle":"","parse-names":false,"suffix":""}],"container-title":"Annals of oncology : official journal of the European Society for Medical Oncology / ESMO","id":"ITEM-1","issue":"1","issued":{"date-parts":[["2015","1"]]},"page":"149-56","title":"Docetaxel plus oxaliplatin with or without fluorouracil or capecitabine in metastatic or locally recurrent gastric cancer: a randomized phase II study.","type":"article-journal","volume":"26"},"uris":["http://www.mendeley.com/documents/?uuid=2b7d5c39-ba88-4986-8309-762a645b32e2"]}],"mendeley":{"formattedCitation":"[89]","plainTextFormattedCitation":"[89]","previouslyFormattedCitation":"[89]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[89]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CB705AB"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89</w:t>
            </w:r>
          </w:p>
        </w:tc>
        <w:tc>
          <w:tcPr>
            <w:tcW w:w="1708" w:type="dxa"/>
            <w:gridSpan w:val="2"/>
            <w:shd w:val="clear" w:color="auto" w:fill="auto"/>
            <w:noWrap/>
            <w:hideMark/>
          </w:tcPr>
          <w:p w14:paraId="046149EA" w14:textId="77777777" w:rsidR="00B61A3A" w:rsidRPr="00022291" w:rsidRDefault="00B61A3A" w:rsidP="00B61A3A">
            <w:pPr>
              <w:spacing w:before="240" w:line="360" w:lineRule="auto"/>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5-FU+Ox+DTX</w:t>
            </w:r>
          </w:p>
        </w:tc>
        <w:tc>
          <w:tcPr>
            <w:tcW w:w="1322" w:type="dxa"/>
            <w:shd w:val="clear" w:color="auto" w:fill="auto"/>
            <w:noWrap/>
            <w:hideMark/>
          </w:tcPr>
          <w:p w14:paraId="235D52DA"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61 (69)</w:t>
            </w:r>
          </w:p>
        </w:tc>
        <w:tc>
          <w:tcPr>
            <w:tcW w:w="1623" w:type="dxa"/>
            <w:gridSpan w:val="2"/>
            <w:shd w:val="clear" w:color="auto" w:fill="auto"/>
            <w:noWrap/>
            <w:hideMark/>
          </w:tcPr>
          <w:p w14:paraId="4E403B8D"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58† (NA)</w:t>
            </w:r>
          </w:p>
        </w:tc>
        <w:tc>
          <w:tcPr>
            <w:tcW w:w="1379" w:type="dxa"/>
            <w:shd w:val="clear" w:color="auto" w:fill="auto"/>
            <w:noWrap/>
            <w:hideMark/>
          </w:tcPr>
          <w:p w14:paraId="11397F92"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89 (100)</w:t>
            </w:r>
          </w:p>
        </w:tc>
        <w:tc>
          <w:tcPr>
            <w:tcW w:w="797" w:type="dxa"/>
            <w:shd w:val="clear" w:color="auto" w:fill="auto"/>
            <w:noWrap/>
            <w:hideMark/>
          </w:tcPr>
          <w:p w14:paraId="65DFB45E"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2 (</w:t>
            </w:r>
            <w:proofErr w:type="gramStart"/>
            <w:r w:rsidRPr="00022291">
              <w:rPr>
                <w:rFonts w:ascii="Times New Roman" w:eastAsia="Times New Roman" w:hAnsi="Times New Roman"/>
                <w:color w:val="000000"/>
                <w:sz w:val="16"/>
                <w:szCs w:val="16"/>
                <w:lang w:val="en-US"/>
              </w:rPr>
              <w:t>2)‡</w:t>
            </w:r>
            <w:proofErr w:type="gramEnd"/>
          </w:p>
        </w:tc>
      </w:tr>
      <w:tr w:rsidR="00B61A3A" w:rsidRPr="001A6F97" w14:paraId="5A4B6AF0" w14:textId="77777777" w:rsidTr="00B61A3A">
        <w:trPr>
          <w:trHeight w:val="255"/>
        </w:trPr>
        <w:tc>
          <w:tcPr>
            <w:tcW w:w="3008" w:type="dxa"/>
            <w:gridSpan w:val="2"/>
            <w:shd w:val="clear" w:color="auto" w:fill="auto"/>
            <w:noWrap/>
            <w:hideMark/>
          </w:tcPr>
          <w:p w14:paraId="72F56E32" w14:textId="77777777" w:rsidR="00B61A3A" w:rsidRPr="00022291" w:rsidRDefault="00B61A3A" w:rsidP="00B61A3A">
            <w:pPr>
              <w:spacing w:before="240" w:line="360" w:lineRule="auto"/>
              <w:rPr>
                <w:rFonts w:ascii="Times New Roman" w:eastAsia="Times New Roman" w:hAnsi="Times New Roman"/>
                <w:b/>
                <w:color w:val="000000"/>
                <w:sz w:val="16"/>
                <w:szCs w:val="16"/>
                <w:u w:val="single"/>
                <w:lang w:val="en-US"/>
              </w:rPr>
            </w:pPr>
            <w:r w:rsidRPr="00022291">
              <w:rPr>
                <w:rFonts w:ascii="Times New Roman" w:eastAsia="Times New Roman" w:hAnsi="Times New Roman"/>
                <w:b/>
                <w:color w:val="000000"/>
                <w:sz w:val="16"/>
                <w:szCs w:val="16"/>
                <w:u w:val="single"/>
                <w:lang w:val="en-US"/>
              </w:rPr>
              <w:t>5-FU+Oxaliplatin+Paclitaxel</w:t>
            </w:r>
          </w:p>
        </w:tc>
        <w:tc>
          <w:tcPr>
            <w:tcW w:w="1708" w:type="dxa"/>
            <w:gridSpan w:val="2"/>
            <w:shd w:val="clear" w:color="auto" w:fill="auto"/>
            <w:noWrap/>
            <w:hideMark/>
          </w:tcPr>
          <w:p w14:paraId="4C916D06" w14:textId="77777777" w:rsidR="00B61A3A" w:rsidRPr="00022291" w:rsidRDefault="00B61A3A" w:rsidP="00B61A3A">
            <w:pPr>
              <w:spacing w:before="240" w:line="360" w:lineRule="auto"/>
              <w:rPr>
                <w:rFonts w:ascii="Times New Roman" w:eastAsia="Times New Roman" w:hAnsi="Times New Roman"/>
                <w:color w:val="000000"/>
                <w:sz w:val="16"/>
                <w:szCs w:val="16"/>
                <w:u w:val="single"/>
                <w:lang w:val="en-US"/>
              </w:rPr>
            </w:pPr>
            <w:proofErr w:type="spellStart"/>
            <w:r w:rsidRPr="00022291">
              <w:rPr>
                <w:rFonts w:ascii="Times New Roman" w:eastAsia="Times New Roman" w:hAnsi="Times New Roman"/>
                <w:color w:val="000000"/>
                <w:sz w:val="16"/>
                <w:szCs w:val="16"/>
                <w:u w:val="single"/>
                <w:lang w:val="en-US"/>
              </w:rPr>
              <w:t>FOxT</w:t>
            </w:r>
            <w:proofErr w:type="spellEnd"/>
          </w:p>
        </w:tc>
        <w:tc>
          <w:tcPr>
            <w:tcW w:w="1322" w:type="dxa"/>
            <w:shd w:val="clear" w:color="auto" w:fill="auto"/>
            <w:noWrap/>
            <w:hideMark/>
          </w:tcPr>
          <w:p w14:paraId="02105893"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 </w:t>
            </w:r>
          </w:p>
        </w:tc>
        <w:tc>
          <w:tcPr>
            <w:tcW w:w="1623" w:type="dxa"/>
            <w:gridSpan w:val="2"/>
            <w:shd w:val="clear" w:color="auto" w:fill="auto"/>
            <w:noWrap/>
            <w:hideMark/>
          </w:tcPr>
          <w:p w14:paraId="4822A744"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 </w:t>
            </w:r>
          </w:p>
        </w:tc>
        <w:tc>
          <w:tcPr>
            <w:tcW w:w="1379" w:type="dxa"/>
            <w:shd w:val="clear" w:color="auto" w:fill="auto"/>
            <w:noWrap/>
            <w:hideMark/>
          </w:tcPr>
          <w:p w14:paraId="7477A775"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 </w:t>
            </w:r>
          </w:p>
        </w:tc>
        <w:tc>
          <w:tcPr>
            <w:tcW w:w="797" w:type="dxa"/>
            <w:shd w:val="clear" w:color="auto" w:fill="auto"/>
            <w:noWrap/>
            <w:hideMark/>
          </w:tcPr>
          <w:p w14:paraId="2D60167C" w14:textId="77777777" w:rsidR="00B61A3A" w:rsidRPr="00022291" w:rsidRDefault="00B61A3A" w:rsidP="00B61A3A">
            <w:pPr>
              <w:spacing w:before="240" w:line="360" w:lineRule="auto"/>
              <w:jc w:val="right"/>
              <w:rPr>
                <w:rFonts w:ascii="Times New Roman" w:eastAsia="Times New Roman" w:hAnsi="Times New Roman"/>
                <w:color w:val="000000"/>
                <w:sz w:val="16"/>
                <w:szCs w:val="16"/>
                <w:lang w:val="en-US"/>
              </w:rPr>
            </w:pPr>
            <w:r w:rsidRPr="00022291">
              <w:rPr>
                <w:rFonts w:ascii="Times New Roman" w:eastAsia="Times New Roman" w:hAnsi="Times New Roman"/>
                <w:color w:val="000000"/>
                <w:sz w:val="16"/>
                <w:szCs w:val="16"/>
                <w:lang w:val="en-US"/>
              </w:rPr>
              <w:t> </w:t>
            </w:r>
          </w:p>
        </w:tc>
      </w:tr>
      <w:tr w:rsidR="00B61A3A" w:rsidRPr="007D2E2F" w14:paraId="39D57071" w14:textId="77777777" w:rsidTr="00B61A3A">
        <w:trPr>
          <w:trHeight w:val="255"/>
        </w:trPr>
        <w:tc>
          <w:tcPr>
            <w:tcW w:w="2552" w:type="dxa"/>
            <w:shd w:val="clear" w:color="auto" w:fill="auto"/>
            <w:noWrap/>
            <w:hideMark/>
          </w:tcPr>
          <w:p w14:paraId="1A525580" w14:textId="69FD3208" w:rsidR="00B61A3A" w:rsidRPr="007D2E2F" w:rsidRDefault="00B61A3A" w:rsidP="00B61A3A">
            <w:pPr>
              <w:spacing w:before="240" w:line="360" w:lineRule="auto"/>
              <w:rPr>
                <w:rFonts w:ascii="Times New Roman" w:eastAsia="Times New Roman" w:hAnsi="Times New Roman"/>
                <w:b/>
                <w:color w:val="000000"/>
                <w:sz w:val="16"/>
                <w:szCs w:val="16"/>
              </w:rPr>
            </w:pPr>
            <w:r w:rsidRPr="00022291">
              <w:rPr>
                <w:rFonts w:ascii="Times New Roman" w:eastAsia="Times New Roman" w:hAnsi="Times New Roman"/>
                <w:b/>
                <w:color w:val="000000"/>
                <w:sz w:val="16"/>
                <w:szCs w:val="16"/>
                <w:lang w:val="en-US"/>
              </w:rPr>
              <w:t xml:space="preserve">Dai 2016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{"citationItems":[{"id":"ITEM-1","itemData":{"DOI":"10.18632/oncotarget.13721","ISSN":"1949-2553","PMID":"27911869","abstract":"AIMS AND BACKGROUND This study was designed to compare the efficacy and safety of paclitaxel/oxaliplatin/fluorouracil (TOF) regimen and S-1/oxaliplatin (SOX) regimen for metastatic gastric cancer (GC) patients. METHODS Sixty patients were divided into TOF group and SOX groups randomly. Patients in the TOF group received paclitaxel (135 mg/m2 iv) on day 1, oxaliplatin (100 mg/m2 iv) on day 1, fluorouracil (500 mg/m2 continuous iv) on day 1-5. The patients in the SOX group received oxaliplatin (130 mg/m2 iv) on day 1 and S-1 (40 mg~60mg orally twice/day based on body surface area) on days 1-14. All the treatments were repeated every 21d for 4-6 cycles. RESULTS The ORR and DCR of TOF group was 43.3% and 60.0%, respectively while that of SOX group was 36.7% and 56.7%. There were no statistical differences between the ORRs (χ2 = 0.278) and the DCRs (χ2 = 0.069) of the 2 groups. The majority of adverse events of two groups were hematological and digestive ones. Most of them were grade I and II. The adverse event rate of TOF group was higher than SOX group. The PFS times of TOF and SOX groups were 6.5 and 5.8 months, respectively. There was no statistical difference between the PFSs of the 2 groups (P = 0.451). CONCLUSIONS The efficacies of TOF and SOX regimens are similar but the safety of SOX regimen better than TOF regimen.","author":[{"dropping-particle":"","family":"Dai","given":"Xichao","non-dropping-particle":"","parse-names":false,"suffix":""},{"dropping-particle":"","family":"Zhang","given":"Xizhi","non-dropping-particle":"","parse-names":false,"suffix":""},{"dropping-particle":"","family":"Wang","given":"Chaomin","non-dropping-particle":"","parse-names":false,"suffix":""},{"dropping-particle":"","family":"Jiang","given":"Jingting","non-dropping-particle":"","parse-names":false,"suffix":""},{"dropping-particle":"","family":"Wu","given":"Changping","non-dropping-particle":"","parse-names":false,"suffix":""}],"container-title":"Oncotarget","id":"ITEM-1","issue":"18","issued":{"date-parts":[["2017","5","2"]]},"page":"30495-30501","title":"Paclitaxel/oxaliplatin/fluorouracil (TOF) regimen versus S-1/oxaliplatin (SOX) regimen for metastatic gastric cancer patients.","type":"article-journal","volume":"8"},"uris":["http://www.mendeley.com/documents/?uuid=2cf20b10-eb76-4530-bf70-04aca82acd6b"]}],"mendeley":{"formattedCitation":"[67]","plainTextFormattedCitation":"[67]","previouslyFormattedCitation":"[67]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[67]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63A6E0F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w:t>
            </w:r>
          </w:p>
        </w:tc>
        <w:tc>
          <w:tcPr>
            <w:tcW w:w="1708" w:type="dxa"/>
            <w:gridSpan w:val="2"/>
            <w:shd w:val="clear" w:color="auto" w:fill="auto"/>
            <w:noWrap/>
            <w:hideMark/>
          </w:tcPr>
          <w:p w14:paraId="14108EC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5-FU+Ox+PTX</w:t>
            </w:r>
          </w:p>
        </w:tc>
        <w:tc>
          <w:tcPr>
            <w:tcW w:w="1322" w:type="dxa"/>
            <w:shd w:val="clear" w:color="auto" w:fill="auto"/>
            <w:noWrap/>
            <w:hideMark/>
          </w:tcPr>
          <w:p w14:paraId="5A41A96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21 (70)</w:t>
            </w:r>
          </w:p>
        </w:tc>
        <w:tc>
          <w:tcPr>
            <w:tcW w:w="1623" w:type="dxa"/>
            <w:gridSpan w:val="2"/>
            <w:shd w:val="clear" w:color="auto" w:fill="auto"/>
            <w:noWrap/>
            <w:hideMark/>
          </w:tcPr>
          <w:p w14:paraId="240DAB9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58 (21-73)</w:t>
            </w:r>
          </w:p>
        </w:tc>
        <w:tc>
          <w:tcPr>
            <w:tcW w:w="1379" w:type="dxa"/>
            <w:shd w:val="clear" w:color="auto" w:fill="auto"/>
            <w:noWrap/>
            <w:hideMark/>
          </w:tcPr>
          <w:p w14:paraId="3B7C966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30 (100)</w:t>
            </w:r>
          </w:p>
        </w:tc>
        <w:tc>
          <w:tcPr>
            <w:tcW w:w="797" w:type="dxa"/>
            <w:shd w:val="clear" w:color="auto" w:fill="auto"/>
            <w:noWrap/>
            <w:hideMark/>
          </w:tcPr>
          <w:p w14:paraId="35A2990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7D2E2F" w14:paraId="142E8C15" w14:textId="77777777" w:rsidTr="00DF4D7C">
        <w:trPr>
          <w:trHeight w:val="255"/>
        </w:trPr>
        <w:tc>
          <w:tcPr>
            <w:tcW w:w="3008" w:type="dxa"/>
            <w:gridSpan w:val="2"/>
            <w:shd w:val="clear" w:color="auto" w:fill="auto"/>
            <w:noWrap/>
            <w:hideMark/>
          </w:tcPr>
          <w:p w14:paraId="4C478328" w14:textId="77777777" w:rsidR="00B61A3A" w:rsidRPr="007D2E2F" w:rsidRDefault="00B61A3A" w:rsidP="00B61A3A">
            <w:pPr>
              <w:spacing w:before="240" w:line="360" w:lineRule="auto"/>
              <w:rPr>
                <w:rFonts w:ascii="Times New Roman" w:eastAsia="Times New Roman" w:hAnsi="Times New Roman"/>
                <w:b/>
                <w:color w:val="000000"/>
                <w:sz w:val="16"/>
                <w:szCs w:val="16"/>
                <w:u w:val="single"/>
              </w:rPr>
            </w:pPr>
            <w:r w:rsidRPr="007D2E2F">
              <w:rPr>
                <w:rFonts w:ascii="Times New Roman" w:eastAsia="Times New Roman" w:hAnsi="Times New Roman"/>
                <w:b/>
                <w:color w:val="000000"/>
                <w:sz w:val="16"/>
                <w:szCs w:val="16"/>
                <w:u w:val="single"/>
              </w:rPr>
              <w:t>Docetaxel+Cisplatin+5-FU</w:t>
            </w:r>
          </w:p>
        </w:tc>
        <w:tc>
          <w:tcPr>
            <w:tcW w:w="1708" w:type="dxa"/>
            <w:gridSpan w:val="2"/>
            <w:shd w:val="clear" w:color="auto" w:fill="auto"/>
            <w:noWrap/>
            <w:hideMark/>
          </w:tcPr>
          <w:p w14:paraId="6E7F62C8"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TCF</w:t>
            </w:r>
          </w:p>
        </w:tc>
        <w:tc>
          <w:tcPr>
            <w:tcW w:w="1322" w:type="dxa"/>
            <w:shd w:val="clear" w:color="auto" w:fill="auto"/>
            <w:noWrap/>
            <w:hideMark/>
          </w:tcPr>
          <w:p w14:paraId="27FD76E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41C7A3F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22EABE2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228CF20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0264F4FE" w14:textId="77777777" w:rsidTr="00DF4D7C">
        <w:trPr>
          <w:trHeight w:val="255"/>
        </w:trPr>
        <w:tc>
          <w:tcPr>
            <w:tcW w:w="2552" w:type="dxa"/>
            <w:tcBorders>
              <w:bottom w:val="single" w:sz="4" w:space="0" w:color="auto"/>
            </w:tcBorders>
            <w:shd w:val="clear" w:color="auto" w:fill="auto"/>
            <w:noWrap/>
            <w:hideMark/>
          </w:tcPr>
          <w:p w14:paraId="58C0AD50" w14:textId="26D3032E"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Van Cutsem 2006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{"citationItems":[{"id":"ITEM-1","itemData":{"DOI":"10.1200/JCO.2006.06.8429","ISBN":"1527-7755 (Electronic)\\r0732-183X (Linking)","ISSN":"0732-183X","PMID":"17075117","abstract":"PURPOSE: In the randomized, multinational phase II/III trial (V325) of untreated advanced gastric cancer patients, the phase II part selected docetaxel, cisplatin, and fluorouracil (DCF) over docetaxel and cisplatin for comparison against cisplatin and fluorouracil (CF; reference regimen) in the phase III part. PATIENTS AND METHODS: Advanced gastric cancer patients were randomly assigned to docetaxel 75 mg/m2 and cisplatin 75 mg/m2 (day 1) plus fluorouracil 750 mg/m2/d (days 1 to 5) every 3 weeks or cisplatin 100 mg/m2 (day 1) plus fluorouracil 1,000 mg/m2/d (days 1 to 5) every 4 weeks. The primary end point was time-to-progression (TTP). RESULTS: In 445 randomly assigned and treated patients (DCF = 221; CF = 224), TTP was longer with DCF versus CF (32% risk reduction; log-rank P &lt; .001). Overall survival was longer with DCF versus CF (23% risk reduction; log-rank P = .02). Two-year survival rate was 18% with DCF and 9% with CF. Overall response rate was higher with DCF (chi2 P = .01). Grade 3 to 4 treatment-related adverse events occurred in 69% (DCF) v 59% (CF) of patients. Frequent grade 3 to 4 toxicities for DCF v CF were: neutropenia (82% v 57%), stomatitis (21% v 27%), diarrhea (19% v 8%), lethargy (19% v 14%). Complicated neutropenia was more frequent with DCF than CF (29% v 12%). CONCLUSION: Adding docetaxel to CF significantly improved TTP, survival, and response rate in gastric cancer patients, but resulted in some increase in toxicity. Incorporation of docetaxel, as in DCF or with other active drug(s), is a new therapy option for patients with untreated advanced gastric cancer.","author":[{"dropping-particle":"","family":"Cutsem","given":"Eric","non-dropping-particle":"Van","parse-names":false,"suffix":""},{"dropping-particle":"","family":"Moiseyenko","given":"Vladimir M.","non-dropping-particle":"","parse-names":false,"suffix":""},{"dropping-particle":"","family":"Tjulandin","given":"Sergei","non-dropping-particle":"","parse-names":false,"suffix":""},{"dropping-particle":"","family":"Majlis","given":"Alejandro","non-dropping-particle":"","parse-names":false,"suffix":""},{"dropping-particle":"","family":"Constenla","given":"Manuel","non-dropping-particle":"","parse-names":false,"suffix":""},{"dropping-particle":"","family":"Boni","given":"Corrado","non-dropping-particle":"","parse-names":false,"suffix":""},{"dropping-particle":"","family":"Rodrigues","given":"Adriano","non-dropping-particle":"","parse-names":false,"suffix":""},{"dropping-particle":"","family":"Fodor","given":"Miguel","non-dropping-particle":"","parse-names":false,"suffix":""},{"dropping-particle":"","family":"Chao","given":"Yee","non-dropping-particle":"","parse-names":false,"suffix":""},{"dropping-particle":"","family":"Voznyi","given":"Edouard","non-dropping-particle":"","parse-names":false,"suffix":""},{"dropping-particle":"","family":"Risse","given":"Marie-Laure","non-dropping-particle":"","parse-names":false,"suffix":""},{"dropping-particle":"","family":"Ajani","given":"Jaffer A.","non-dropping-particle":"","parse-names":false,"suffix":""}],"container-title":"Journal of Clinical Oncology","id":"ITEM-1","issue":"31","issued":{"date-parts":[["2006"]]},"page":"4991-4997","title":"Phase III Study of Docetaxel and Cisplatin Plus Fluorouracil Compared With Cisplatin and Fluorouracil As First-Line Therapy for Advanced Gastric Cancer: A Report of the V325 Study Group","type":"article-journal","volume":"24"},"uris":["http://www.mendeley.com/documents/?uuid=41907dbd-1f07-4b10-a074-bcd55963b7e1"]}],"mendeley":{"formattedCitation":"[24]","plainTextFormattedCitation":"[24]","previouslyFormattedCitation":"[24]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[24]</w:t>
            </w:r>
            <w:r w:rsidRPr="007D2E2F">
              <w:rPr>
                <w:rFonts w:ascii="Times New Roman" w:eastAsia="Times New Roman" w:hAnsi="Times New Roman"/>
                <w:color w:val="000000"/>
                <w:sz w:val="16"/>
                <w:szCs w:val="16"/>
              </w:rPr>
              <w:fldChar w:fldCharType="end"/>
            </w:r>
          </w:p>
        </w:tc>
        <w:tc>
          <w:tcPr>
            <w:tcW w:w="456" w:type="dxa"/>
            <w:tcBorders>
              <w:bottom w:val="single" w:sz="4" w:space="0" w:color="auto"/>
            </w:tcBorders>
            <w:shd w:val="clear" w:color="auto" w:fill="auto"/>
            <w:noWrap/>
            <w:hideMark/>
          </w:tcPr>
          <w:p w14:paraId="72C5ABED"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221</w:t>
            </w:r>
          </w:p>
        </w:tc>
        <w:tc>
          <w:tcPr>
            <w:tcW w:w="1708" w:type="dxa"/>
            <w:gridSpan w:val="2"/>
            <w:tcBorders>
              <w:bottom w:val="single" w:sz="4" w:space="0" w:color="auto"/>
            </w:tcBorders>
            <w:shd w:val="clear" w:color="auto" w:fill="auto"/>
            <w:noWrap/>
            <w:hideMark/>
          </w:tcPr>
          <w:p w14:paraId="2461A97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DTX+Cis+5-FU</w:t>
            </w:r>
          </w:p>
        </w:tc>
        <w:tc>
          <w:tcPr>
            <w:tcW w:w="1322" w:type="dxa"/>
            <w:tcBorders>
              <w:bottom w:val="single" w:sz="4" w:space="0" w:color="auto"/>
            </w:tcBorders>
            <w:shd w:val="clear" w:color="auto" w:fill="auto"/>
            <w:noWrap/>
            <w:hideMark/>
          </w:tcPr>
          <w:p w14:paraId="51AE481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159 (72)</w:t>
            </w:r>
          </w:p>
        </w:tc>
        <w:tc>
          <w:tcPr>
            <w:tcW w:w="1623" w:type="dxa"/>
            <w:gridSpan w:val="2"/>
            <w:tcBorders>
              <w:bottom w:val="single" w:sz="4" w:space="0" w:color="auto"/>
            </w:tcBorders>
            <w:shd w:val="clear" w:color="auto" w:fill="auto"/>
            <w:noWrap/>
            <w:hideMark/>
          </w:tcPr>
          <w:p w14:paraId="2611683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55 (26-79)</w:t>
            </w:r>
          </w:p>
        </w:tc>
        <w:tc>
          <w:tcPr>
            <w:tcW w:w="1379" w:type="dxa"/>
            <w:tcBorders>
              <w:bottom w:val="single" w:sz="4" w:space="0" w:color="auto"/>
            </w:tcBorders>
            <w:shd w:val="clear" w:color="auto" w:fill="auto"/>
            <w:noWrap/>
            <w:hideMark/>
          </w:tcPr>
          <w:p w14:paraId="04D8AEA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213 (96)</w:t>
            </w:r>
          </w:p>
        </w:tc>
        <w:tc>
          <w:tcPr>
            <w:tcW w:w="797" w:type="dxa"/>
            <w:tcBorders>
              <w:bottom w:val="single" w:sz="4" w:space="0" w:color="auto"/>
            </w:tcBorders>
            <w:shd w:val="clear" w:color="auto" w:fill="auto"/>
            <w:noWrap/>
            <w:hideMark/>
          </w:tcPr>
          <w:p w14:paraId="07AFE80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 (1)</w:t>
            </w:r>
          </w:p>
        </w:tc>
      </w:tr>
      <w:tr w:rsidR="001A6F97" w:rsidRPr="00BA62DB" w14:paraId="05BF28FB" w14:textId="77777777" w:rsidTr="00DF4D7C">
        <w:trPr>
          <w:trHeight w:val="255"/>
        </w:trPr>
        <w:tc>
          <w:tcPr>
            <w:tcW w:w="3008" w:type="dxa"/>
            <w:gridSpan w:val="2"/>
            <w:tcBorders>
              <w:top w:val="single" w:sz="4" w:space="0" w:color="auto"/>
              <w:bottom w:val="single" w:sz="4" w:space="0" w:color="auto"/>
            </w:tcBorders>
            <w:shd w:val="clear" w:color="auto" w:fill="auto"/>
            <w:noWrap/>
          </w:tcPr>
          <w:p w14:paraId="7710E1B2"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w:hAnsi="Times New Roman"/>
                <w:bCs/>
                <w:sz w:val="16"/>
                <w:szCs w:val="24"/>
                <w:lang w:val="en-US"/>
              </w:rPr>
              <w:lastRenderedPageBreak/>
              <w:t>Supplementary table 2. (continued)</w:t>
            </w:r>
          </w:p>
        </w:tc>
        <w:tc>
          <w:tcPr>
            <w:tcW w:w="1708" w:type="dxa"/>
            <w:gridSpan w:val="2"/>
            <w:tcBorders>
              <w:top w:val="single" w:sz="4" w:space="0" w:color="auto"/>
              <w:bottom w:val="single" w:sz="4" w:space="0" w:color="auto"/>
            </w:tcBorders>
            <w:shd w:val="clear" w:color="auto" w:fill="auto"/>
            <w:noWrap/>
          </w:tcPr>
          <w:p w14:paraId="5DAF582F" w14:textId="77777777" w:rsidR="001A6F97" w:rsidRPr="00BA62DB" w:rsidRDefault="001A6F97" w:rsidP="00DF4D7C">
            <w:pPr>
              <w:spacing w:before="240" w:line="360" w:lineRule="auto"/>
              <w:rPr>
                <w:rFonts w:ascii="Times New Roman" w:eastAsia="Times New Roman" w:hAnsi="Times New Roman"/>
                <w:color w:val="000000"/>
                <w:sz w:val="16"/>
                <w:szCs w:val="16"/>
                <w:lang w:val="en-US"/>
              </w:rPr>
            </w:pPr>
          </w:p>
        </w:tc>
        <w:tc>
          <w:tcPr>
            <w:tcW w:w="1322" w:type="dxa"/>
            <w:tcBorders>
              <w:top w:val="single" w:sz="4" w:space="0" w:color="auto"/>
              <w:bottom w:val="single" w:sz="4" w:space="0" w:color="auto"/>
            </w:tcBorders>
            <w:shd w:val="clear" w:color="auto" w:fill="auto"/>
            <w:noWrap/>
          </w:tcPr>
          <w:p w14:paraId="2AD6D9EB"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623" w:type="dxa"/>
            <w:gridSpan w:val="2"/>
            <w:tcBorders>
              <w:top w:val="single" w:sz="4" w:space="0" w:color="auto"/>
              <w:bottom w:val="single" w:sz="4" w:space="0" w:color="auto"/>
            </w:tcBorders>
            <w:shd w:val="clear" w:color="auto" w:fill="auto"/>
            <w:noWrap/>
          </w:tcPr>
          <w:p w14:paraId="0F72D3DB"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1379" w:type="dxa"/>
            <w:tcBorders>
              <w:top w:val="single" w:sz="4" w:space="0" w:color="auto"/>
              <w:bottom w:val="single" w:sz="4" w:space="0" w:color="auto"/>
            </w:tcBorders>
            <w:shd w:val="clear" w:color="auto" w:fill="auto"/>
            <w:noWrap/>
          </w:tcPr>
          <w:p w14:paraId="433636F9"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c>
          <w:tcPr>
            <w:tcW w:w="797" w:type="dxa"/>
            <w:tcBorders>
              <w:top w:val="single" w:sz="4" w:space="0" w:color="auto"/>
              <w:bottom w:val="single" w:sz="4" w:space="0" w:color="auto"/>
            </w:tcBorders>
            <w:shd w:val="clear" w:color="auto" w:fill="auto"/>
            <w:noWrap/>
          </w:tcPr>
          <w:p w14:paraId="11E7D410" w14:textId="77777777" w:rsidR="001A6F97" w:rsidRPr="00BA62DB" w:rsidRDefault="001A6F97" w:rsidP="00DF4D7C">
            <w:pPr>
              <w:spacing w:before="240" w:line="360" w:lineRule="auto"/>
              <w:jc w:val="right"/>
              <w:rPr>
                <w:rFonts w:ascii="Times New Roman" w:eastAsia="Times New Roman" w:hAnsi="Times New Roman"/>
                <w:color w:val="000000"/>
                <w:sz w:val="16"/>
                <w:szCs w:val="16"/>
                <w:lang w:val="en-US"/>
              </w:rPr>
            </w:pPr>
          </w:p>
        </w:tc>
      </w:tr>
      <w:tr w:rsidR="001A6F97" w:rsidRPr="001F70C0" w14:paraId="11956214" w14:textId="77777777" w:rsidTr="00DF4D7C">
        <w:trPr>
          <w:trHeight w:val="255"/>
        </w:trPr>
        <w:tc>
          <w:tcPr>
            <w:tcW w:w="2552" w:type="dxa"/>
            <w:tcBorders>
              <w:top w:val="single" w:sz="4" w:space="0" w:color="auto"/>
              <w:bottom w:val="single" w:sz="4" w:space="0" w:color="auto"/>
            </w:tcBorders>
            <w:shd w:val="clear" w:color="auto" w:fill="auto"/>
            <w:noWrap/>
          </w:tcPr>
          <w:p w14:paraId="1193DD62" w14:textId="77777777" w:rsidR="001A6F97" w:rsidRPr="001F70C0" w:rsidRDefault="001A6F97" w:rsidP="00DF4D7C">
            <w:pPr>
              <w:spacing w:before="240" w:line="360" w:lineRule="auto"/>
              <w:rPr>
                <w:rFonts w:ascii="Times New Roman" w:eastAsia="Times New Roman" w:hAnsi="Times New Roman"/>
                <w:color w:val="000000"/>
                <w:sz w:val="16"/>
                <w:szCs w:val="16"/>
                <w:lang w:val="en-US"/>
              </w:rPr>
            </w:pPr>
            <w:r w:rsidRPr="001F70C0">
              <w:rPr>
                <w:rFonts w:ascii="Times New Roman" w:eastAsia="Times New Roman" w:hAnsi="Times New Roman"/>
                <w:bCs/>
                <w:color w:val="000000"/>
                <w:sz w:val="16"/>
                <w:szCs w:val="16"/>
                <w:lang w:val="en-US"/>
              </w:rPr>
              <w:t>Studies</w:t>
            </w:r>
          </w:p>
        </w:tc>
        <w:tc>
          <w:tcPr>
            <w:tcW w:w="456" w:type="dxa"/>
            <w:tcBorders>
              <w:top w:val="single" w:sz="4" w:space="0" w:color="auto"/>
              <w:bottom w:val="single" w:sz="4" w:space="0" w:color="auto"/>
            </w:tcBorders>
            <w:shd w:val="clear" w:color="auto" w:fill="auto"/>
            <w:noWrap/>
          </w:tcPr>
          <w:p w14:paraId="70A0B4EB"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No.</w:t>
            </w:r>
          </w:p>
        </w:tc>
        <w:tc>
          <w:tcPr>
            <w:tcW w:w="1708" w:type="dxa"/>
            <w:gridSpan w:val="2"/>
            <w:tcBorders>
              <w:top w:val="single" w:sz="4" w:space="0" w:color="auto"/>
              <w:bottom w:val="single" w:sz="4" w:space="0" w:color="auto"/>
            </w:tcBorders>
            <w:shd w:val="clear" w:color="auto" w:fill="auto"/>
            <w:noWrap/>
          </w:tcPr>
          <w:p w14:paraId="60497DAD" w14:textId="77777777" w:rsidR="001A6F97" w:rsidRPr="00F72E17" w:rsidRDefault="001A6F97" w:rsidP="00DF4D7C">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b/>
                <w:color w:val="000000"/>
                <w:sz w:val="16"/>
                <w:szCs w:val="16"/>
                <w:lang w:val="en-US"/>
              </w:rPr>
              <w:t xml:space="preserve">Regimen </w:t>
            </w:r>
          </w:p>
        </w:tc>
        <w:tc>
          <w:tcPr>
            <w:tcW w:w="1322" w:type="dxa"/>
            <w:tcBorders>
              <w:top w:val="single" w:sz="4" w:space="0" w:color="auto"/>
              <w:bottom w:val="single" w:sz="4" w:space="0" w:color="auto"/>
            </w:tcBorders>
            <w:shd w:val="clear" w:color="auto" w:fill="auto"/>
            <w:noWrap/>
          </w:tcPr>
          <w:p w14:paraId="7E673BAC"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Male </w:t>
            </w:r>
          </w:p>
          <w:p w14:paraId="59692FEA"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1623" w:type="dxa"/>
            <w:gridSpan w:val="2"/>
            <w:tcBorders>
              <w:top w:val="single" w:sz="4" w:space="0" w:color="auto"/>
              <w:bottom w:val="single" w:sz="4" w:space="0" w:color="auto"/>
            </w:tcBorders>
            <w:shd w:val="clear" w:color="auto" w:fill="auto"/>
            <w:noWrap/>
          </w:tcPr>
          <w:p w14:paraId="33601CB8"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Age </w:t>
            </w:r>
          </w:p>
          <w:p w14:paraId="093A8A3A"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Median (range)</w:t>
            </w:r>
          </w:p>
        </w:tc>
        <w:tc>
          <w:tcPr>
            <w:tcW w:w="1379" w:type="dxa"/>
            <w:tcBorders>
              <w:top w:val="single" w:sz="4" w:space="0" w:color="auto"/>
              <w:bottom w:val="single" w:sz="4" w:space="0" w:color="auto"/>
            </w:tcBorders>
            <w:shd w:val="clear" w:color="auto" w:fill="auto"/>
            <w:noWrap/>
          </w:tcPr>
          <w:p w14:paraId="25D57C35"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Stage IV </w:t>
            </w:r>
          </w:p>
          <w:p w14:paraId="0A0ACC62"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c>
          <w:tcPr>
            <w:tcW w:w="797" w:type="dxa"/>
            <w:tcBorders>
              <w:top w:val="single" w:sz="4" w:space="0" w:color="auto"/>
              <w:bottom w:val="single" w:sz="4" w:space="0" w:color="auto"/>
            </w:tcBorders>
            <w:shd w:val="clear" w:color="auto" w:fill="auto"/>
            <w:noWrap/>
          </w:tcPr>
          <w:p w14:paraId="5B4F77E2"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 xml:space="preserve">WHO&gt;2 </w:t>
            </w:r>
          </w:p>
          <w:p w14:paraId="12B7005B" w14:textId="77777777" w:rsidR="001A6F97" w:rsidRPr="001F70C0" w:rsidRDefault="001A6F97" w:rsidP="00DF4D7C">
            <w:pPr>
              <w:spacing w:before="240" w:line="360" w:lineRule="auto"/>
              <w:jc w:val="right"/>
              <w:rPr>
                <w:rFonts w:ascii="Times New Roman" w:eastAsia="Times New Roman" w:hAnsi="Times New Roman"/>
                <w:b/>
                <w:color w:val="000000"/>
                <w:sz w:val="16"/>
                <w:szCs w:val="16"/>
                <w:lang w:val="en-US"/>
              </w:rPr>
            </w:pPr>
            <w:r w:rsidRPr="001F70C0">
              <w:rPr>
                <w:rFonts w:ascii="Times New Roman" w:eastAsia="Times New Roman" w:hAnsi="Times New Roman"/>
                <w:b/>
                <w:color w:val="000000"/>
                <w:sz w:val="16"/>
                <w:szCs w:val="16"/>
                <w:lang w:val="en-US"/>
              </w:rPr>
              <w:t>No. (%)</w:t>
            </w:r>
          </w:p>
        </w:tc>
      </w:tr>
      <w:tr w:rsidR="00B61A3A" w:rsidRPr="007D2E2F" w14:paraId="402D1A91" w14:textId="77777777" w:rsidTr="00B61A3A">
        <w:trPr>
          <w:trHeight w:val="255"/>
        </w:trPr>
        <w:tc>
          <w:tcPr>
            <w:tcW w:w="2552" w:type="dxa"/>
            <w:shd w:val="clear" w:color="auto" w:fill="auto"/>
            <w:noWrap/>
            <w:hideMark/>
          </w:tcPr>
          <w:p w14:paraId="76175A56" w14:textId="608FBF10"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Wang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{"citationItems":[{"id":"ITEM-1","itemData":{"DOI":"10.1007/s10120-015-0457-4","ISBN":"1012001504","ISSN":"14363305","abstract":"Background: The V325 study showed that docetaxel, cisplatin, and fluorouracil (DCF) prolonged overall survival (OS) of patients with advanced gastric cancer, but with a high incidence of dose-limiting toxicities. We investigated the efficacy and safety of a modified DCF (mDCF) regimen for Chinese patients with advanced gastric cancer. Methods: Untreated advanced gastric cancer patients randomly received docetaxel and cisplatin at 60 mg/m (day 1) followed by fluorouracil at 600 mg/m/day (days 1-5; mDCF regimen) or cisplatin at 75 mg/m (day 1) followed by fluorouracil at 600 mg/m/day (days 1-5; CF) every 3 weeks. The primary end point was progression-free survival (PFS). The secondary end points were OS, overall response rate (ORR), time-to-treatment failure (TTF), and safety. Results: In total, 243 patients were randomized to treatment (mDCF regimen 121; CF 122). Compared with CF, the mDCF regimen significantly improved PFS and OS: the median PFS was 7.2 and 4.9 months, respectively [hazard ratio (HR) 0.58, log-rank P = 0.0008], and the median OS was 10.2 and 8.5 months, respectively (HR = 0.71, P = 0.0319). Additionally, the mDCF regimen improved the parameters used as secondary objectives: the ORR was 48.7 % with the mDCF regimen versus 33.9 % with CF ( P = 0.0244); the median TTF was 3.4 months with the mDCF regimen and 2.4 months with CF (HR = 0.67, P = 0.0027). Grade 3 and grade 4 treatment-related adverse events occurred in 77.3 % of patients who received the mDCF regimen versus 46.1 % of patients who received CF ( P &lt; 0.001). Conclusions: The mDCF regimen, compared with CF, significantly prolonged PFS and OS and enhanced ORR of Chinese patients with advanced gastric cancer. The mDCF regimen achieved efficacy comparable to that of DCF but with fewer toxicities, which is appropriate for the Chinese population. [ABSTRACT FROM AUTHOR]","author":[{"dropping-particle":"","family":"Wang","given":"Jinwan","non-dropping-particle":"","parse-names":false,"suffix":""},{"dropping-particle":"","family":"Xu","given":"Ruihua","non-dropping-particle":"","parse-names":false,"suffix":""},{"dropping-particle":"","family":"Li","given":"Jian","non-dropping-particle":"","parse-names":false,"suffix":""},{"dropping-particle":"","family":"Bai","given":"Yuxian","non-dropping-particle":"","parse-names":false,"suffix":""},{"dropping-particle":"","family":"Liu","given":"Tianshu","non-dropping-particle":"","parse-names":false,"suffix":""},{"dropping-particle":"","family":"Jiao","given":"Shunchang","non-dropping-particle":"","parse-names":false,"suffix":""},{"dropping-particle":"","family":"Dai","given":"Guanghai","non-dropping-particle":"","parse-names":false,"suffix":""},{"dropping-particle":"","family":"Xu","given":"Jianming","non-dropping-particle":"","parse-names":false,"suffix":""},{"dropping-particle":"","family":"Liu","given":"Yunpeng","non-dropping-particle":"","parse-names":false,"suffix":""},{"dropping-particle":"","family":"Fan","given":"Nanfeng","non-dropping-particle":"","parse-names":false,"suffix":""},{"dropping-particle":"","family":"Shu","given":"Yongqian","non-dropping-particle":"","parse-names":false,"suffix":""},{"dropping-particle":"","family":"Ba","given":"Yi","non-dropping-particle":"","parse-names":false,"suffix":""},{"dropping-particle":"","family":"Ma","given":"Dong","non-dropping-particle":"","parse-names":false,"suffix":""},{"dropping-particle":"","family":"Qin","given":"Shukui","non-dropping-particle":"","parse-names":false,"suffix":""},{"dropping-particle":"","family":"Zheng","given":"Leizhen","non-dropping-particle":"","parse-names":false,"suffix":""},{"dropping-particle":"","family":"Chen","given":"Weichang","non-dropping-particle":"","parse-names":false,"suffix":""},{"dropping-particle":"","family":"Shen","given":"Lin","non-dropping-particle":"","parse-names":false,"suffix":""}],"container-title":"Gastric Cancer","id":"ITEM-1","issue":"1","issued":{"date-parts":[["2015"]]},"page":"234-244","title":"Randomized multicenter phase III study of a modified docetaxel and cisplatin plus fluorouracil regimen compared with cisplatin and fluorouracil as first-line therapy for advanced or locally recurrent gastric cancer","type":"article-journal","volume":"19"},"uris":["http://www.mendeley.com/documents/?uuid=8fbe78c5-bf2d-4584-8dad-ed36857cca95"]}],"mendeley":{"formattedCitation":"[25]","plainTextFormattedCitation":"[25]","previouslyFormattedCitation":"[25]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[25]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8F1799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119</w:t>
            </w:r>
          </w:p>
        </w:tc>
        <w:tc>
          <w:tcPr>
            <w:tcW w:w="1708" w:type="dxa"/>
            <w:gridSpan w:val="2"/>
            <w:shd w:val="clear" w:color="auto" w:fill="auto"/>
            <w:noWrap/>
            <w:hideMark/>
          </w:tcPr>
          <w:p w14:paraId="62D1CF32"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DTX+Cis+5-FU</w:t>
            </w:r>
          </w:p>
        </w:tc>
        <w:tc>
          <w:tcPr>
            <w:tcW w:w="1322" w:type="dxa"/>
            <w:shd w:val="clear" w:color="auto" w:fill="auto"/>
            <w:noWrap/>
            <w:hideMark/>
          </w:tcPr>
          <w:p w14:paraId="2606A66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81 (68)</w:t>
            </w:r>
          </w:p>
        </w:tc>
        <w:tc>
          <w:tcPr>
            <w:tcW w:w="1623" w:type="dxa"/>
            <w:gridSpan w:val="2"/>
            <w:shd w:val="clear" w:color="auto" w:fill="auto"/>
            <w:noWrap/>
            <w:hideMark/>
          </w:tcPr>
          <w:p w14:paraId="682B87B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57 (19-80)</w:t>
            </w:r>
          </w:p>
        </w:tc>
        <w:tc>
          <w:tcPr>
            <w:tcW w:w="1379" w:type="dxa"/>
            <w:shd w:val="clear" w:color="auto" w:fill="auto"/>
            <w:noWrap/>
            <w:hideMark/>
          </w:tcPr>
          <w:p w14:paraId="6901D1A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119 (100)</w:t>
            </w:r>
          </w:p>
        </w:tc>
        <w:tc>
          <w:tcPr>
            <w:tcW w:w="797" w:type="dxa"/>
            <w:shd w:val="clear" w:color="auto" w:fill="auto"/>
            <w:noWrap/>
            <w:hideMark/>
          </w:tcPr>
          <w:p w14:paraId="05D464D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 (3)</w:t>
            </w:r>
          </w:p>
        </w:tc>
      </w:tr>
      <w:tr w:rsidR="00B61A3A" w:rsidRPr="007D2E2F" w14:paraId="1DFB5949" w14:textId="77777777" w:rsidTr="00B61A3A">
        <w:trPr>
          <w:trHeight w:val="255"/>
        </w:trPr>
        <w:tc>
          <w:tcPr>
            <w:tcW w:w="2552" w:type="dxa"/>
            <w:shd w:val="clear" w:color="auto" w:fill="auto"/>
            <w:noWrap/>
            <w:hideMark/>
          </w:tcPr>
          <w:p w14:paraId="1D6108B1" w14:textId="640EA121"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Ajani 2005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{"citationItems":[{"id":"ITEM-1","itemData":{"DOI":"10.1200/JCO.2005.17.376","ISSN":"0732-183X","PMID":"16110025","abstract":"PURPOSE: The purpose of this study was to define the contribution of docetaxel to combination chemotherapy in the outcome of patients with advanced gastric or gastroesophageal adenocarcinoma. We compared the overall response rate (ORR) and safety of docetaxel plus cisplatin (DC) with DC plus fluorouracil (DCF) to select either DC or DCF as the experimental treatment in the ensuing phase III part of trial V-325.\n\nPATIENTS AND METHODS: In this phase II randomized study, untreated patients with confirmed advanced gastric or gastroesophageal adenocarcinoma received either DCF (docetaxel 75 mg/m2, cisplatin 75 mg/m2 on day 1, and fluorouracil 750 mg/m2/d as continuous infusion on days 1 to 5) or DC (docetaxel 85 mg/m2 and cisplatin 75 mg/m2 on day 1) every 3 weeks. An independent data monitoring committee (IDMC) was to select one of the two regimens based primarily on ORR and safety profile.\n\nRESULTS: Of 158 randomly assigned patients, 155 (DCF, n = 79; DC, n = 76) received treatment. The confirmed ORR was 43% for DCF (n = 79) and 26% for DC (n = 76). Median time to progression was 5.9 months for DCF and 5.0 months for DC. Median overall survival time was 9.6 months for DCF and 10.5 months for DC. The most frequent grade 3 and 4 events per patient included neutropenia (DCF = 86%; DC = 87%) and GI (DCF = 56%; DC = 30%).\n\nCONCLUSION: Both regimens were active, but DCF produced a higher confirmed ORR than DC. Toxicity profiles of DCF were considered manageable. The IDMC chose DCF for the phase III part of V-325, which compares DCF with cisplatin plus fluorouracil.","author":[{"dropping-particle":"","family":"Ajani","given":"Jaffer a","non-dropping-particle":"","parse-names":false,"suffix":""},{"dropping-particle":"","family":"Fodor","given":"Miguel B","non-dropping-particle":"","parse-names":false,"suffix":""},{"dropping-particle":"","family":"Tjulandin","given":"Sergei a","non-dropping-particle":"","parse-names":false,"suffix":""},{"dropping-particle":"","family":"Moiseyenko","given":"Vladimir M","non-dropping-particle":"","parse-names":false,"suffix":""},{"dropping-particle":"","family":"Chao","given":"Yee","non-dropping-particle":"","parse-names":false,"suffix":""},{"dropping-particle":"","family":"Cabral Filho","given":"Sebastiao","non-dropping-particle":"","parse-names":false,"suffix":""},{"dropping-particle":"","family":"Majlis","given":"Alejandro","non-dropping-particle":"","parse-names":false,"suffix":""},{"dropping-particle":"","family":"Assadourian","given":"Sylvie","non-dropping-particle":"","parse-names":false,"suffix":""},{"dropping-particle":"","family":"Cutsem","given":"Eric","non-dropping-particle":"Van","parse-names":false,"suffix":""}],"container-title":"Journal of clinical oncology : official journal of the American Society of Clinical Oncology","id":"ITEM-1","issue":"24","issued":{"date-parts":[["2005","8","20"]]},"page":"5660-7","title":"Phase II multi-institutional randomized trial of docetaxel plus cisplatin with or without fluorouracil in patients with untreated, advanced gastric, or gastroesophageal adenocarcinoma.","type":"article-journal","volume":"23"},"uris":["http://www.mendeley.com/documents/?uuid=7e68d50c-d9c1-4598-9b2e-88f205c26488"]}],"mendeley":{"formattedCitation":"[54]","plainTextFormattedCitation":"[54]","previouslyFormattedCitation":"[54]"},"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[54]</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2E9723E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79</w:t>
            </w:r>
          </w:p>
        </w:tc>
        <w:tc>
          <w:tcPr>
            <w:tcW w:w="1708" w:type="dxa"/>
            <w:gridSpan w:val="2"/>
            <w:shd w:val="clear" w:color="auto" w:fill="auto"/>
            <w:noWrap/>
            <w:hideMark/>
          </w:tcPr>
          <w:p w14:paraId="77481D57"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DTX+Cis+5-FU</w:t>
            </w:r>
          </w:p>
        </w:tc>
        <w:tc>
          <w:tcPr>
            <w:tcW w:w="1322" w:type="dxa"/>
            <w:shd w:val="clear" w:color="auto" w:fill="auto"/>
            <w:noWrap/>
            <w:hideMark/>
          </w:tcPr>
          <w:p w14:paraId="249A920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61 (77)</w:t>
            </w:r>
          </w:p>
        </w:tc>
        <w:tc>
          <w:tcPr>
            <w:tcW w:w="1623" w:type="dxa"/>
            <w:gridSpan w:val="2"/>
            <w:shd w:val="clear" w:color="auto" w:fill="auto"/>
            <w:noWrap/>
            <w:hideMark/>
          </w:tcPr>
          <w:p w14:paraId="58E2223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57 (30-76)</w:t>
            </w:r>
          </w:p>
        </w:tc>
        <w:tc>
          <w:tcPr>
            <w:tcW w:w="1379" w:type="dxa"/>
            <w:shd w:val="clear" w:color="auto" w:fill="auto"/>
            <w:noWrap/>
            <w:hideMark/>
          </w:tcPr>
          <w:p w14:paraId="7648615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76 (96)</w:t>
            </w:r>
          </w:p>
        </w:tc>
        <w:tc>
          <w:tcPr>
            <w:tcW w:w="797" w:type="dxa"/>
            <w:shd w:val="clear" w:color="auto" w:fill="auto"/>
            <w:noWrap/>
            <w:hideMark/>
          </w:tcPr>
          <w:p w14:paraId="51CC198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0846BE68" w14:textId="77777777" w:rsidTr="00B61A3A">
        <w:trPr>
          <w:trHeight w:val="255"/>
        </w:trPr>
        <w:tc>
          <w:tcPr>
            <w:tcW w:w="2552" w:type="dxa"/>
            <w:shd w:val="clear" w:color="auto" w:fill="auto"/>
            <w:noWrap/>
            <w:hideMark/>
          </w:tcPr>
          <w:p w14:paraId="4E9CFCD1" w14:textId="3D74FA28"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Roth 2007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{"citationItems":[{"id":"ITEM-1","itemData":{"DOI":"10.1200/JCO.2006.08.0135","ISBN":"0732183X (ISSN)","ISSN":"0732183X","PMID":"17664469","abstract":"This randomized phase II trial evaluated two docetaxel-based regimens to see which would be most promising according to overall response rate (ORR) for comparison in a phase III trial with epirubicin-cisplatin-fluorouracil (ECF) as first-line advanced gastric cancer therapy.","author":[{"dropping-particle":"","family":"Roth","given":"Arnaud D.","non-dropping-particle":"","parse-names":false,"suffix":""},{"dropping-particle":"","family":"Fazio","given":"Nicola","non-dropping-particle":"","parse-names":false,"suffix":""},{"dropping-particle":"","family":"Stupp","given":"Roger","non-dropping-particle":"","parse-names":false,"suffix":""},{"dropping-particle":"","family":"Falk","given":"Stephen","non-dropping-particle":"","parse-names":false,"suffix":""},{"dropping-particle":"","family":"Bernhard","given":"Jürg","non-dropping-particle":"","parse-names":false,"suffix":""},{"dropping-particle":"","family":"Saletti","given":"Piercarlo","non-dropping-particle":"","parse-names":false,"suffix":""},{"dropping-particle":"","family":"Köberle","given":"Dieter","non-dropping-particle":"","parse-names":false,"suffix":""},{"dropping-particle":"","family":"Borner","given":"Markus M.","non-dropping-particle":"","parse-names":false,"suffix":""},{"dropping-particle":"","family":"Rufibach","given":"Kaspar","non-dropping-particle":"","parse-names":false,"suffix":""},{"dropping-particle":"","family":"Maibach","given":"Rudolf","non-dropping-particle":"","parse-names":false,"suffix":""},{"dropping-particle":"","family":"Wernli","given":"Martin","non-dropping-particle":"","parse-names":false,"suffix":""},{"dropping-particle":"","family":"Leslie","given":"Martin","non-dropping-particle":"","parse-names":false,"suffix":""},{"dropping-particle":"","family":"Glynne-Jones","given":"Robert","non-dropping-particle":"","parse-names":false,"suffix":""},{"dropping-particle":"","family":"Widmer","given":"Lukas","non-dropping-particle":"","parse-names":false,"suffix":""},{"dropping-particle":"","family":"Seymour","given":"Matthew","non-dropping-particle":"","parse-names":false,"suffix":""},{"dropping-particle":"","family":"Braud","given":"Filippo","non-dropping-particle":"De","parse-names":false,"suffix":""}],"container-title":"Journal of Clinical Oncology","id":"ITEM-1","issue":"22","issued":{"date-parts":[["2007"]]},"page":"3217-3223","title":"Docetaxel, cisplatin, and fluorouracil; docetaxel and cisplatin; and epirubicin, cisplatin, and fluorouracil as systemic treatment for advanced gastric carcinoma: A randomized phase II trial of the Swiss group for clinical cancer research","type":"article-journal","volume":"25"},"uris":["http://www.mendeley.com/documents/?uuid=f396a520-e740-4a4a-bd40-7a3469e7c8eb"]}],"mendeley":{"formattedCitation":"[55]","plainTextFormattedCitation":"[55]","previouslyFormattedCitation":"[55]"},"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[55]</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779BB9B6"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41</w:t>
            </w:r>
          </w:p>
        </w:tc>
        <w:tc>
          <w:tcPr>
            <w:tcW w:w="1708" w:type="dxa"/>
            <w:gridSpan w:val="2"/>
            <w:shd w:val="clear" w:color="auto" w:fill="auto"/>
            <w:noWrap/>
            <w:hideMark/>
          </w:tcPr>
          <w:p w14:paraId="2C30688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DTX+Cis+5-FU</w:t>
            </w:r>
          </w:p>
        </w:tc>
        <w:tc>
          <w:tcPr>
            <w:tcW w:w="1322" w:type="dxa"/>
            <w:shd w:val="clear" w:color="auto" w:fill="auto"/>
            <w:noWrap/>
            <w:hideMark/>
          </w:tcPr>
          <w:p w14:paraId="58264AE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29 (76)</w:t>
            </w:r>
          </w:p>
        </w:tc>
        <w:tc>
          <w:tcPr>
            <w:tcW w:w="1623" w:type="dxa"/>
            <w:gridSpan w:val="2"/>
            <w:shd w:val="clear" w:color="auto" w:fill="auto"/>
            <w:noWrap/>
            <w:hideMark/>
          </w:tcPr>
          <w:p w14:paraId="501517B3"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58 (40-70)</w:t>
            </w:r>
          </w:p>
        </w:tc>
        <w:tc>
          <w:tcPr>
            <w:tcW w:w="1379" w:type="dxa"/>
            <w:shd w:val="clear" w:color="auto" w:fill="auto"/>
            <w:noWrap/>
            <w:hideMark/>
          </w:tcPr>
          <w:p w14:paraId="543B114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 (82)</w:t>
            </w:r>
          </w:p>
        </w:tc>
        <w:tc>
          <w:tcPr>
            <w:tcW w:w="797" w:type="dxa"/>
            <w:shd w:val="clear" w:color="auto" w:fill="auto"/>
            <w:noWrap/>
            <w:hideMark/>
          </w:tcPr>
          <w:p w14:paraId="7913D10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0 (0)</w:t>
            </w:r>
          </w:p>
        </w:tc>
      </w:tr>
      <w:tr w:rsidR="00B61A3A" w:rsidRPr="007D2E2F" w14:paraId="53C00459" w14:textId="77777777" w:rsidTr="00B61A3A">
        <w:trPr>
          <w:trHeight w:val="255"/>
        </w:trPr>
        <w:tc>
          <w:tcPr>
            <w:tcW w:w="2552" w:type="dxa"/>
            <w:shd w:val="clear" w:color="auto" w:fill="auto"/>
            <w:noWrap/>
            <w:hideMark/>
          </w:tcPr>
          <w:p w14:paraId="1D034C90" w14:textId="09930D8C"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Shah 2015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{"citationItems":[{"id":"ITEM-1","itemData":{"DOI":"10.1200/JCO.2015.60.7465","ISSN":"15277755","PMID":"26438119","abstract":"Purpose Docetaxel, cisplatin, and fluorouracil (DCF) is a standard first-line three-drug chemotherapy regimen for advanced gastric or gastroesophageal junction (GEJ) adenocarcinoma and is associated with significant toxicity. We examined the safety and efficacy of a modified DCF (mDCF) regimen in a randomized multicenter phase II study. Patients and Methods Previously untreated patients with metastatic gastric or GEJ adenocarcinoma were randomly assigned to receive either mDCF (fluorouracil 2,000 mg/m2 intravenously [IV] over 48 hours, docetaxel 40 mg/m2 IV on day 1, cisplatin 40 mg/m2 IV on day 3, every 2 weeks) or parent DCF (docetaxel 75 mg/m2, cisplatin 75 mg/m2, and fluorouracil 750 mg/m2 IV over 5 days with granulocyte colony-stimulating factor, every 3 weeks). The study had 90% power to differentiate between 6-month progression-free survival of 26% and 43%, with type I and II error rates of 10% each. An early stopping rule for toxicity was included, defined as grade 3 to 4 adverse event rate &gt; 70% in the first 3 months. Results From November 2006 to June 2010, 85 evaluable patients were enrolled (male, n = 61; female, n = 24; median age, 58 years; Karnofsky performance status, 90%; GEJ, n = 28; gastric, 57). mDCF (n = 54) toxicity rates included 54% grade 3 to 4 toxicity (22% hospitalized) within the first 3 months and 76% grade 3 to 4 toxicity over the course of treatment. The DCF arm (n = 31) closed early because of toxicity, with rates of 71% grade 3 to 4 toxicity (52% hospitalized) within 3 months and 90% grade 3 to 4 toxicity over the course of treatment. Six-month PFS was 63% (95% CI, 48% to 75%) for mDCF and 53% (95% CI, 34% to 69%) for DCF. Median overall survival was improved for mDCF (18.8 v 12.6 months; P = .007). Conclusion mDCF is less toxic than parent DCF, even when supported with growth factors, and is associated with improved efficacy. mDCF should be considered a standard first-line option for patients with metastatic gastric or GEJ adenocarcinoma.","author":[{"dropping-particle":"","family":"Shah","given":"Manish A.","non-dropping-particle":"","parse-names":false,"suffix":""},{"dropping-particle":"","family":"Janjigian","given":"Yelena Y.","non-dropping-particle":"","parse-names":false,"suffix":""},{"dropping-particle":"","family":"Stoller","given":"Ronald","non-dropping-particle":"","parse-names":false,"suffix":""},{"dropping-particle":"","family":"Shibata","given":"Stephen","non-dropping-particle":"","parse-names":false,"suffix":""},{"dropping-particle":"","family":"Kemeny","given":"Margaret","non-dropping-particle":"","parse-names":false,"suffix":""},{"dropping-particle":"","family":"Krishnamurthi","given":"Smitha","non-dropping-particle":"","parse-names":false,"suffix":""},{"dropping-particle":"","family":"Bernard Su","given":"Yungpo","non-dropping-particle":"","parse-names":false,"suffix":""},{"dropping-particle":"","family":"Ocean","given":"Allyson","non-dropping-particle":"","parse-names":false,"suffix":""},{"dropping-particle":"","family":"Capanu","given":"Marinela","non-dropping-particle":"","parse-names":false,"suffix":""},{"dropping-particle":"","family":"Mehrotra","given":"Bhoomi","non-dropping-particle":"","parse-names":false,"suffix":""},{"dropping-particle":"","family":"Ritch","given":"Paul","non-dropping-particle":"","parse-names":false,"suffix":""},{"dropping-particle":"","family":"Henderson","given":"Charles","non-dropping-particle":"","parse-names":false,"suffix":""},{"dropping-particle":"","family":"Kelsen","given":"David P.","non-dropping-particle":"","parse-names":false,"suffix":""}],"container-title":"Journal of Clinical Oncology","id":"ITEM-1","issue":"33","issued":{"date-parts":[["2015"]]},"page":"3874-3879","title":"Randomized multicenter phase II study of modified docetaxel, cisplatin, and fluorouracil (DCF) versus DCF plus growth factor support in patients with metastatic gastric adenocarcinoma: A study of the US gastric cancer consortium","type":"article-journal","volume":"33"},"uris":["http://www.mendeley.com/documents/?uuid=25f13477-e90c-4ece-9562-a5d1e9126b7f"]}],"mendeley":{"formattedCitation":"[90]","plainTextFormattedCitation":"[90]","previouslyFormattedCitation":"[90]"},"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[90]</w:t>
            </w:r>
            <w:r w:rsidRPr="007D2E2F">
              <w:rPr>
                <w:rFonts w:ascii="Times New Roman" w:eastAsia="Times New Roman" w:hAnsi="Times New Roman"/>
                <w:sz w:val="16"/>
                <w:szCs w:val="16"/>
              </w:rPr>
              <w:fldChar w:fldCharType="end"/>
            </w:r>
          </w:p>
        </w:tc>
        <w:tc>
          <w:tcPr>
            <w:tcW w:w="456" w:type="dxa"/>
            <w:shd w:val="clear" w:color="auto" w:fill="auto"/>
            <w:noWrap/>
            <w:hideMark/>
          </w:tcPr>
          <w:p w14:paraId="229CED4E" w14:textId="77777777" w:rsidR="00B61A3A" w:rsidRPr="007D2E2F" w:rsidRDefault="00B61A3A"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31</w:t>
            </w:r>
          </w:p>
        </w:tc>
        <w:tc>
          <w:tcPr>
            <w:tcW w:w="1708" w:type="dxa"/>
            <w:gridSpan w:val="2"/>
            <w:shd w:val="clear" w:color="auto" w:fill="auto"/>
            <w:noWrap/>
            <w:hideMark/>
          </w:tcPr>
          <w:p w14:paraId="79489DA1"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DTX+Cis+5-FU/GF</w:t>
            </w:r>
          </w:p>
        </w:tc>
        <w:tc>
          <w:tcPr>
            <w:tcW w:w="1322" w:type="dxa"/>
            <w:shd w:val="clear" w:color="auto" w:fill="auto"/>
            <w:noWrap/>
            <w:hideMark/>
          </w:tcPr>
          <w:p w14:paraId="71D4109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22 (71)</w:t>
            </w:r>
          </w:p>
        </w:tc>
        <w:tc>
          <w:tcPr>
            <w:tcW w:w="1623" w:type="dxa"/>
            <w:gridSpan w:val="2"/>
            <w:shd w:val="clear" w:color="auto" w:fill="auto"/>
            <w:noWrap/>
            <w:hideMark/>
          </w:tcPr>
          <w:p w14:paraId="6F8D484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56 (30-72)</w:t>
            </w:r>
          </w:p>
        </w:tc>
        <w:tc>
          <w:tcPr>
            <w:tcW w:w="1379" w:type="dxa"/>
            <w:shd w:val="clear" w:color="auto" w:fill="auto"/>
            <w:noWrap/>
            <w:hideMark/>
          </w:tcPr>
          <w:p w14:paraId="1A1B648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31 (100)</w:t>
            </w:r>
          </w:p>
        </w:tc>
        <w:tc>
          <w:tcPr>
            <w:tcW w:w="797" w:type="dxa"/>
            <w:shd w:val="clear" w:color="auto" w:fill="auto"/>
            <w:noWrap/>
            <w:hideMark/>
          </w:tcPr>
          <w:p w14:paraId="27ED401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KPS 90</w:t>
            </w:r>
          </w:p>
        </w:tc>
      </w:tr>
      <w:tr w:rsidR="00B61A3A" w:rsidRPr="007D2E2F" w14:paraId="588050D0" w14:textId="77777777" w:rsidTr="00B61A3A">
        <w:trPr>
          <w:trHeight w:val="255"/>
        </w:trPr>
        <w:tc>
          <w:tcPr>
            <w:tcW w:w="2552" w:type="dxa"/>
            <w:shd w:val="clear" w:color="auto" w:fill="auto"/>
            <w:noWrap/>
            <w:hideMark/>
          </w:tcPr>
          <w:p w14:paraId="0873B64F" w14:textId="7CAA3067"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Shah 2015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{"citationItems":[{"id":"ITEM-1","itemData":{"DOI":"10.1200/JCO.2015.60.7465","ISSN":"15277755","PMID":"26438119","abstract":"Purpose Docetaxel, cisplatin, and fluorouracil (DCF) is a standard first-line three-drug chemotherapy regimen for advanced gastric or gastroesophageal junction (GEJ) adenocarcinoma and is associated with significant toxicity. We examined the safety and efficacy of a modified DCF (mDCF) regimen in a randomized multicenter phase II study. Patients and Methods Previously untreated patients with metastatic gastric or GEJ adenocarcinoma were randomly assigned to receive either mDCF (fluorouracil 2,000 mg/m2 intravenously [IV] over 48 hours, docetaxel 40 mg/m2 IV on day 1, cisplatin 40 mg/m2 IV on day 3, every 2 weeks) or parent DCF (docetaxel 75 mg/m2, cisplatin 75 mg/m2, and fluorouracil 750 mg/m2 IV over 5 days with granulocyte colony-stimulating factor, every 3 weeks). The study had 90% power to differentiate between 6-month progression-free survival of 26% and 43%, with type I and II error rates of 10% each. An early stopping rule for toxicity was included, defined as grade 3 to 4 adverse event rate &gt; 70% in the first 3 months. Results From November 2006 to June 2010, 85 evaluable patients were enrolled (male, n = 61; female, n = 24; median age, 58 years; Karnofsky performance status, 90%; GEJ, n = 28; gastric, 57). mDCF (n = 54) toxicity rates included 54% grade 3 to 4 toxicity (22% hospitalized) within the first 3 months and 76% grade 3 to 4 toxicity over the course of treatment. The DCF arm (n = 31) closed early because of toxicity, with rates of 71% grade 3 to 4 toxicity (52% hospitalized) within 3 months and 90% grade 3 to 4 toxicity over the course of treatment. Six-month PFS was 63% (95% CI, 48% to 75%) for mDCF and 53% (95% CI, 34% to 69%) for DCF. Median overall survival was improved for mDCF (18.8 v 12.6 months; P = .007). Conclusion mDCF is less toxic than parent DCF, even when supported with growth factors, and is associated with improved efficacy. mDCF should be considered a standard first-line option for patients with metastatic gastric or GEJ adenocarcinoma.","author":[{"dropping-particle":"","family":"Shah","given":"Manish A.","non-dropping-particle":"","parse-names":false,"suffix":""},{"dropping-particle":"","family":"Janjigian","given":"Yelena Y.","non-dropping-particle":"","parse-names":false,"suffix":""},{"dropping-particle":"","family":"Stoller","given":"Ronald","non-dropping-particle":"","parse-names":false,"suffix":""},{"dropping-particle":"","family":"Shibata","given":"Stephen","non-dropping-particle":"","parse-names":false,"suffix":""},{"dropping-particle":"","family":"Kemeny","given":"Margaret","non-dropping-particle":"","parse-names":false,"suffix":""},{"dropping-particle":"","family":"Krishnamurthi","given":"Smitha","non-dropping-particle":"","parse-names":false,"suffix":""},{"dropping-particle":"","family":"Bernard Su","given":"Yungpo","non-dropping-particle":"","parse-names":false,"suffix":""},{"dropping-particle":"","family":"Ocean","given":"Allyson","non-dropping-particle":"","parse-names":false,"suffix":""},{"dropping-particle":"","family":"Capanu","given":"Marinela","non-dropping-particle":"","parse-names":false,"suffix":""},{"dropping-particle":"","family":"Mehrotra","given":"Bhoomi","non-dropping-particle":"","parse-names":false,"suffix":""},{"dropping-particle":"","family":"Ritch","given":"Paul","non-dropping-particle":"","parse-names":false,"suffix":""},{"dropping-particle":"","family":"Henderson","given":"Charles","non-dropping-particle":"","parse-names":false,"suffix":""},{"dropping-particle":"","family":"Kelsen","given":"David P.","non-dropping-particle":"","parse-names":false,"suffix":""}],"container-title":"Journal of Clinical Oncology","id":"ITEM-1","issue":"33","issued":{"date-parts":[["2015"]]},"page":"3874-3879","title":"Randomized multicenter phase II study of modified docetaxel, cisplatin, and fluorouracil (DCF) versus DCF plus growth factor support in patients with metastatic gastric adenocarcinoma: A study of the US gastric cancer consortium","type":"article-journal","volume":"33"},"uris":["http://www.mendeley.com/documents/?uuid=25f13477-e90c-4ece-9562-a5d1e9126b7f"]}],"mendeley":{"formattedCitation":"[90]","plainTextFormattedCitation":"[90]","previouslyFormattedCitation":"[90]"},"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[90]</w:t>
            </w:r>
            <w:r w:rsidRPr="007D2E2F">
              <w:rPr>
                <w:rFonts w:ascii="Times New Roman" w:eastAsia="Times New Roman" w:hAnsi="Times New Roman"/>
                <w:sz w:val="16"/>
                <w:szCs w:val="16"/>
              </w:rPr>
              <w:fldChar w:fldCharType="end"/>
            </w:r>
          </w:p>
        </w:tc>
        <w:tc>
          <w:tcPr>
            <w:tcW w:w="456" w:type="dxa"/>
            <w:shd w:val="clear" w:color="auto" w:fill="auto"/>
            <w:noWrap/>
            <w:hideMark/>
          </w:tcPr>
          <w:p w14:paraId="5A259E5C" w14:textId="77777777" w:rsidR="00B61A3A" w:rsidRPr="007D2E2F" w:rsidRDefault="00B61A3A"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54</w:t>
            </w:r>
          </w:p>
        </w:tc>
        <w:tc>
          <w:tcPr>
            <w:tcW w:w="1708" w:type="dxa"/>
            <w:gridSpan w:val="2"/>
            <w:shd w:val="clear" w:color="auto" w:fill="auto"/>
            <w:noWrap/>
            <w:hideMark/>
          </w:tcPr>
          <w:p w14:paraId="703908F5"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DTX+Cis+5-FU</w:t>
            </w:r>
          </w:p>
        </w:tc>
        <w:tc>
          <w:tcPr>
            <w:tcW w:w="1322" w:type="dxa"/>
            <w:shd w:val="clear" w:color="auto" w:fill="auto"/>
            <w:noWrap/>
            <w:hideMark/>
          </w:tcPr>
          <w:p w14:paraId="5719A18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39 (72)</w:t>
            </w:r>
          </w:p>
        </w:tc>
        <w:tc>
          <w:tcPr>
            <w:tcW w:w="1623" w:type="dxa"/>
            <w:gridSpan w:val="2"/>
            <w:shd w:val="clear" w:color="auto" w:fill="auto"/>
            <w:noWrap/>
            <w:hideMark/>
          </w:tcPr>
          <w:p w14:paraId="0D56A212"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59 (22-76)</w:t>
            </w:r>
          </w:p>
        </w:tc>
        <w:tc>
          <w:tcPr>
            <w:tcW w:w="1379" w:type="dxa"/>
            <w:shd w:val="clear" w:color="auto" w:fill="auto"/>
            <w:noWrap/>
            <w:hideMark/>
          </w:tcPr>
          <w:p w14:paraId="4F9440D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54 (100)</w:t>
            </w:r>
          </w:p>
        </w:tc>
        <w:tc>
          <w:tcPr>
            <w:tcW w:w="797" w:type="dxa"/>
            <w:shd w:val="clear" w:color="auto" w:fill="auto"/>
            <w:noWrap/>
            <w:hideMark/>
          </w:tcPr>
          <w:p w14:paraId="058849B5"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KPS 80</w:t>
            </w:r>
          </w:p>
        </w:tc>
      </w:tr>
      <w:tr w:rsidR="00B61A3A" w:rsidRPr="007D2E2F" w14:paraId="46CA3702" w14:textId="77777777" w:rsidTr="00B61A3A">
        <w:trPr>
          <w:trHeight w:val="255"/>
        </w:trPr>
        <w:tc>
          <w:tcPr>
            <w:tcW w:w="2552" w:type="dxa"/>
            <w:shd w:val="clear" w:color="auto" w:fill="auto"/>
            <w:noWrap/>
            <w:hideMark/>
          </w:tcPr>
          <w:p w14:paraId="4DA90DE8" w14:textId="6B1B3DB2"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Ochenduszko 2015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{"citationItems":[{"id":"ITEM-1","itemData":{"DOI":"10.1007/s12032-015-0687-7","ISSN":"1559131X","PMID":"26354521","abstract":"The aim of the study was to compare efficacy and safety of first-line palliative chemotherapy with (EOX) epirubicin/oxaliplatin/capecitabine and (mDCF) docetaxel/cisplatin/5FU/leucovorin regimens for untreated advanced HER2-negative gastric or gastroesophageal junction adenocarcinoma. Fifty-six patients were randomly assigned to mDCF (docetaxel 40 mg/m(2) day 1, leucovorin 400 mg/m(2) day 1, 5FU 400 mg/m(2) bolus day 1, 5FU 1000 mg/m(2)/d days 1 and 2, cisplatin 40 mg/m(2) day 3) or EOX (epirubicin 50 mg/m(2) day 1, oxaliplatin 130 mg/m(2) day 1, capecitabine 1250 mg/m(2)/d days 1-21). The primary endpoint was overall survival. The median overall survival was 9.5 months with EOX and 11.9 months with mDCF (p = 0.135), while median progression-free survival was 6.4 and 6.8 months, respectively (p = 0.440). Two-year survival rate was 22.2 % with mDCF compared to 5.2 % with EOX. Patients in the EOX arm had more frequent reductions in chemotherapy doses (34.5 vs. 3.7 %; p = 0.010) and delays in subsequent chemotherapy cycles (82.8 vs. 63.0 %; p = 0.171). There was no statistically significant difference in the rates of grade 3-4 adverse events (EOX 79.3 vs. mDCF 61.5 %; p = 0.234). As compared with the mDCF, the EOX regimen was associated with more frequent nausea (34.5 vs. 15.4 %), thromboembolic events (13.8 vs. 7.7 %), abdominal pain (13.8 vs. 7.7 %) and grades 3-4 neutropenia (72.4 vs. 50.0 %), but lower incidences of anemia (44.8 vs. 61.5 %), mucositis (6.9 vs. 15.4 %) and peripheral neuropathy (6.9 vs. 15.4 %). In conclusion, the mDCF regimen was associated with a statistically nonsignificant 2.4-month longer median overall survival without an increase in toxicity. This trial is registered at ClinicalTrials.gov, number NCT02445209.","author":[{"dropping-particle":"","family":"Ochenduszko","given":"Sebastian","non-dropping-particle":"","parse-names":false,"suffix":""},{"dropping-particle":"","family":"Puskulluoglu","given":"Miroslawa","non-dropping-particle":"","parse-names":false,"suffix":""},{"dropping-particle":"","family":"Konopka","given":"Kamil","non-dropping-particle":"","parse-names":false,"suffix":""},{"dropping-particle":"","family":"Fijorek","given":"Kamil","non-dropping-particle":"","parse-names":false,"suffix":""},{"dropping-particle":"","family":"Urbanczyk","given":"Katarzyna","non-dropping-particle":"","parse-names":false,"suffix":""},{"dropping-particle":"","family":"Budzynski","given":"Andrzej","non-dropping-particle":"","parse-names":false,"suffix":""},{"dropping-particle":"","family":"Matlok","given":"Maciej","non-dropping-particle":"","parse-names":false,"suffix":""},{"dropping-particle":"","family":"Lazar","given":"Agata","non-dropping-particle":"","parse-names":false,"suffix":""},{"dropping-particle":"","family":"Sinczak-Kuta","given":"Anna","non-dropping-particle":"","parse-names":false,"suffix":""},{"dropping-particle":"","family":"Pedziwiatr","given":"Michal","non-dropping-particle":"","parse-names":false,"suffix":""},{"dropping-particle":"","family":"Krzemieniecki","given":"Krzysztof","non-dropping-particle":"","parse-names":false,"suffix":""}],"container-title":"Medical Oncology","id":"ITEM-1","issue":"10","issued":{"date-parts":[["2015"]]},"page":"1-8","publisher":"Springer US","title":"Comparison of efficacy and safety of first-line palliative chemotherapy with EOX and mDCF regimens in patients with locally advanced inoperable or metastatic HER2-negative gastric or gastroesophageal junction adenocarcinoma: a randomized phase 3 trial","type":"article-journal","volume":"32"},"uris":["http://www.mendeley.com/documents/?uuid=c4866849-c400-4826-a7db-44fa74051b13"]}],"mendeley":{"formattedCitation":"[86]","plainTextFormattedCitation":"[86]","previouslyFormattedCitation":"[86]"},"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[86]</w:t>
            </w:r>
            <w:r w:rsidRPr="007D2E2F">
              <w:rPr>
                <w:rFonts w:ascii="Times New Roman" w:eastAsia="Times New Roman" w:hAnsi="Times New Roman"/>
                <w:sz w:val="16"/>
                <w:szCs w:val="16"/>
              </w:rPr>
              <w:fldChar w:fldCharType="end"/>
            </w:r>
          </w:p>
        </w:tc>
        <w:tc>
          <w:tcPr>
            <w:tcW w:w="456" w:type="dxa"/>
            <w:shd w:val="clear" w:color="auto" w:fill="auto"/>
            <w:noWrap/>
            <w:hideMark/>
          </w:tcPr>
          <w:p w14:paraId="69876F05" w14:textId="77777777" w:rsidR="00B61A3A" w:rsidRPr="007D2E2F" w:rsidRDefault="00B61A3A"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27</w:t>
            </w:r>
          </w:p>
        </w:tc>
        <w:tc>
          <w:tcPr>
            <w:tcW w:w="1708" w:type="dxa"/>
            <w:gridSpan w:val="2"/>
            <w:shd w:val="clear" w:color="auto" w:fill="auto"/>
            <w:noWrap/>
            <w:hideMark/>
          </w:tcPr>
          <w:p w14:paraId="0BBB08A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DTX+Cis+5-FU</w:t>
            </w:r>
          </w:p>
        </w:tc>
        <w:tc>
          <w:tcPr>
            <w:tcW w:w="1322" w:type="dxa"/>
            <w:shd w:val="clear" w:color="auto" w:fill="auto"/>
            <w:noWrap/>
            <w:hideMark/>
          </w:tcPr>
          <w:p w14:paraId="2148CA5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13 (48)</w:t>
            </w:r>
          </w:p>
        </w:tc>
        <w:tc>
          <w:tcPr>
            <w:tcW w:w="1623" w:type="dxa"/>
            <w:gridSpan w:val="2"/>
            <w:shd w:val="clear" w:color="auto" w:fill="auto"/>
            <w:noWrap/>
            <w:hideMark/>
          </w:tcPr>
          <w:p w14:paraId="008717E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60 (NA)</w:t>
            </w:r>
          </w:p>
        </w:tc>
        <w:tc>
          <w:tcPr>
            <w:tcW w:w="1379" w:type="dxa"/>
            <w:shd w:val="clear" w:color="auto" w:fill="auto"/>
            <w:noWrap/>
            <w:hideMark/>
          </w:tcPr>
          <w:p w14:paraId="59AC46B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27 (100)</w:t>
            </w:r>
          </w:p>
        </w:tc>
        <w:tc>
          <w:tcPr>
            <w:tcW w:w="797" w:type="dxa"/>
            <w:shd w:val="clear" w:color="auto" w:fill="auto"/>
            <w:noWrap/>
            <w:hideMark/>
          </w:tcPr>
          <w:p w14:paraId="4121BFD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 (7)</w:t>
            </w:r>
          </w:p>
        </w:tc>
      </w:tr>
      <w:tr w:rsidR="00B61A3A" w:rsidRPr="007D2E2F" w14:paraId="7724F218" w14:textId="77777777" w:rsidTr="00B61A3A">
        <w:trPr>
          <w:trHeight w:val="255"/>
        </w:trPr>
        <w:tc>
          <w:tcPr>
            <w:tcW w:w="3008" w:type="dxa"/>
            <w:gridSpan w:val="2"/>
            <w:shd w:val="clear" w:color="auto" w:fill="auto"/>
            <w:noWrap/>
            <w:hideMark/>
          </w:tcPr>
          <w:p w14:paraId="56AD2AA1" w14:textId="77777777" w:rsidR="00B61A3A" w:rsidRPr="007D2E2F" w:rsidRDefault="00B61A3A" w:rsidP="00B61A3A">
            <w:pPr>
              <w:spacing w:before="240" w:line="360" w:lineRule="auto"/>
              <w:rPr>
                <w:rFonts w:ascii="Times New Roman" w:eastAsia="Times New Roman" w:hAnsi="Times New Roman"/>
                <w:b/>
                <w:sz w:val="16"/>
                <w:szCs w:val="16"/>
                <w:u w:val="single"/>
              </w:rPr>
            </w:pPr>
            <w:r w:rsidRPr="007D2E2F">
              <w:rPr>
                <w:rFonts w:ascii="Times New Roman" w:eastAsia="Times New Roman" w:hAnsi="Times New Roman"/>
                <w:b/>
                <w:sz w:val="16"/>
                <w:szCs w:val="16"/>
                <w:u w:val="single"/>
              </w:rPr>
              <w:t>Paclitaxel+Cisplatin+5-FU</w:t>
            </w:r>
          </w:p>
        </w:tc>
        <w:tc>
          <w:tcPr>
            <w:tcW w:w="1708" w:type="dxa"/>
            <w:gridSpan w:val="2"/>
            <w:shd w:val="clear" w:color="auto" w:fill="auto"/>
            <w:noWrap/>
            <w:hideMark/>
          </w:tcPr>
          <w:p w14:paraId="4C4959B3" w14:textId="77777777" w:rsidR="00B61A3A" w:rsidRPr="007D2E2F" w:rsidRDefault="00B61A3A" w:rsidP="00B61A3A">
            <w:pPr>
              <w:spacing w:before="240" w:line="360" w:lineRule="auto"/>
              <w:rPr>
                <w:rFonts w:ascii="Times New Roman" w:eastAsia="Times New Roman" w:hAnsi="Times New Roman"/>
                <w:sz w:val="16"/>
                <w:szCs w:val="16"/>
                <w:u w:val="single"/>
              </w:rPr>
            </w:pPr>
            <w:r w:rsidRPr="007D2E2F">
              <w:rPr>
                <w:rFonts w:ascii="Times New Roman" w:eastAsia="Times New Roman" w:hAnsi="Times New Roman"/>
                <w:sz w:val="16"/>
                <w:szCs w:val="16"/>
                <w:u w:val="single"/>
              </w:rPr>
              <w:t>TCF</w:t>
            </w:r>
          </w:p>
        </w:tc>
        <w:tc>
          <w:tcPr>
            <w:tcW w:w="1322" w:type="dxa"/>
            <w:shd w:val="clear" w:color="auto" w:fill="auto"/>
            <w:noWrap/>
            <w:hideMark/>
          </w:tcPr>
          <w:p w14:paraId="3503017E"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4F5D13F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40D3D8B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1A2E23E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37CEC787" w14:textId="77777777" w:rsidTr="00B61A3A">
        <w:trPr>
          <w:trHeight w:val="255"/>
        </w:trPr>
        <w:tc>
          <w:tcPr>
            <w:tcW w:w="2552" w:type="dxa"/>
            <w:shd w:val="clear" w:color="auto" w:fill="auto"/>
            <w:noWrap/>
            <w:hideMark/>
          </w:tcPr>
          <w:p w14:paraId="5F6868FF" w14:textId="737EF792" w:rsidR="00B61A3A" w:rsidRPr="007D2E2F" w:rsidRDefault="00B61A3A" w:rsidP="00B61A3A">
            <w:pPr>
              <w:spacing w:before="240" w:line="360" w:lineRule="auto"/>
              <w:rPr>
                <w:rFonts w:ascii="Times New Roman" w:eastAsia="Times New Roman" w:hAnsi="Times New Roman"/>
                <w:b/>
                <w:sz w:val="16"/>
                <w:szCs w:val="16"/>
              </w:rPr>
            </w:pPr>
            <w:r w:rsidRPr="007D2E2F">
              <w:rPr>
                <w:rFonts w:ascii="Times New Roman" w:eastAsia="Times New Roman" w:hAnsi="Times New Roman"/>
                <w:b/>
                <w:sz w:val="16"/>
                <w:szCs w:val="16"/>
              </w:rPr>
              <w:t xml:space="preserve">Li 2011 </w:t>
            </w:r>
            <w:r w:rsidRPr="007D2E2F">
              <w:rPr>
                <w:rFonts w:ascii="Times New Roman" w:eastAsia="Times New Roman" w:hAnsi="Times New Roman"/>
                <w:sz w:val="16"/>
                <w:szCs w:val="16"/>
              </w:rPr>
              <w:fldChar w:fldCharType="begin" w:fldLock="1"/>
            </w:r>
            <w:r w:rsidR="006739B2">
              <w:rPr>
                <w:rFonts w:ascii="Times New Roman" w:eastAsia="Times New Roman" w:hAnsi="Times New Roman"/>
                <w:b/>
                <w:sz w:val="16"/>
                <w:szCs w:val="16"/>
              </w:rPr>
              <w:instrText>ADDIN CSL_CITATION {"citationItems":[{"id":"ITEM-1","itemData":{"DOI":"10.3748/wjg.v17.i8.1082","ISSN":"2219-2840","PMID":"21448363","abstract":"AIM: To compare the efficacy and safety of paclitaxel combined with fluorouracil plus cisplatin (PCF), and oxaliplatin combined with fluorouracil plus leucovorin (FOLFOX-4) regimens for advanced gastric cancer (AGC).\n\nMETHODS: Ninety-four patients with AGC were randomly assigned to receive paclitaxel (50 mg/m(2) iv) on days 1, 8 and 15, cisplatin (20 mg/m(2) iv) and fluorouracil (750 mg/m(2) iv) on days 1-5, or oxaliplatin (85 mg/m(2) iv) and leucovorin (200 mg/m(2) iv) on day 1, followed by bolus fluorouracil (400 mg/m(2) iv) and fluorouracil (600 mg/m(2) iv) on days 1 and 2. The primary end point was the 1-year survival time.\n\nRESULTS: The overall response rate (ORR) of the patients was 48.0% and 45.5% to PCF and FOLFOX-4, respectively. The disease control rate (DCR) of PCF and FOLFOX-4 was 82.0% and 81.8%, respectively. The median survival times (MSTs) of the patients were 10.8 and 9.9 mo, respectively, after treatment with PCF and FOLFOX-4. The 1-year survival rate of the patients was 36.0% and 34.1%, respectively, after treatment with PCF and FOLFOX-4. No significant difference was observed in ORR, DCR, MST or 1-year survival rate between the two groups. The most common adverse events were anemia, nausea and vomiting, and grade 3/4 alopecia in PCF treatment group, and anemia, grade 1/2 neurotoxic effect and grade 3/4 neutropenia in FOLFOX-4 treatment group.\n\nCONCLUSION: Patients with AGC have a similar response rate to PCF and FOLFOX-4 regimens with a similar survival rate. The PCF and FOLFOX-4 regimens are efficacious and tolerable as a promising therapy for AGC.","author":[{"dropping-particle":"","family":"Li","given":"Xiao-Dong","non-dropping-particle":"","parse-names":false,"suffix":""},{"dropping-particle":"","family":"Shen","given":"Hua","non-dropping-particle":"","parse-names":false,"suffix":""},{"dropping-particle":"","family":"Jiang","given":"Jing-Ting","non-dropping-particle":"","parse-names":false,"suffix":""},{"dropping-particle":"","family":"Zhang","given":"Han-Ze","non-dropping-particle":"","parse-names":false,"suffix":""},{"dropping-particle":"","family":"Zheng","given":"Xiao","non-dropping-particle":"","parse-names":false,"suffix":""},{"dropping-particle":"","family":"Shu","given":"Yong-Qian","non-dropping-particle":"","parse-names":false,"suffix":""},{"dropping-particle":"","family":"Wu","given":"Chang-Ping","non-dropping-particle":"","parse-names":false,"suffix":""}],"container-title":"World journal of gastroenterology : WJG","id":"ITEM-1","issue":"8","issued":{"date-parts":[["2011","2","28"]]},"page":"1082-7","title":"Paclitaxel based vs oxaliplatin based regimens for advanced gastric cancer.","type":"article-journal","volume":"17"},"uris":["http://www.mendeley.com/documents/?uuid=1696d848-314e-4401-b616-2a4f805c73bc"]}],"mendeley":{"formattedCitation":"[91]","plainTextFormattedCitation":"[91]","previouslyFormattedCitation":"[91]"},"properties":{"noteIndex":0},"schema":"https://github.com/citation-style-language/schema/raw/master/csl-citation.json"}</w:instrText>
            </w:r>
            <w:r w:rsidRPr="007D2E2F">
              <w:rPr>
                <w:rFonts w:ascii="Times New Roman" w:eastAsia="Times New Roman" w:hAnsi="Times New Roman"/>
                <w:sz w:val="16"/>
                <w:szCs w:val="16"/>
              </w:rPr>
              <w:fldChar w:fldCharType="separate"/>
            </w:r>
            <w:r w:rsidR="006739B2" w:rsidRPr="006739B2">
              <w:rPr>
                <w:rFonts w:ascii="Times New Roman" w:eastAsia="Times New Roman" w:hAnsi="Times New Roman"/>
                <w:noProof/>
                <w:sz w:val="16"/>
                <w:szCs w:val="16"/>
              </w:rPr>
              <w:t>[91]</w:t>
            </w:r>
            <w:r w:rsidRPr="007D2E2F">
              <w:rPr>
                <w:rFonts w:ascii="Times New Roman" w:eastAsia="Times New Roman" w:hAnsi="Times New Roman"/>
                <w:sz w:val="16"/>
                <w:szCs w:val="16"/>
              </w:rPr>
              <w:fldChar w:fldCharType="end"/>
            </w:r>
          </w:p>
        </w:tc>
        <w:tc>
          <w:tcPr>
            <w:tcW w:w="456" w:type="dxa"/>
            <w:shd w:val="clear" w:color="auto" w:fill="auto"/>
            <w:noWrap/>
            <w:hideMark/>
          </w:tcPr>
          <w:p w14:paraId="4390D63A" w14:textId="77777777" w:rsidR="00B61A3A" w:rsidRPr="007D2E2F" w:rsidRDefault="00B61A3A" w:rsidP="00B61A3A">
            <w:pPr>
              <w:spacing w:before="240" w:line="360" w:lineRule="auto"/>
              <w:rPr>
                <w:rFonts w:ascii="Times New Roman" w:eastAsia="Times New Roman" w:hAnsi="Times New Roman"/>
                <w:sz w:val="16"/>
                <w:szCs w:val="16"/>
              </w:rPr>
            </w:pPr>
            <w:r w:rsidRPr="007D2E2F">
              <w:rPr>
                <w:rFonts w:ascii="Times New Roman" w:eastAsia="Times New Roman" w:hAnsi="Times New Roman"/>
                <w:sz w:val="16"/>
                <w:szCs w:val="16"/>
              </w:rPr>
              <w:t>50</w:t>
            </w:r>
          </w:p>
        </w:tc>
        <w:tc>
          <w:tcPr>
            <w:tcW w:w="1708" w:type="dxa"/>
            <w:gridSpan w:val="2"/>
            <w:shd w:val="clear" w:color="auto" w:fill="auto"/>
            <w:noWrap/>
            <w:hideMark/>
          </w:tcPr>
          <w:p w14:paraId="267755E0"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Cis+5-FU+PTX</w:t>
            </w:r>
          </w:p>
        </w:tc>
        <w:tc>
          <w:tcPr>
            <w:tcW w:w="1322" w:type="dxa"/>
            <w:shd w:val="clear" w:color="auto" w:fill="auto"/>
            <w:noWrap/>
            <w:hideMark/>
          </w:tcPr>
          <w:p w14:paraId="4B262DF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32 (64)</w:t>
            </w:r>
          </w:p>
        </w:tc>
        <w:tc>
          <w:tcPr>
            <w:tcW w:w="1623" w:type="dxa"/>
            <w:gridSpan w:val="2"/>
            <w:shd w:val="clear" w:color="auto" w:fill="auto"/>
            <w:noWrap/>
            <w:hideMark/>
          </w:tcPr>
          <w:p w14:paraId="12BD5FE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59 (20-74)</w:t>
            </w:r>
          </w:p>
        </w:tc>
        <w:tc>
          <w:tcPr>
            <w:tcW w:w="1379" w:type="dxa"/>
            <w:shd w:val="clear" w:color="auto" w:fill="auto"/>
            <w:noWrap/>
            <w:hideMark/>
          </w:tcPr>
          <w:p w14:paraId="0614E33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c>
          <w:tcPr>
            <w:tcW w:w="797" w:type="dxa"/>
            <w:shd w:val="clear" w:color="auto" w:fill="auto"/>
            <w:noWrap/>
            <w:hideMark/>
          </w:tcPr>
          <w:p w14:paraId="6A5E1EC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NA</w:t>
            </w:r>
          </w:p>
        </w:tc>
      </w:tr>
      <w:tr w:rsidR="00B61A3A" w:rsidRPr="007D2E2F" w14:paraId="3E504BEA" w14:textId="77777777" w:rsidTr="00B61A3A">
        <w:trPr>
          <w:trHeight w:val="255"/>
        </w:trPr>
        <w:tc>
          <w:tcPr>
            <w:tcW w:w="4716" w:type="dxa"/>
            <w:gridSpan w:val="4"/>
            <w:shd w:val="clear" w:color="auto" w:fill="auto"/>
            <w:noWrap/>
            <w:hideMark/>
          </w:tcPr>
          <w:p w14:paraId="12C951B9"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T-containing doublet</w:t>
            </w:r>
          </w:p>
        </w:tc>
        <w:tc>
          <w:tcPr>
            <w:tcW w:w="1322" w:type="dxa"/>
            <w:shd w:val="clear" w:color="auto" w:fill="auto"/>
            <w:noWrap/>
            <w:hideMark/>
          </w:tcPr>
          <w:p w14:paraId="5050EB3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4B5C81FC"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36F374B1"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34D0837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05EC2AE3" w14:textId="77777777" w:rsidTr="00B61A3A">
        <w:trPr>
          <w:trHeight w:val="255"/>
        </w:trPr>
        <w:tc>
          <w:tcPr>
            <w:tcW w:w="3008" w:type="dxa"/>
            <w:gridSpan w:val="2"/>
            <w:shd w:val="clear" w:color="auto" w:fill="auto"/>
            <w:noWrap/>
            <w:hideMark/>
          </w:tcPr>
          <w:p w14:paraId="297D2820" w14:textId="77777777" w:rsidR="00B61A3A" w:rsidRPr="007D2E2F" w:rsidRDefault="00B61A3A" w:rsidP="00B61A3A">
            <w:pPr>
              <w:spacing w:before="240" w:line="360" w:lineRule="auto"/>
              <w:rPr>
                <w:rFonts w:ascii="Times New Roman" w:eastAsia="Times New Roman" w:hAnsi="Times New Roman"/>
                <w:b/>
                <w:color w:val="000000"/>
                <w:sz w:val="16"/>
                <w:szCs w:val="16"/>
                <w:u w:val="single"/>
              </w:rPr>
            </w:pPr>
            <w:r w:rsidRPr="007D2E2F">
              <w:rPr>
                <w:rFonts w:ascii="Times New Roman" w:eastAsia="Times New Roman" w:hAnsi="Times New Roman"/>
                <w:b/>
                <w:color w:val="000000"/>
                <w:sz w:val="16"/>
                <w:szCs w:val="16"/>
                <w:u w:val="single"/>
              </w:rPr>
              <w:t>Oxaliplatin+Docetaxel</w:t>
            </w:r>
          </w:p>
        </w:tc>
        <w:tc>
          <w:tcPr>
            <w:tcW w:w="1708" w:type="dxa"/>
            <w:gridSpan w:val="2"/>
            <w:shd w:val="clear" w:color="auto" w:fill="auto"/>
            <w:noWrap/>
            <w:hideMark/>
          </w:tcPr>
          <w:p w14:paraId="41791E7B"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OxT</w:t>
            </w:r>
          </w:p>
        </w:tc>
        <w:tc>
          <w:tcPr>
            <w:tcW w:w="1322" w:type="dxa"/>
            <w:shd w:val="clear" w:color="auto" w:fill="auto"/>
            <w:noWrap/>
            <w:hideMark/>
          </w:tcPr>
          <w:p w14:paraId="5E9319C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4C50602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42866E5F"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3A450C0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7D2E2F" w14:paraId="67199AB8" w14:textId="77777777" w:rsidTr="00B61A3A">
        <w:trPr>
          <w:trHeight w:val="255"/>
        </w:trPr>
        <w:tc>
          <w:tcPr>
            <w:tcW w:w="2552" w:type="dxa"/>
            <w:shd w:val="clear" w:color="auto" w:fill="auto"/>
            <w:noWrap/>
            <w:hideMark/>
          </w:tcPr>
          <w:p w14:paraId="503609F9" w14:textId="4B2647DF" w:rsidR="00B61A3A" w:rsidRPr="007D2E2F" w:rsidRDefault="00B61A3A" w:rsidP="00B61A3A">
            <w:pPr>
              <w:spacing w:before="240" w:line="360" w:lineRule="auto"/>
              <w:rPr>
                <w:rFonts w:ascii="Times New Roman" w:eastAsia="Times New Roman" w:hAnsi="Times New Roman"/>
                <w:b/>
                <w:color w:val="000000"/>
                <w:sz w:val="16"/>
                <w:szCs w:val="16"/>
              </w:rPr>
            </w:pPr>
            <w:r w:rsidRPr="007D2E2F">
              <w:rPr>
                <w:rFonts w:ascii="Times New Roman" w:eastAsia="Times New Roman" w:hAnsi="Times New Roman"/>
                <w:b/>
                <w:color w:val="000000"/>
                <w:sz w:val="16"/>
                <w:szCs w:val="16"/>
              </w:rPr>
              <w:t xml:space="preserve">Sym 2014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{"citationItems":[{"id":"ITEM-1","itemData":{"DOI":"10.1007/s00280-012-2027-3","ISSN":"1432-0843","PMID":"23192279","abstract":"BACKGROUND: The aim of this study was to evaluate the efficacy of irinotecan (CPT-11) monotherapy and CPT-11 plus 5-fluorouracil (5-FU)/leucovorin (LV) combination (mFOLFIRI) as second-line treatment in patients with advanced gastric cancer (AGC).\n\nMETHODS: A total of 59 patients were randomly assigned to either CPT-11 (150 mg/m(2) iv on day 1) or mFOLFIRI (CPT-11 150 mg/m(2) plus LV 20 mg/m(2) on day 1 followed by 5-FU 2,000 mg/m(2) over 48 h), every 2 weeks. The primary end point was objective response rate (ORR).\n\nRESULTS: Following random assignment, 29 patients received CPT-11 and 30 patients mFOLFIRI. The ORR was 17.2 % [95 % confidence interval (CI) 3.4-30.9] and 20.0 % (95 % CI 5.6-34.3) for the CPT-11 and mFOLFIRI arms, respectively (P = 0.525). There was no significant difference in median progression-free survival: 2.2 months (95 % CI 0.2-4.3) for CPT-11 versus 3.0 months (95 % CI 2.0-3.7) for mFOLFIRI (P = 0.481) or in median overall survival: 5.8 months (95 % CI 3.0-8.7), compared with 6.7 months (95 % CI 5.3-8.2) (P = 0.514). Grade 3/4 toxicity was observed in 21 and 28 events in the CPT-11 and mFOLFIRI arms, respectively.\n\nCONCLUSIONS: Although this study had a small sample size and limited statistical power, CPT-11 monotherapy and mFOLFIRI appear to be equally active and tolerable as second-line chemotherapy for AGC. The addition of 5-FU/LV to CPT-11 did not significantly improve efficacy.","author":[{"dropping-particle":"","family":"Sym","given":"Sun Jin","non-dropping-particle":"","parse-names":false,"suffix":""},{"dropping-particle":"","family":"Hong","given":"Junshik","non-dropping-particle":"","parse-names":false,"suffix":""},{"dropping-particle":"","family":"Park","given":"Jinny","non-dropping-particle":"","parse-names":false,"suffix":""},{"dropping-particle":"","family":"Cho","given":"Eun Kyung","non-dropping-particle":"","parse-names":false,"suffix":""},{"dropping-particle":"","family":"Lee","given":"Jae Hoon","non-dropping-particle":"","parse-names":false,"suffix":""},{"dropping-particle":"","family":"Park","given":"Yeon Ho","non-dropping-particle":"","parse-names":false,"suffix":""},{"dropping-particle":"","family":"Lee","given":"Woon Ki","non-dropping-particle":"","parse-names":false,"suffix":""},{"dropping-particle":"","family":"Chung","given":"Min","non-dropping-particle":"","parse-names":false,"suffix":""},{"dropping-particle":"","family":"Kim","given":"Hyung-Sik","non-dropping-particle":"","parse-names":false,"suffix":""},{"dropping-particle":"","family":"Park","given":"Se Hoon","non-dropping-particle":"","parse-names":false,"suffix":""},{"dropping-particle":"","family":"Shin","given":"Dong Bok","non-dropping-particle":"","parse-names":false,"suffix":""}],"container-title":"Cancer chemotherapy and pharmacology","id":"ITEM-1","issue":"2","issued":{"date-parts":[["2013","2"]]},"page":"481-8","title":"A randomized phase II study of biweekly irinotecan monotherapy or a combination of irinotecan plus 5-fluorouracil/leucovorin (mFOLFIRI) in patients with metastatic gastric adenocarcinoma refractory to or progressive after first-line chemotherapy.","type":"article-journal","volume":"71"},"uris":["http://www.mendeley.com/documents/?uuid=b29e456e-6bdc-495a-b9cb-b5f70ad6d000"]}],"mendeley":{"formattedCitation":"[57]","plainTextFormattedCitation":"[57]","previouslyFormattedCitation":"[57]"},"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[57]</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4429888C"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39</w:t>
            </w:r>
          </w:p>
        </w:tc>
        <w:tc>
          <w:tcPr>
            <w:tcW w:w="1708" w:type="dxa"/>
            <w:gridSpan w:val="2"/>
            <w:shd w:val="clear" w:color="auto" w:fill="auto"/>
            <w:noWrap/>
            <w:hideMark/>
          </w:tcPr>
          <w:p w14:paraId="08683CB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Ox+DTX</w:t>
            </w:r>
          </w:p>
        </w:tc>
        <w:tc>
          <w:tcPr>
            <w:tcW w:w="1322" w:type="dxa"/>
            <w:shd w:val="clear" w:color="auto" w:fill="auto"/>
            <w:noWrap/>
            <w:hideMark/>
          </w:tcPr>
          <w:p w14:paraId="21ED70B4"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26 (67)</w:t>
            </w:r>
          </w:p>
        </w:tc>
        <w:tc>
          <w:tcPr>
            <w:tcW w:w="1623" w:type="dxa"/>
            <w:gridSpan w:val="2"/>
            <w:shd w:val="clear" w:color="auto" w:fill="auto"/>
            <w:noWrap/>
            <w:hideMark/>
          </w:tcPr>
          <w:p w14:paraId="2D095C6B"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58 (39-75)</w:t>
            </w:r>
          </w:p>
        </w:tc>
        <w:tc>
          <w:tcPr>
            <w:tcW w:w="1379" w:type="dxa"/>
            <w:shd w:val="clear" w:color="auto" w:fill="auto"/>
            <w:noWrap/>
            <w:hideMark/>
          </w:tcPr>
          <w:p w14:paraId="5B2B4318"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28 (72)</w:t>
            </w:r>
          </w:p>
        </w:tc>
        <w:tc>
          <w:tcPr>
            <w:tcW w:w="797" w:type="dxa"/>
            <w:shd w:val="clear" w:color="auto" w:fill="auto"/>
            <w:noWrap/>
            <w:hideMark/>
          </w:tcPr>
          <w:p w14:paraId="25B9E1D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 (13)</w:t>
            </w:r>
          </w:p>
        </w:tc>
      </w:tr>
      <w:tr w:rsidR="00B61A3A" w:rsidRPr="001A6F97" w14:paraId="7DAF1203" w14:textId="77777777" w:rsidTr="00B61A3A">
        <w:trPr>
          <w:trHeight w:val="255"/>
        </w:trPr>
        <w:tc>
          <w:tcPr>
            <w:tcW w:w="2552" w:type="dxa"/>
            <w:shd w:val="clear" w:color="auto" w:fill="auto"/>
            <w:noWrap/>
            <w:hideMark/>
          </w:tcPr>
          <w:p w14:paraId="5C5165BA" w14:textId="5382E995" w:rsidR="00B61A3A" w:rsidRPr="0074359A" w:rsidRDefault="00B61A3A" w:rsidP="00B61A3A">
            <w:pPr>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Richards 2013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{"citationItems":[{"id":"ITEM-1","itemData":{"DOI":"10.1016/j.ejca.2013.04.022","ISBN":"1879-0852","ISSN":"09598049","PMID":"23747051","abstract":"Patients with advanced adenocarcinoma of the gastroesophageal junction/stomach are treated by combination chemotherapy, with minimal improvements in survival. We evaluated adding cetuximab to combination chemotherapy in these patients. Methods The primary objective was progression-free survival. Secondary objectives were response rate, time to response, duration of response and safety. Treatment Arm 1: docetaxel + oxaliplatin (DOCOX) = docetaxel 60 mg/m2 plus oxaliplatin 130 mg/m2 on Day 1 of each 21-day cycle. Arm 2: docetaxel + oxaliplatin + cetuximab (DOCOX + C) = DOCOX with C 400 mg/m2 first dose then 250 mg/m2 weekly. The protocol was amended to allow collection of tissue to correlate responses with KRAS status. Findings One hundred fifty patients were enrolled (75/arm). DOCOX/DOCOX + C: gastric 44%/41%, gastroesophageal junction 51%/55%, both 5%/4%. Response rate/arm: 26.5%/38.0%. Median progression-free survival: 4.7/5.1 months (95% confidence interval (CI) 3.0-5.6/4.3-5.9); 1 year survival: 39.1%/33.0%, median overall survival: 8.5/9.4 months; median duration of response: 7.3/5.6 months. Grade 3-4 treatment-related adverse events (%) included neutropenia (50%/44%), febrile neutropenia (13%/19%), diarrhoea (12%/17%), fatigue (12%/17%) and leukopenia (7%/14%). Discontinuation was due to progressive disease 39/32 and adverse events 21/34. KRAS was collected on some patients 2 years into the study because of new American Society of Clinical Oncology (ASCO) findings. Interpretation Cetuximab added to DOCOX may improve response rate minimally; there appears to be no improvement in progression-free survival, overall survival or 1-year survival. Cetuximab added to DOCOX did not produce clinically significant outcomes. Toxicities were consistent with the study drugs' known safety profiles. KRAS mutation was infrequent; no conclusions can be drawn from KRAS response data. ClinicalTrial.gov Identifier: NCT00517829. © 2013 Elsevier Ltd. All rights reserved.","author":[{"dropping-particle":"","family":"Richards","given":"Donald","non-dropping-particle":"","parse-names":false,"suffix":""},{"dropping-particle":"","family":"Kocs","given":"Darren M.","non-dropping-particle":"","parse-names":false,"suffix":""},{"dropping-particle":"","family":"Spira"</w:instrText>
            </w:r>
            <w:r w:rsidR="006739B2" w:rsidRPr="006739B2">
              <w:rPr>
                <w:rFonts w:ascii="Times New Roman" w:eastAsia="Times New Roman" w:hAnsi="Times New Roman"/>
                <w:b/>
                <w:color w:val="000000"/>
                <w:sz w:val="16"/>
                <w:szCs w:val="16"/>
                <w:lang w:val="en-US"/>
              </w:rPr>
              <w:instrText>,"given":"Alexander I.","non-dropping-particle":"","parse-names":false,"suffix":""},{"dropping-particle":"","family":"David McCollum","given":"A.","non-dropping-particle":"","parse-names":false,"suffix":""},{"dropping-particle":"","family":"Diab","given":"Sami","non-dropping-particle":"","parse-names":false,"suffix":""},{"dropping-particle":"","family":"Hecker","given":"Lanny I.","non-dropping-particle":"","parse-names":false,"suffix":""},{"dropping-particle":"","family":"Cohn","given":"Allen","non-dropping-particle":"","parse-names":false,"suffix":""},{"dropping-particle":"","family":"Zhan","given":"Feng","non-dropping-particle":"","parse-names":false,"suffix":""},{"dropping-particle":"","family":"Asmar","given":"Lina","non-dropping-particle":"","parse-names":false,"suffix":""}],"container-title":"European Journal of Cancer","id":"ITEM-1","issue":"13","issued":{"date-parts":[["2013"]]},"page":"2823-2831","publisher":"Elsevier Ltd","title":"Results of docetaxel plus oxaliplatin (DOCOX) ± cetuximab in patients with metastatic gastric and/or gastroesophageal junction adenocarcinoma: Results of a randomised Phase 2 study","type":"article-journal","volume":"49"},"uris":["http://www.mendeley.com/documents/?uuid=7a5dd266-cb94-4d49-88c1-12b394336090"]}],"mendeley":{"formattedCitation":"[92]","plainTextFormattedCitation":"[92]","previouslyFormattedCitation":"[92]"},"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[92]</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39B86517" w14:textId="77777777" w:rsidR="00B61A3A" w:rsidRPr="0074359A" w:rsidRDefault="00B61A3A" w:rsidP="00B61A3A">
            <w:pPr>
              <w:spacing w:before="240" w:line="360" w:lineRule="auto"/>
              <w:rPr>
                <w:rFonts w:ascii="Times New Roman" w:eastAsia="Times New Roman" w:hAnsi="Times New Roman"/>
                <w:color w:val="000000"/>
                <w:sz w:val="16"/>
                <w:szCs w:val="16"/>
                <w:lang w:val="en-US"/>
              </w:rPr>
            </w:pPr>
            <w:r w:rsidRPr="0074359A">
              <w:rPr>
                <w:rFonts w:ascii="Times New Roman" w:eastAsia="Times New Roman" w:hAnsi="Times New Roman"/>
                <w:color w:val="000000"/>
                <w:sz w:val="16"/>
                <w:szCs w:val="16"/>
                <w:lang w:val="en-US"/>
              </w:rPr>
              <w:t>75</w:t>
            </w:r>
          </w:p>
        </w:tc>
        <w:tc>
          <w:tcPr>
            <w:tcW w:w="1708" w:type="dxa"/>
            <w:gridSpan w:val="2"/>
            <w:shd w:val="clear" w:color="auto" w:fill="auto"/>
            <w:noWrap/>
            <w:hideMark/>
          </w:tcPr>
          <w:p w14:paraId="720AF8FF" w14:textId="77777777" w:rsidR="00B61A3A" w:rsidRPr="0074359A" w:rsidRDefault="00B61A3A" w:rsidP="00B61A3A">
            <w:pPr>
              <w:spacing w:before="240" w:line="360" w:lineRule="auto"/>
              <w:rPr>
                <w:rFonts w:ascii="Times New Roman" w:eastAsia="Times New Roman" w:hAnsi="Times New Roman"/>
                <w:color w:val="000000"/>
                <w:sz w:val="16"/>
                <w:szCs w:val="16"/>
                <w:lang w:val="en-US"/>
              </w:rPr>
            </w:pPr>
            <w:proofErr w:type="spellStart"/>
            <w:r w:rsidRPr="0074359A">
              <w:rPr>
                <w:rFonts w:ascii="Times New Roman" w:eastAsia="Times New Roman" w:hAnsi="Times New Roman"/>
                <w:color w:val="000000"/>
                <w:sz w:val="16"/>
                <w:szCs w:val="16"/>
                <w:lang w:val="en-US"/>
              </w:rPr>
              <w:t>Ox+DTX</w:t>
            </w:r>
            <w:proofErr w:type="spellEnd"/>
          </w:p>
        </w:tc>
        <w:tc>
          <w:tcPr>
            <w:tcW w:w="1322" w:type="dxa"/>
            <w:shd w:val="clear" w:color="auto" w:fill="auto"/>
            <w:noWrap/>
            <w:hideMark/>
          </w:tcPr>
          <w:p w14:paraId="29FF4014" w14:textId="77777777" w:rsidR="00B61A3A" w:rsidRPr="0074359A" w:rsidRDefault="00B61A3A" w:rsidP="00B61A3A">
            <w:pPr>
              <w:spacing w:before="240" w:line="360" w:lineRule="auto"/>
              <w:jc w:val="right"/>
              <w:rPr>
                <w:rFonts w:ascii="Times New Roman" w:eastAsia="Times New Roman" w:hAnsi="Times New Roman"/>
                <w:color w:val="000000"/>
                <w:sz w:val="16"/>
                <w:szCs w:val="16"/>
                <w:lang w:val="en-US"/>
              </w:rPr>
            </w:pPr>
            <w:r w:rsidRPr="0074359A">
              <w:rPr>
                <w:rFonts w:ascii="Times New Roman" w:eastAsia="Times New Roman" w:hAnsi="Times New Roman"/>
                <w:color w:val="000000"/>
                <w:sz w:val="16"/>
                <w:szCs w:val="16"/>
                <w:lang w:val="en-US"/>
              </w:rPr>
              <w:t>59 (79)</w:t>
            </w:r>
          </w:p>
        </w:tc>
        <w:tc>
          <w:tcPr>
            <w:tcW w:w="1623" w:type="dxa"/>
            <w:gridSpan w:val="2"/>
            <w:shd w:val="clear" w:color="auto" w:fill="auto"/>
            <w:noWrap/>
            <w:hideMark/>
          </w:tcPr>
          <w:p w14:paraId="404A1968" w14:textId="77777777" w:rsidR="00B61A3A" w:rsidRPr="0074359A" w:rsidRDefault="00B61A3A" w:rsidP="00B61A3A">
            <w:pPr>
              <w:spacing w:before="240" w:line="360" w:lineRule="auto"/>
              <w:jc w:val="right"/>
              <w:rPr>
                <w:rFonts w:ascii="Times New Roman" w:eastAsia="Times New Roman" w:hAnsi="Times New Roman"/>
                <w:color w:val="000000"/>
                <w:sz w:val="16"/>
                <w:szCs w:val="16"/>
                <w:lang w:val="en-US"/>
              </w:rPr>
            </w:pPr>
            <w:r w:rsidRPr="0074359A">
              <w:rPr>
                <w:rFonts w:ascii="Times New Roman" w:eastAsia="Times New Roman" w:hAnsi="Times New Roman"/>
                <w:color w:val="000000"/>
                <w:sz w:val="16"/>
                <w:szCs w:val="16"/>
                <w:lang w:val="en-US"/>
              </w:rPr>
              <w:t>61 (25-82)</w:t>
            </w:r>
          </w:p>
        </w:tc>
        <w:tc>
          <w:tcPr>
            <w:tcW w:w="1379" w:type="dxa"/>
            <w:shd w:val="clear" w:color="auto" w:fill="auto"/>
            <w:noWrap/>
            <w:hideMark/>
          </w:tcPr>
          <w:p w14:paraId="75BD71F6" w14:textId="77777777" w:rsidR="00B61A3A" w:rsidRPr="0074359A" w:rsidRDefault="00B61A3A" w:rsidP="00B61A3A">
            <w:pPr>
              <w:spacing w:before="240" w:line="360" w:lineRule="auto"/>
              <w:jc w:val="right"/>
              <w:rPr>
                <w:rFonts w:ascii="Times New Roman" w:eastAsia="Times New Roman" w:hAnsi="Times New Roman"/>
                <w:color w:val="000000"/>
                <w:sz w:val="16"/>
                <w:szCs w:val="16"/>
                <w:lang w:val="en-US"/>
              </w:rPr>
            </w:pPr>
            <w:r w:rsidRPr="0074359A">
              <w:rPr>
                <w:rFonts w:ascii="Times New Roman" w:eastAsia="Times New Roman" w:hAnsi="Times New Roman"/>
                <w:color w:val="000000"/>
                <w:sz w:val="16"/>
                <w:szCs w:val="16"/>
                <w:lang w:val="en-US"/>
              </w:rPr>
              <w:t>62 (82.7)</w:t>
            </w:r>
          </w:p>
        </w:tc>
        <w:tc>
          <w:tcPr>
            <w:tcW w:w="797" w:type="dxa"/>
            <w:shd w:val="clear" w:color="auto" w:fill="auto"/>
            <w:noWrap/>
            <w:hideMark/>
          </w:tcPr>
          <w:p w14:paraId="7FC9D9A2" w14:textId="77777777" w:rsidR="00B61A3A" w:rsidRPr="0074359A" w:rsidRDefault="00B61A3A" w:rsidP="00B61A3A">
            <w:pPr>
              <w:spacing w:before="240" w:line="360" w:lineRule="auto"/>
              <w:jc w:val="right"/>
              <w:rPr>
                <w:rFonts w:ascii="Times New Roman" w:eastAsia="Times New Roman" w:hAnsi="Times New Roman"/>
                <w:color w:val="000000"/>
                <w:sz w:val="16"/>
                <w:szCs w:val="16"/>
                <w:lang w:val="en-US"/>
              </w:rPr>
            </w:pPr>
            <w:r w:rsidRPr="0074359A">
              <w:rPr>
                <w:rFonts w:ascii="Times New Roman" w:eastAsia="Times New Roman" w:hAnsi="Times New Roman"/>
                <w:color w:val="000000"/>
                <w:sz w:val="16"/>
                <w:szCs w:val="16"/>
                <w:lang w:val="en-US"/>
              </w:rPr>
              <w:t>7 (9)</w:t>
            </w:r>
          </w:p>
        </w:tc>
      </w:tr>
      <w:tr w:rsidR="00B61A3A" w:rsidRPr="007D2E2F" w14:paraId="41650EAE" w14:textId="77777777" w:rsidTr="00B61A3A">
        <w:trPr>
          <w:trHeight w:val="255"/>
        </w:trPr>
        <w:tc>
          <w:tcPr>
            <w:tcW w:w="2552" w:type="dxa"/>
            <w:shd w:val="clear" w:color="auto" w:fill="auto"/>
            <w:noWrap/>
            <w:hideMark/>
          </w:tcPr>
          <w:p w14:paraId="0C873544" w14:textId="0CF1814F" w:rsidR="00B61A3A" w:rsidRPr="007D2E2F" w:rsidRDefault="00B61A3A" w:rsidP="00B61A3A">
            <w:pPr>
              <w:spacing w:before="240" w:line="360" w:lineRule="auto"/>
              <w:rPr>
                <w:rFonts w:ascii="Times New Roman" w:eastAsia="Times New Roman" w:hAnsi="Times New Roman"/>
                <w:b/>
                <w:color w:val="000000"/>
                <w:sz w:val="16"/>
                <w:szCs w:val="16"/>
              </w:rPr>
            </w:pPr>
            <w:r w:rsidRPr="0074359A">
              <w:rPr>
                <w:rFonts w:ascii="Times New Roman" w:eastAsia="Times New Roman" w:hAnsi="Times New Roman"/>
                <w:b/>
                <w:color w:val="000000"/>
                <w:sz w:val="16"/>
                <w:szCs w:val="16"/>
                <w:lang w:val="en-US"/>
              </w:rPr>
              <w:t xml:space="preserve">van </w:t>
            </w:r>
            <w:proofErr w:type="spellStart"/>
            <w:r w:rsidRPr="0074359A">
              <w:rPr>
                <w:rFonts w:ascii="Times New Roman" w:eastAsia="Times New Roman" w:hAnsi="Times New Roman"/>
                <w:b/>
                <w:color w:val="000000"/>
                <w:sz w:val="16"/>
                <w:szCs w:val="16"/>
                <w:lang w:val="en-US"/>
              </w:rPr>
              <w:t>Cutsem</w:t>
            </w:r>
            <w:proofErr w:type="spellEnd"/>
            <w:r w:rsidRPr="0074359A">
              <w:rPr>
                <w:rFonts w:ascii="Times New Roman" w:eastAsia="Times New Roman" w:hAnsi="Times New Roman"/>
                <w:b/>
                <w:color w:val="000000"/>
                <w:sz w:val="16"/>
                <w:szCs w:val="16"/>
                <w:lang w:val="en-US"/>
              </w:rPr>
              <w:t xml:space="preserve"> 2015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lang w:val="en-US"/>
              </w:rPr>
              <w:instrText>ADDIN CSL_CITATION {"citationItems":[{"id":"ITEM-1","itemData":{"DOI":"10.1093/annonc/mdu496","ISSN":"1569-8041","PMID":"25416687","abstract":"BACKGROUND: Docetaxel/cisplatin/infusional 5-fluorouracil (5-FU; DCF) is a standard chemotherapy regimen for patients with advanced gastric cancer (GC). This phase II study evaluated docetaxel/oxaliplatin (TE), docetaxel/oxaliplatin/5-FU (TEF), and docetaxel/oxaliplatin/capecitabine (TEX) in patients with advanced GC.\n\nPATIENTS AND METHODS: Patients with metastatic or locally recurrent gastric adenocarcinoma (including carcinoma of the gastro-oesophageal junction) were randomly assigned (1 : 1 : 1) to TE, TEF, or TEX. Each regimen was tested at two doses before full evaluation at optimized dose levels. The primary end point was progression-free survival (PFS). Overall survival (OS), tumour response, and safety were also assessed. A therapeutic index (median PFS relative to the incidence of febrile neutropenia) was calculated for each regimen and compared with DCF (historical data).\n\nRESULTS: Overall, 248 patients were randomly assigned to receive optimized dose treatment. Median PFS was longer with TEF (7.66 [95% confidence interval (CI): 6.97-9.40] months) versus TE (4.50 [3.68-5.32] months) and TEX (5.55 [4.30-6.37] months). Median OS was 14.59 (95% CI: 11.70-21.78) months for TEF versus 8.97 (7.79-10.87) months for TE and 11.30 (8.08-14.03) months for TEX. The rate of tumour response (complete or partial) was 46.6% (95% CI 35.9-57.5) for TEF versus 23.1% (14.3-34.0) for TE and 25.6% (16.6-36.4) for TEX. The frequency and type of adverse events (AEs) were similar across the three arms. Common grade 3/4 AEs were fatigue (21%), sensory neuropathy (14%), and diarrhoea (13%). Febrile neutropenia was reported in 2% (TEF), 14% (TE), and 9% (TEX) of patients. The therapeutic index was improved with TEF versus TEX, TE, or DCF.\n\nCONCLUSION: These results suggest that TEF is worthy of evaluation as an arm in a phase III trial or as a backbone regimen for new targeted agents in advanced GC. CLINICALTRIALS.GOV: Identifier Trial registration number: NCT00382720.","author":[{"dropping-particle":"","family":"Cutsem","given":"E","non-dropping-particle":"Van","parse-names":false,"suffix":""},{"dropping-particle":"","family":"Boni","given":"C","non-dropping-particle":"","parse-names":false,"suffix":""},{"dropping-particle":"","family":"Tabernero","given":"J","non-dropping-particle":"","parse-names":false,"suffix":""},{"dropping-particle":"","family":"Massuti","given":"B","non-dropping-particle":"","parse-names":false,"suffix":""},{"dropping-particle":"","family":"Middleton","given":"G","non-dropping-particle":"","parse-names":false,"suffix":""},{"dropping-particle":"","family":"Dane","given":"F","non-dropping-particle":"","parse-names":false,"suffix":""},{"dropping-particle":"","family":"Reichardt","given":"P","non-dropping-particle":"","parse-names":false,"suffix":""},{"dropping-particle":"","family":"Pimentel","given":"F L","non-dropping-particle":"","parse-names":false,"suffix":""},{"dropping-particle":"","family":"Cohn","given":"a","non-dropping-particle":"","parse-names":false,"suffix":""},{"dropping-particle":"","family":"Follana","given":"P","non-dropping-particle":"","parse-names":false,"suffix":""},{"dropping-particle":"","family":"Clemens","given":"M","non-dropping-particle":"","parse-names":false,"suffix":""},{"dropping-particle":"","family":"Zaniboni","given":"a","non-dropping-particle":"","parse-names":false,"suffix":""},{"dropping-particle":"","family":"Moiseyenko","given":"V","non-dropping-particle":"","parse-names":false,"suffix":""},{"dropping-particle":"","family":"Harrison","given":"M","non-dropping-particle":"","parse-names":false,"suffix":""},{"dropping-particle":"","family":"Richards","given":"D a","non-dropping-particle":"","parse-names":false,"suffix":""},{"dropping-particle":"","family":"Prenen","given":"H","non-dropping-particle":"","parse-names":false,"suffix":""},{"dropping-particle":"","family":"Pernot","given":"S","non-dropping-particle":"","parse-names":false,"suffix":""},{"dropping-particle":"","family":"Ecstein-Fraisse","given":"E","non-dropping-particle":"","parse-names":false,"suffix":""},{"dropping-particle":"","family":"Hitier","given":"S","non-dropping-particle":"","parse-names":false,"suffix":""},{"dropping-particle":"","family":"Rougier","given":"P","non-dropping-particle":"","parse-names":false,"suffix":""}],"container-title":"Annals of oncology : official journal of the European Society for Medical Oncology / ESMO","id":"ITEM-1","issue":"1","issued":{"date-parts":[["2015","1"]]},"page":"149-56","title":"Docetaxel plus oxaliplatin with or without fluorouracil or capecitabine in metastatic or locally recurrent gastric cancer: a randomized phase II study.","type":"article-journal","volume":"26"},"uris":["http://www.mendeley.com/documents/?uuid=2b7d5c39-ba88-4986-8309-762a645b32e2"]}],"mendeley":{"formattedCitation":"[89]","plainTextFormattedCitation":"[89]","previouslyFormattedCitation":"[89]"},"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rPr>
              <w:t>[89]</w:t>
            </w:r>
            <w:r w:rsidRPr="007D2E2F">
              <w:rPr>
                <w:rFonts w:ascii="Times New Roman" w:eastAsia="Times New Roman" w:hAnsi="Times New Roman"/>
                <w:color w:val="000000"/>
                <w:sz w:val="16"/>
                <w:szCs w:val="16"/>
              </w:rPr>
              <w:fldChar w:fldCharType="end"/>
            </w:r>
          </w:p>
        </w:tc>
        <w:tc>
          <w:tcPr>
            <w:tcW w:w="456" w:type="dxa"/>
            <w:shd w:val="clear" w:color="auto" w:fill="auto"/>
            <w:noWrap/>
            <w:hideMark/>
          </w:tcPr>
          <w:p w14:paraId="3A132794"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79</w:t>
            </w:r>
          </w:p>
        </w:tc>
        <w:tc>
          <w:tcPr>
            <w:tcW w:w="1708" w:type="dxa"/>
            <w:gridSpan w:val="2"/>
            <w:shd w:val="clear" w:color="auto" w:fill="auto"/>
            <w:noWrap/>
            <w:hideMark/>
          </w:tcPr>
          <w:p w14:paraId="0BE2233F" w14:textId="77777777" w:rsidR="00B61A3A" w:rsidRPr="007D2E2F" w:rsidRDefault="00B61A3A" w:rsidP="00B61A3A">
            <w:pPr>
              <w:spacing w:before="240" w:line="360" w:lineRule="auto"/>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Ox+DTX</w:t>
            </w:r>
          </w:p>
        </w:tc>
        <w:tc>
          <w:tcPr>
            <w:tcW w:w="1322" w:type="dxa"/>
            <w:shd w:val="clear" w:color="auto" w:fill="auto"/>
            <w:noWrap/>
            <w:hideMark/>
          </w:tcPr>
          <w:p w14:paraId="7D6EF07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51 (65)</w:t>
            </w:r>
          </w:p>
        </w:tc>
        <w:tc>
          <w:tcPr>
            <w:tcW w:w="1623" w:type="dxa"/>
            <w:gridSpan w:val="2"/>
            <w:shd w:val="clear" w:color="auto" w:fill="auto"/>
            <w:noWrap/>
            <w:hideMark/>
          </w:tcPr>
          <w:p w14:paraId="240CEBFD"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59† (NA)</w:t>
            </w:r>
          </w:p>
        </w:tc>
        <w:tc>
          <w:tcPr>
            <w:tcW w:w="1379" w:type="dxa"/>
            <w:shd w:val="clear" w:color="auto" w:fill="auto"/>
            <w:noWrap/>
            <w:hideMark/>
          </w:tcPr>
          <w:p w14:paraId="1EC61710"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79 (100)</w:t>
            </w:r>
          </w:p>
        </w:tc>
        <w:tc>
          <w:tcPr>
            <w:tcW w:w="797" w:type="dxa"/>
            <w:shd w:val="clear" w:color="auto" w:fill="auto"/>
            <w:noWrap/>
            <w:hideMark/>
          </w:tcPr>
          <w:p w14:paraId="306F8599"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1 (1)‡</w:t>
            </w:r>
          </w:p>
        </w:tc>
      </w:tr>
      <w:tr w:rsidR="00B61A3A" w:rsidRPr="007D2E2F" w14:paraId="4DCEB243" w14:textId="77777777" w:rsidTr="00B61A3A">
        <w:trPr>
          <w:trHeight w:val="255"/>
        </w:trPr>
        <w:tc>
          <w:tcPr>
            <w:tcW w:w="3008" w:type="dxa"/>
            <w:gridSpan w:val="2"/>
            <w:shd w:val="clear" w:color="auto" w:fill="auto"/>
            <w:noWrap/>
            <w:hideMark/>
          </w:tcPr>
          <w:p w14:paraId="5CF109B8" w14:textId="77777777" w:rsidR="00B61A3A" w:rsidRPr="007D2E2F" w:rsidRDefault="00B61A3A" w:rsidP="00B61A3A">
            <w:pPr>
              <w:spacing w:before="240" w:line="360" w:lineRule="auto"/>
              <w:rPr>
                <w:rFonts w:ascii="Times New Roman" w:eastAsia="Times New Roman" w:hAnsi="Times New Roman"/>
                <w:b/>
                <w:color w:val="000000"/>
                <w:sz w:val="16"/>
                <w:szCs w:val="16"/>
                <w:u w:val="single"/>
              </w:rPr>
            </w:pPr>
            <w:r w:rsidRPr="007D2E2F">
              <w:rPr>
                <w:rFonts w:ascii="Times New Roman" w:eastAsia="Times New Roman" w:hAnsi="Times New Roman"/>
                <w:b/>
                <w:color w:val="000000"/>
                <w:sz w:val="16"/>
                <w:szCs w:val="16"/>
                <w:u w:val="single"/>
              </w:rPr>
              <w:t>Docetaxel+Irinotecan</w:t>
            </w:r>
          </w:p>
        </w:tc>
        <w:tc>
          <w:tcPr>
            <w:tcW w:w="1708" w:type="dxa"/>
            <w:gridSpan w:val="2"/>
            <w:shd w:val="clear" w:color="auto" w:fill="auto"/>
            <w:noWrap/>
            <w:hideMark/>
          </w:tcPr>
          <w:p w14:paraId="260EAFE3" w14:textId="77777777" w:rsidR="00B61A3A" w:rsidRPr="007D2E2F" w:rsidRDefault="00B61A3A" w:rsidP="00B61A3A">
            <w:pPr>
              <w:spacing w:before="240" w:line="360" w:lineRule="auto"/>
              <w:rPr>
                <w:rFonts w:ascii="Times New Roman" w:eastAsia="Times New Roman" w:hAnsi="Times New Roman"/>
                <w:color w:val="000000"/>
                <w:sz w:val="16"/>
                <w:szCs w:val="16"/>
                <w:u w:val="single"/>
              </w:rPr>
            </w:pPr>
            <w:r w:rsidRPr="007D2E2F">
              <w:rPr>
                <w:rFonts w:ascii="Times New Roman" w:eastAsia="Times New Roman" w:hAnsi="Times New Roman"/>
                <w:color w:val="000000"/>
                <w:sz w:val="16"/>
                <w:szCs w:val="16"/>
                <w:u w:val="single"/>
              </w:rPr>
              <w:t>IT</w:t>
            </w:r>
          </w:p>
        </w:tc>
        <w:tc>
          <w:tcPr>
            <w:tcW w:w="1322" w:type="dxa"/>
            <w:shd w:val="clear" w:color="auto" w:fill="auto"/>
            <w:noWrap/>
            <w:hideMark/>
          </w:tcPr>
          <w:p w14:paraId="1C7E5B5A"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623" w:type="dxa"/>
            <w:gridSpan w:val="2"/>
            <w:shd w:val="clear" w:color="auto" w:fill="auto"/>
            <w:noWrap/>
            <w:hideMark/>
          </w:tcPr>
          <w:p w14:paraId="368354E7"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1379" w:type="dxa"/>
            <w:shd w:val="clear" w:color="auto" w:fill="auto"/>
            <w:noWrap/>
            <w:hideMark/>
          </w:tcPr>
          <w:p w14:paraId="675CE72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c>
          <w:tcPr>
            <w:tcW w:w="797" w:type="dxa"/>
            <w:shd w:val="clear" w:color="auto" w:fill="auto"/>
            <w:noWrap/>
            <w:hideMark/>
          </w:tcPr>
          <w:p w14:paraId="721C96B6" w14:textId="77777777" w:rsidR="00B61A3A" w:rsidRPr="007D2E2F" w:rsidRDefault="00B61A3A" w:rsidP="00B61A3A">
            <w:pPr>
              <w:spacing w:before="240" w:line="360" w:lineRule="auto"/>
              <w:jc w:val="right"/>
              <w:rPr>
                <w:rFonts w:ascii="Times New Roman" w:eastAsia="Times New Roman" w:hAnsi="Times New Roman"/>
                <w:color w:val="000000"/>
                <w:sz w:val="16"/>
                <w:szCs w:val="16"/>
              </w:rPr>
            </w:pPr>
            <w:r w:rsidRPr="007D2E2F">
              <w:rPr>
                <w:rFonts w:ascii="Times New Roman" w:eastAsia="Times New Roman" w:hAnsi="Times New Roman"/>
                <w:color w:val="000000"/>
                <w:sz w:val="16"/>
                <w:szCs w:val="16"/>
              </w:rPr>
              <w:t> </w:t>
            </w:r>
          </w:p>
        </w:tc>
      </w:tr>
      <w:tr w:rsidR="00B61A3A" w:rsidRPr="001A6F97" w14:paraId="27E67091" w14:textId="77777777" w:rsidTr="00B61A3A">
        <w:trPr>
          <w:trHeight w:val="255"/>
        </w:trPr>
        <w:tc>
          <w:tcPr>
            <w:tcW w:w="2552" w:type="dxa"/>
            <w:tcBorders>
              <w:bottom w:val="single" w:sz="4" w:space="0" w:color="auto"/>
            </w:tcBorders>
            <w:shd w:val="clear" w:color="auto" w:fill="auto"/>
            <w:noWrap/>
            <w:hideMark/>
          </w:tcPr>
          <w:p w14:paraId="0D998EC8" w14:textId="617FDD58" w:rsidR="00B61A3A" w:rsidRPr="00F72E17" w:rsidRDefault="00B61A3A" w:rsidP="00B61A3A">
            <w:pPr>
              <w:tabs>
                <w:tab w:val="left" w:pos="1152"/>
              </w:tabs>
              <w:spacing w:before="240" w:line="360" w:lineRule="auto"/>
              <w:rPr>
                <w:rFonts w:ascii="Times New Roman" w:eastAsia="Times New Roman" w:hAnsi="Times New Roman"/>
                <w:b/>
                <w:color w:val="000000"/>
                <w:sz w:val="16"/>
                <w:szCs w:val="16"/>
                <w:lang w:val="en-US"/>
              </w:rPr>
            </w:pPr>
            <w:r w:rsidRPr="007D2E2F">
              <w:rPr>
                <w:rFonts w:ascii="Times New Roman" w:eastAsia="Times New Roman" w:hAnsi="Times New Roman"/>
                <w:b/>
                <w:color w:val="000000"/>
                <w:sz w:val="16"/>
                <w:szCs w:val="16"/>
              </w:rPr>
              <w:t xml:space="preserve">Roy 2012 </w:t>
            </w:r>
            <w:r w:rsidRPr="007D2E2F">
              <w:rPr>
                <w:rFonts w:ascii="Times New Roman" w:eastAsia="Times New Roman" w:hAnsi="Times New Roman"/>
                <w:color w:val="000000"/>
                <w:sz w:val="16"/>
                <w:szCs w:val="16"/>
              </w:rPr>
              <w:fldChar w:fldCharType="begin" w:fldLock="1"/>
            </w:r>
            <w:r w:rsidR="006739B2">
              <w:rPr>
                <w:rFonts w:ascii="Times New Roman" w:eastAsia="Times New Roman" w:hAnsi="Times New Roman"/>
                <w:b/>
                <w:color w:val="000000"/>
                <w:sz w:val="16"/>
                <w:szCs w:val="16"/>
              </w:rPr>
              <w:instrText>ADDIN CSL_CITATION {"citationItems":[{"id":"ITEM-1","itemData":{"DOI":"10.1038/bjc.2012.286","ISBN":"1532-1827","ISSN":"00070920","PMID":"22767144","abstract":"BACKGROUND: Docetaxel and irinotecan chemotherapy have shown good efficacy in the treatment of advanced oesophago-gastric cancer. This randomised phase II study evaluated the efficacy and toxicity profile of two non-platinum docetaxel-based doublet regimens in advanced oesophago-gastric cancer. METHODS: Chemotherapy-naïve patients with advanced oesophago-gastric cancer were randomised to receive either 3-weekly DI (docetaxel 60 mg m(-2) plus irinotecan 250 mg m(-2) (Day 1)) or 3-weekly DF (docetaxel 85 mg m(-2) (Day 1) followed by 5-fluorouracil 750 mg m(-2) per day as a continuous infusion (Days 1-5)). RESULTS: A total of 85 patients received DI (n=42) or DF (n=43). The primary endpoint was overall response rate (ORR). The ORR and time to progression (TTP) in the evaluable population (n=65) were 37.5% (DI) vs 33.3% (DF), and 4.2 months vs 4.4 months, respectively. In the intent-to-treat population, the observed ORR, TTP and median overall survival were similar between the two groups. Grade 3-4 neutropenia, febrile neutropenia and diarrhoea were more frequent in the DI arm as compared with the DF arm (83.3% vs 69.8%, 40.5% vs 18.6%, and 42.9% vs 16.3%, respectively). CONCLUSION: Both docetaxel-based doublet regimens show comparable efficacy; however, the DF regimen was associated with a better toxicity profile and is an alternative treatment option for patients in whom platinum-based regimens are unsuitable.","author":[{"dropping-particle":"","family":"Roy","given":"A.","non-dropping-particle":"","parse-names":false,"suffix":""},{"dropping-particle":"","family":"Cunningham","given":"D.","non-dropping-particle":"","parse-names":false,"suffix":""},{"dropping-particle":"","family":"Hawkins","given":"R.","non-dropping-particle":"","parse-names":false,"suffix":""},{"dropping-particle":"","family":"Sörbye","given":"H.","non-dropping-particle":"","parse-names":false,"suffix":""},{"dropping-particle":"","family":"Adenis","given":"A.","non-dropping-particle":"","parse-names":false,"suffix":""},{"dropping-particle":"","family":"Barcelo","given":"J. R.","non-dropping-particle":"","parse-names":false,"suffix":""},{"dropping-particle":"","family":"Lopez-Vivanco","given":"G.","non-dropping-particle":"","parse-names":false,"suffix":""},{"dropping-particle":"","family":"Adler","given":"G.","non-dropping-particle":"","parse-names":false,"suffix":""},{"dropping-particle":"","family":"Canon","given":"J. L.","non-dropping-particle":"","parse-names":false,"suffix":""},{"dropping-particle":"","family":"Lofts","given":"F.","non-dropping-particle":"","parse-names":false,"suffix":""},{"dropping-particle":"","family":"Castanon","given":"C.","non-dropping-particle":"","parse-names":false,"suffix":""},{"dropping-particle":"","family":"Fonseca","given":"E.","non-dropping-particle":"","parse-names":false,"suffix":""},{"dropping-particle":"","family":"Rixe","given":"O.","non-dropping-particle":"","parse-names":false,"suffix":""},{"dropping-particle":"","family":"Aparicio","given":"J.","non-dropping-particle":"","parse-names":false,"suffix":""},{"dropping-particle":"","family":"Cassinello","given":"J.","non-dropping-particle":"","parse-names":false,"suffix":""},{"dropping-particle":"","family":"Nicolson","given":"M.","non-dropping-particle":"","parse-names":false,"suffix":""},{"dropping-particle":"","family":"Mousseau","given":"M.","non-dropping-particle":"","parse-names":false,"suffix":""},{"dropping-particle":"","family":"Schalhorn","given":"A.","non-dropping-part</w:instrText>
            </w:r>
            <w:r w:rsidR="006739B2" w:rsidRPr="006739B2">
              <w:rPr>
                <w:rFonts w:ascii="Times New Roman" w:eastAsia="Times New Roman" w:hAnsi="Times New Roman"/>
                <w:b/>
                <w:color w:val="000000"/>
                <w:sz w:val="16"/>
                <w:szCs w:val="16"/>
                <w:lang w:val="en-US"/>
              </w:rPr>
              <w:instrText>icle":"","parse-names":false,"suffix":""},{"dropping-particle":"","family":"D'Hondt","given":"L.","non-dropping-particle":"","parse-names":false,"suffix":""},{"dropping-particle":"","family":"Kerger","given":"J.","non-dropping-particle":"","parse-names":false,"suffix":""},{"dropping-particle":"","family":"Hossfeld","given":"D. K.","non-dropping-particle":"","parse-names":false,"suffix":""},{"dropping-particle":"","family":"Garcia Giron","given":"C.","non-dropping-particle":"","parse-names":false,"suffix":""},{"dropping-particle":"","family":"Rodriguez","given":"R.","non-dropping-particle":"","parse-names":false,"suffix":""},{"dropping-particle":"","family":"Schoffski","given":"P.","non-dropping-particle":"","parse-names":false,"suffix":""},{"dropping-particle":"","family":"Misset","given":"J. L.","non-dropping-particle":"","parse-names":false,"suffix":""}],"container-title":"British Journal of Cancer","id":"ITEM-1","issue":"3","issued":{"date-parts":[["2012"]]},"page":"435-441","title":"Docetaxel combined with irinotecan or 5-fluorouracil in patients with advanced oesophago-gastric cancer: A randomised phase II study","type":"article-journal","volume":"107"},"uris":["http://www.mendeley.com/documents/?uuid=0978b99e-9366-4314-84e3-96b0d2778833"]}],"mendeley":{"formattedCitation":"[70]","plainTextFormattedCitation":"[70]","previouslyFormattedCitation":"[70]"},"properties":{"noteIndex":0},"schema":"https://github.com/citation-style-language/schema/raw/master/csl-citation.json"}</w:instrText>
            </w:r>
            <w:r w:rsidRPr="007D2E2F">
              <w:rPr>
                <w:rFonts w:ascii="Times New Roman" w:eastAsia="Times New Roman" w:hAnsi="Times New Roman"/>
                <w:color w:val="000000"/>
                <w:sz w:val="16"/>
                <w:szCs w:val="16"/>
              </w:rPr>
              <w:fldChar w:fldCharType="separate"/>
            </w:r>
            <w:r w:rsidR="006739B2" w:rsidRPr="006739B2">
              <w:rPr>
                <w:rFonts w:ascii="Times New Roman" w:eastAsia="Times New Roman" w:hAnsi="Times New Roman"/>
                <w:noProof/>
                <w:color w:val="000000"/>
                <w:sz w:val="16"/>
                <w:szCs w:val="16"/>
                <w:lang w:val="en-US"/>
              </w:rPr>
              <w:t>[70]</w:t>
            </w:r>
            <w:r w:rsidRPr="007D2E2F">
              <w:rPr>
                <w:rFonts w:ascii="Times New Roman" w:eastAsia="Times New Roman" w:hAnsi="Times New Roman"/>
                <w:color w:val="000000"/>
                <w:sz w:val="16"/>
                <w:szCs w:val="16"/>
              </w:rPr>
              <w:fldChar w:fldCharType="end"/>
            </w:r>
            <w:r w:rsidRPr="00F72E17">
              <w:rPr>
                <w:rFonts w:ascii="Times New Roman" w:eastAsia="Times New Roman" w:hAnsi="Times New Roman"/>
                <w:color w:val="000000"/>
                <w:sz w:val="16"/>
                <w:szCs w:val="16"/>
                <w:lang w:val="en-US"/>
              </w:rPr>
              <w:tab/>
            </w:r>
          </w:p>
        </w:tc>
        <w:tc>
          <w:tcPr>
            <w:tcW w:w="456" w:type="dxa"/>
            <w:tcBorders>
              <w:bottom w:val="single" w:sz="4" w:space="0" w:color="auto"/>
            </w:tcBorders>
            <w:shd w:val="clear" w:color="auto" w:fill="auto"/>
            <w:noWrap/>
            <w:hideMark/>
          </w:tcPr>
          <w:p w14:paraId="57074B59"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42</w:t>
            </w:r>
          </w:p>
        </w:tc>
        <w:tc>
          <w:tcPr>
            <w:tcW w:w="1708" w:type="dxa"/>
            <w:gridSpan w:val="2"/>
            <w:tcBorders>
              <w:bottom w:val="single" w:sz="4" w:space="0" w:color="auto"/>
            </w:tcBorders>
            <w:shd w:val="clear" w:color="auto" w:fill="auto"/>
            <w:noWrap/>
            <w:hideMark/>
          </w:tcPr>
          <w:p w14:paraId="4DE2741E" w14:textId="77777777" w:rsidR="00B61A3A" w:rsidRPr="00F72E17" w:rsidRDefault="00B61A3A" w:rsidP="00B61A3A">
            <w:pPr>
              <w:spacing w:before="240" w:line="360" w:lineRule="auto"/>
              <w:rPr>
                <w:rFonts w:ascii="Times New Roman" w:eastAsia="Times New Roman" w:hAnsi="Times New Roman"/>
                <w:color w:val="000000"/>
                <w:sz w:val="16"/>
                <w:szCs w:val="16"/>
                <w:lang w:val="en-US"/>
              </w:rPr>
            </w:pPr>
            <w:proofErr w:type="spellStart"/>
            <w:r w:rsidRPr="00F72E17">
              <w:rPr>
                <w:rFonts w:ascii="Times New Roman" w:eastAsia="Times New Roman" w:hAnsi="Times New Roman"/>
                <w:color w:val="000000"/>
                <w:sz w:val="16"/>
                <w:szCs w:val="16"/>
                <w:lang w:val="en-US"/>
              </w:rPr>
              <w:t>DTX+Iri</w:t>
            </w:r>
            <w:proofErr w:type="spellEnd"/>
          </w:p>
        </w:tc>
        <w:tc>
          <w:tcPr>
            <w:tcW w:w="1322" w:type="dxa"/>
            <w:tcBorders>
              <w:bottom w:val="single" w:sz="4" w:space="0" w:color="auto"/>
            </w:tcBorders>
            <w:shd w:val="clear" w:color="auto" w:fill="auto"/>
            <w:noWrap/>
            <w:hideMark/>
          </w:tcPr>
          <w:p w14:paraId="038D7420"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35 (83)</w:t>
            </w:r>
          </w:p>
        </w:tc>
        <w:tc>
          <w:tcPr>
            <w:tcW w:w="1623" w:type="dxa"/>
            <w:gridSpan w:val="2"/>
            <w:tcBorders>
              <w:bottom w:val="single" w:sz="4" w:space="0" w:color="auto"/>
            </w:tcBorders>
            <w:shd w:val="clear" w:color="auto" w:fill="auto"/>
            <w:noWrap/>
            <w:hideMark/>
          </w:tcPr>
          <w:p w14:paraId="64AC9F34"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60 (38-74)</w:t>
            </w:r>
          </w:p>
        </w:tc>
        <w:tc>
          <w:tcPr>
            <w:tcW w:w="1379" w:type="dxa"/>
            <w:tcBorders>
              <w:bottom w:val="single" w:sz="4" w:space="0" w:color="auto"/>
            </w:tcBorders>
            <w:shd w:val="clear" w:color="auto" w:fill="auto"/>
            <w:noWrap/>
            <w:hideMark/>
          </w:tcPr>
          <w:p w14:paraId="4D6474D7"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42 (100)</w:t>
            </w:r>
          </w:p>
        </w:tc>
        <w:tc>
          <w:tcPr>
            <w:tcW w:w="797" w:type="dxa"/>
            <w:tcBorders>
              <w:bottom w:val="single" w:sz="4" w:space="0" w:color="auto"/>
            </w:tcBorders>
            <w:shd w:val="clear" w:color="auto" w:fill="auto"/>
            <w:noWrap/>
            <w:hideMark/>
          </w:tcPr>
          <w:p w14:paraId="21E34BFA" w14:textId="77777777" w:rsidR="00B61A3A" w:rsidRPr="00F72E17" w:rsidRDefault="00B61A3A" w:rsidP="00B61A3A">
            <w:pPr>
              <w:spacing w:before="240" w:line="360" w:lineRule="auto"/>
              <w:jc w:val="right"/>
              <w:rPr>
                <w:rFonts w:ascii="Times New Roman" w:eastAsia="Times New Roman" w:hAnsi="Times New Roman"/>
                <w:color w:val="000000"/>
                <w:sz w:val="16"/>
                <w:szCs w:val="16"/>
                <w:lang w:val="en-US"/>
              </w:rPr>
            </w:pPr>
            <w:r w:rsidRPr="00F72E17">
              <w:rPr>
                <w:rFonts w:ascii="Times New Roman" w:eastAsia="Times New Roman" w:hAnsi="Times New Roman"/>
                <w:color w:val="000000"/>
                <w:sz w:val="16"/>
                <w:szCs w:val="16"/>
                <w:lang w:val="en-US"/>
              </w:rPr>
              <w:t>0 (0)</w:t>
            </w:r>
          </w:p>
        </w:tc>
      </w:tr>
      <w:bookmarkEnd w:id="0"/>
    </w:tbl>
    <w:p w14:paraId="59B5D732" w14:textId="77777777" w:rsidR="002514C4" w:rsidRDefault="002514C4">
      <w:pPr>
        <w:rPr>
          <w:rFonts w:ascii="Times New Roman" w:hAnsi="Times New Roman"/>
          <w:color w:val="000000"/>
          <w:sz w:val="24"/>
          <w:szCs w:val="24"/>
          <w:lang w:val="en-US"/>
        </w:rPr>
      </w:pPr>
      <w:r>
        <w:rPr>
          <w:rFonts w:ascii="Times New Roman" w:hAnsi="Times New Roman"/>
          <w:color w:val="000000"/>
          <w:sz w:val="24"/>
          <w:szCs w:val="24"/>
          <w:lang w:val="en-US"/>
        </w:rPr>
        <w:br w:type="page"/>
      </w:r>
    </w:p>
    <w:p w14:paraId="300D79AC" w14:textId="77777777" w:rsidR="002514C4" w:rsidRDefault="002514C4" w:rsidP="00F72E17">
      <w:pPr>
        <w:spacing w:before="240" w:line="480" w:lineRule="auto"/>
        <w:rPr>
          <w:rFonts w:ascii="Times New Roman" w:hAnsi="Times New Roman"/>
          <w:color w:val="000000"/>
          <w:sz w:val="24"/>
          <w:szCs w:val="24"/>
          <w:lang w:val="en-US"/>
        </w:rPr>
        <w:sectPr w:rsidR="002514C4" w:rsidSect="004530F1">
          <w:headerReference w:type="default" r:id="rId8"/>
          <w:footerReference w:type="default" r:id="rId9"/>
          <w:pgSz w:w="11906" w:h="16838"/>
          <w:pgMar w:top="1418" w:right="1418" w:bottom="1418" w:left="1418" w:header="709" w:footer="709" w:gutter="0"/>
          <w:cols w:space="708"/>
          <w:docGrid w:linePitch="360"/>
        </w:sectPr>
      </w:pPr>
    </w:p>
    <w:p w14:paraId="10019387" w14:textId="4F669A4A" w:rsidR="00F72E17" w:rsidRPr="00591562" w:rsidRDefault="00591562" w:rsidP="00591562">
      <w:pPr>
        <w:spacing w:before="240" w:line="480" w:lineRule="auto"/>
        <w:rPr>
          <w:rFonts w:ascii="Times New Roman" w:hAnsi="Times New Roman"/>
          <w:color w:val="000000"/>
          <w:sz w:val="24"/>
          <w:szCs w:val="24"/>
          <w:lang w:val="en-US"/>
        </w:rPr>
      </w:pPr>
      <w:r w:rsidRPr="007F3F30">
        <w:rPr>
          <w:rFonts w:ascii="Times New Roman" w:eastAsia="Times" w:hAnsi="Times New Roman"/>
          <w:b/>
          <w:bCs/>
          <w:sz w:val="24"/>
          <w:szCs w:val="24"/>
          <w:lang w:val="en-US"/>
        </w:rPr>
        <w:lastRenderedPageBreak/>
        <w:t xml:space="preserve">Supplementary </w:t>
      </w:r>
      <w:r>
        <w:rPr>
          <w:rFonts w:ascii="Times New Roman" w:eastAsia="Times" w:hAnsi="Times New Roman"/>
          <w:b/>
          <w:bCs/>
          <w:sz w:val="24"/>
          <w:szCs w:val="24"/>
          <w:lang w:val="en-US"/>
        </w:rPr>
        <w:t>F</w:t>
      </w:r>
      <w:r w:rsidRPr="007F3F30">
        <w:rPr>
          <w:rFonts w:ascii="Times New Roman" w:eastAsia="Times" w:hAnsi="Times New Roman"/>
          <w:b/>
          <w:bCs/>
          <w:sz w:val="24"/>
          <w:szCs w:val="24"/>
          <w:lang w:val="en-US"/>
        </w:rPr>
        <w:t xml:space="preserve">igure </w:t>
      </w:r>
      <w:r>
        <w:rPr>
          <w:rFonts w:ascii="Times New Roman" w:eastAsia="Times" w:hAnsi="Times New Roman"/>
          <w:b/>
          <w:bCs/>
          <w:sz w:val="24"/>
          <w:szCs w:val="24"/>
          <w:lang w:val="en-US"/>
        </w:rPr>
        <w:t>2</w:t>
      </w:r>
      <w:r w:rsidRPr="007F3F30">
        <w:rPr>
          <w:rFonts w:ascii="Times New Roman" w:eastAsia="Times" w:hAnsi="Times New Roman"/>
          <w:b/>
          <w:bCs/>
          <w:sz w:val="24"/>
          <w:szCs w:val="24"/>
          <w:lang w:val="en-US"/>
        </w:rPr>
        <w:t xml:space="preserve">. </w:t>
      </w:r>
      <w:r w:rsidRPr="00546FC7">
        <w:rPr>
          <w:rFonts w:ascii="Times New Roman" w:eastAsia="Times" w:hAnsi="Times New Roman"/>
          <w:bCs/>
          <w:sz w:val="24"/>
          <w:szCs w:val="24"/>
          <w:lang w:val="en-US"/>
        </w:rPr>
        <w:t>Study quality</w:t>
      </w:r>
      <w:r>
        <w:rPr>
          <w:rFonts w:ascii="Times New Roman" w:eastAsia="Times" w:hAnsi="Times New Roman"/>
          <w:bCs/>
          <w:sz w:val="24"/>
          <w:szCs w:val="24"/>
          <w:lang w:val="en-US"/>
        </w:rPr>
        <w:t xml:space="preserve"> of 92 studies for </w:t>
      </w:r>
      <w:proofErr w:type="spellStart"/>
      <w:r>
        <w:rPr>
          <w:rFonts w:ascii="Times New Roman" w:eastAsia="Times" w:hAnsi="Times New Roman"/>
          <w:bCs/>
          <w:sz w:val="24"/>
          <w:szCs w:val="24"/>
          <w:lang w:val="en-US"/>
        </w:rPr>
        <w:t>TOXplot</w:t>
      </w:r>
      <w:proofErr w:type="spellEnd"/>
      <w:r w:rsidRPr="00546FC7">
        <w:rPr>
          <w:rFonts w:ascii="Times New Roman" w:eastAsia="Times" w:hAnsi="Times New Roman"/>
          <w:bCs/>
          <w:sz w:val="24"/>
          <w:szCs w:val="24"/>
          <w:lang w:val="en-US"/>
        </w:rPr>
        <w:t>.</w:t>
      </w:r>
      <w:r w:rsidRPr="007F3F30">
        <w:rPr>
          <w:rFonts w:ascii="Times New Roman" w:eastAsia="Times" w:hAnsi="Times New Roman"/>
          <w:b/>
          <w:bCs/>
          <w:sz w:val="24"/>
          <w:szCs w:val="24"/>
          <w:lang w:val="en-US"/>
        </w:rPr>
        <w:t xml:space="preserve"> </w:t>
      </w:r>
      <w:r>
        <w:rPr>
          <w:rFonts w:ascii="Times New Roman" w:eastAsia="Times" w:hAnsi="Times New Roman"/>
          <w:b/>
          <w:bCs/>
          <w:sz w:val="24"/>
          <w:szCs w:val="24"/>
          <w:lang w:val="en-US"/>
        </w:rPr>
        <w:br/>
      </w:r>
      <w:r w:rsidRPr="007F3F30">
        <w:rPr>
          <w:rFonts w:ascii="Times New Roman" w:eastAsia="Times" w:hAnsi="Times New Roman"/>
          <w:bCs/>
          <w:sz w:val="24"/>
          <w:szCs w:val="24"/>
          <w:lang w:val="en-US"/>
        </w:rPr>
        <w:t xml:space="preserve">Risk of bias assessment. </w:t>
      </w:r>
      <w:r w:rsidRPr="007F3F30">
        <w:rPr>
          <w:rFonts w:ascii="Times New Roman" w:hAnsi="Times New Roman"/>
          <w:color w:val="000000"/>
          <w:sz w:val="24"/>
          <w:szCs w:val="24"/>
          <w:lang w:val="en-US"/>
        </w:rPr>
        <w:t>+ = Low risk of bias</w:t>
      </w:r>
      <w:proofErr w:type="gramStart"/>
      <w:r w:rsidRPr="007F3F30">
        <w:rPr>
          <w:rFonts w:ascii="Times New Roman" w:hAnsi="Times New Roman"/>
          <w:color w:val="000000"/>
          <w:sz w:val="24"/>
          <w:szCs w:val="24"/>
          <w:lang w:val="en-US"/>
        </w:rPr>
        <w:t>; ?</w:t>
      </w:r>
      <w:proofErr w:type="gramEnd"/>
      <w:r w:rsidRPr="007F3F30">
        <w:rPr>
          <w:rFonts w:ascii="Times New Roman" w:hAnsi="Times New Roman"/>
          <w:color w:val="000000"/>
          <w:sz w:val="24"/>
          <w:szCs w:val="24"/>
          <w:lang w:val="en-US"/>
        </w:rPr>
        <w:t xml:space="preserve"> = Unknown risk of bias.</w:t>
      </w:r>
      <w:r w:rsidR="00DB6B18">
        <w:rPr>
          <w:rFonts w:ascii="Times New Roman" w:hAnsi="Times New Roman"/>
          <w:noProof/>
          <w:color w:val="000000"/>
          <w:sz w:val="24"/>
          <w:szCs w:val="24"/>
          <w:lang w:val="en-US"/>
        </w:rPr>
        <w:drawing>
          <wp:inline distT="0" distB="0" distL="0" distR="0" wp14:anchorId="5FD25ED3" wp14:editId="5A3F7489">
            <wp:extent cx="9290050" cy="4133850"/>
            <wp:effectExtent l="0" t="0" r="6350" b="0"/>
            <wp:docPr id="54" name="Picture 1" descr="Supplementary 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lementary Figure 1"/>
                    <pic:cNvPicPr>
                      <a:picLocks noChangeAspect="1" noChangeArrowheads="1"/>
                    </pic:cNvPicPr>
                  </pic:nvPicPr>
                  <pic:blipFill>
                    <a:blip r:embed="rId10" cstate="print">
                      <a:extLst>
                        <a:ext uri="{28A0092B-C50C-407E-A947-70E740481C1C}">
                          <a14:useLocalDpi xmlns:a14="http://schemas.microsoft.com/office/drawing/2010/main" val="0"/>
                        </a:ext>
                      </a:extLst>
                    </a:blip>
                    <a:srcRect t="12209" b="25458"/>
                    <a:stretch>
                      <a:fillRect/>
                    </a:stretch>
                  </pic:blipFill>
                  <pic:spPr bwMode="auto">
                    <a:xfrm>
                      <a:off x="0" y="0"/>
                      <a:ext cx="9290050" cy="4133850"/>
                    </a:xfrm>
                    <a:prstGeom prst="rect">
                      <a:avLst/>
                    </a:prstGeom>
                    <a:noFill/>
                    <a:ln>
                      <a:noFill/>
                    </a:ln>
                  </pic:spPr>
                </pic:pic>
              </a:graphicData>
            </a:graphic>
          </wp:inline>
        </w:drawing>
      </w:r>
    </w:p>
    <w:p w14:paraId="73C7B71D" w14:textId="77777777" w:rsidR="00A81E9D" w:rsidRDefault="00A81E9D" w:rsidP="00A81E9D">
      <w:pPr>
        <w:rPr>
          <w:rFonts w:ascii="Times New Roman" w:eastAsia="Times" w:hAnsi="Times New Roman"/>
          <w:b/>
          <w:bCs/>
          <w:sz w:val="24"/>
          <w:szCs w:val="24"/>
          <w:lang w:val="en-US"/>
        </w:rPr>
      </w:pPr>
    </w:p>
    <w:p w14:paraId="43A424AA" w14:textId="2A17F2BB" w:rsidR="00A81E9D" w:rsidRDefault="00316060" w:rsidP="00A81E9D">
      <w:pPr>
        <w:rPr>
          <w:rFonts w:ascii="Times New Roman" w:eastAsia="Times" w:hAnsi="Times New Roman"/>
          <w:b/>
          <w:bCs/>
          <w:sz w:val="24"/>
          <w:szCs w:val="24"/>
          <w:lang w:val="en-US"/>
        </w:rPr>
        <w:sectPr w:rsidR="00A81E9D" w:rsidSect="002514C4">
          <w:pgSz w:w="16838" w:h="11906" w:orient="landscape"/>
          <w:pgMar w:top="1418" w:right="1418" w:bottom="1418" w:left="1418" w:header="709" w:footer="709" w:gutter="0"/>
          <w:cols w:space="708"/>
          <w:docGrid w:linePitch="360"/>
        </w:sectPr>
      </w:pPr>
      <w:r>
        <w:rPr>
          <w:rFonts w:ascii="Times New Roman" w:eastAsia="Times" w:hAnsi="Times New Roman"/>
          <w:b/>
          <w:bCs/>
          <w:sz w:val="24"/>
          <w:szCs w:val="24"/>
          <w:lang w:val="en-US"/>
        </w:rPr>
        <w:br w:type="page"/>
      </w:r>
    </w:p>
    <w:p w14:paraId="5E7F4B9E" w14:textId="1293B1EA" w:rsidR="004A38BD" w:rsidRDefault="00C74544" w:rsidP="004A38BD">
      <w:pPr>
        <w:spacing w:before="240" w:after="0" w:line="480" w:lineRule="auto"/>
        <w:jc w:val="both"/>
        <w:rPr>
          <w:rFonts w:ascii="Times New Roman" w:eastAsia="Times" w:hAnsi="Times New Roman"/>
          <w:bCs/>
          <w:sz w:val="24"/>
          <w:szCs w:val="24"/>
          <w:lang w:val="en-US"/>
        </w:rPr>
      </w:pPr>
      <w:r>
        <w:rPr>
          <w:rFonts w:ascii="Times New Roman" w:eastAsia="Times" w:hAnsi="Times New Roman"/>
          <w:b/>
          <w:bCs/>
          <w:sz w:val="24"/>
          <w:szCs w:val="24"/>
          <w:lang w:val="en-US"/>
        </w:rPr>
        <w:lastRenderedPageBreak/>
        <w:t xml:space="preserve">Supplementary </w:t>
      </w:r>
      <w:r w:rsidR="004A38BD">
        <w:rPr>
          <w:rFonts w:ascii="Times New Roman" w:eastAsia="Times" w:hAnsi="Times New Roman"/>
          <w:b/>
          <w:bCs/>
          <w:sz w:val="24"/>
          <w:szCs w:val="24"/>
          <w:lang w:val="en-US"/>
        </w:rPr>
        <w:t>Figure 3.</w:t>
      </w:r>
      <w:r w:rsidR="004A38BD" w:rsidRPr="00B12DBC">
        <w:rPr>
          <w:rFonts w:ascii="Times New Roman" w:eastAsia="Times" w:hAnsi="Times New Roman"/>
          <w:b/>
          <w:bCs/>
          <w:sz w:val="24"/>
          <w:szCs w:val="24"/>
          <w:lang w:val="en-US"/>
        </w:rPr>
        <w:t xml:space="preserve"> </w:t>
      </w:r>
      <w:r w:rsidR="004A38BD" w:rsidRPr="007D2E2F">
        <w:rPr>
          <w:rFonts w:ascii="Times New Roman" w:eastAsia="Times" w:hAnsi="Times New Roman"/>
          <w:bCs/>
          <w:sz w:val="24"/>
          <w:szCs w:val="24"/>
          <w:lang w:val="en-US"/>
        </w:rPr>
        <w:t>Bidirectional comparison plots</w:t>
      </w:r>
      <w:r w:rsidR="004A38BD">
        <w:rPr>
          <w:rFonts w:ascii="Times New Roman" w:eastAsia="Times" w:hAnsi="Times New Roman"/>
          <w:bCs/>
          <w:sz w:val="24"/>
          <w:szCs w:val="24"/>
          <w:lang w:val="en-US"/>
        </w:rPr>
        <w:t xml:space="preserve"> for</w:t>
      </w:r>
      <w:r w:rsidR="004A38BD" w:rsidRPr="007D2E2F">
        <w:rPr>
          <w:rFonts w:ascii="Times New Roman" w:eastAsia="Times" w:hAnsi="Times New Roman"/>
          <w:bCs/>
          <w:sz w:val="24"/>
          <w:szCs w:val="24"/>
          <w:lang w:val="en-US"/>
        </w:rPr>
        <w:t xml:space="preserve"> C-doublets versus subgroups within F-doublets.</w:t>
      </w:r>
      <w:r w:rsidR="004A38BD">
        <w:rPr>
          <w:rFonts w:ascii="Times New Roman" w:eastAsia="Times" w:hAnsi="Times New Roman"/>
          <w:b/>
          <w:bCs/>
          <w:sz w:val="24"/>
          <w:szCs w:val="24"/>
          <w:lang w:val="en-US"/>
        </w:rPr>
        <w:t xml:space="preserve"> </w:t>
      </w:r>
      <w:r w:rsidR="004A38BD" w:rsidRPr="00B11405">
        <w:rPr>
          <w:rFonts w:ascii="Times New Roman" w:eastAsia="Times" w:hAnsi="Times New Roman"/>
          <w:b/>
          <w:bCs/>
          <w:sz w:val="24"/>
          <w:szCs w:val="24"/>
          <w:lang w:val="en-US"/>
        </w:rPr>
        <w:t>A.</w:t>
      </w:r>
      <w:r w:rsidR="004A38BD" w:rsidRPr="00B11405">
        <w:rPr>
          <w:rFonts w:ascii="Times New Roman" w:eastAsia="Times" w:hAnsi="Times New Roman"/>
          <w:bCs/>
          <w:sz w:val="24"/>
          <w:szCs w:val="24"/>
          <w:lang w:val="en-US"/>
        </w:rPr>
        <w:t xml:space="preserve"> C-doublets vs Fluoropyrimidine</w:t>
      </w:r>
      <w:r w:rsidR="004A38BD">
        <w:rPr>
          <w:rFonts w:ascii="Times New Roman" w:eastAsia="Times" w:hAnsi="Times New Roman"/>
          <w:bCs/>
          <w:sz w:val="24"/>
          <w:szCs w:val="24"/>
          <w:lang w:val="en-US"/>
        </w:rPr>
        <w:t xml:space="preserve"> </w:t>
      </w:r>
      <w:r w:rsidR="004A38BD" w:rsidRPr="00B11405">
        <w:rPr>
          <w:rFonts w:ascii="Times New Roman" w:eastAsia="Times" w:hAnsi="Times New Roman"/>
          <w:bCs/>
          <w:sz w:val="24"/>
          <w:szCs w:val="24"/>
          <w:lang w:val="en-US"/>
        </w:rPr>
        <w:t>+</w:t>
      </w:r>
      <w:r w:rsidR="004A38BD">
        <w:rPr>
          <w:rFonts w:ascii="Times New Roman" w:eastAsia="Times" w:hAnsi="Times New Roman"/>
          <w:bCs/>
          <w:sz w:val="24"/>
          <w:szCs w:val="24"/>
          <w:lang w:val="en-US"/>
        </w:rPr>
        <w:t xml:space="preserve"> </w:t>
      </w:r>
      <w:r w:rsidR="004A38BD" w:rsidRPr="00B11405">
        <w:rPr>
          <w:rFonts w:ascii="Times New Roman" w:eastAsia="Times" w:hAnsi="Times New Roman"/>
          <w:bCs/>
          <w:sz w:val="24"/>
          <w:szCs w:val="24"/>
          <w:lang w:val="en-US"/>
        </w:rPr>
        <w:t xml:space="preserve">Irinotecan (FI), </w:t>
      </w:r>
      <w:r w:rsidR="004A38BD" w:rsidRPr="00B11405">
        <w:rPr>
          <w:rFonts w:ascii="Times New Roman" w:eastAsia="Times" w:hAnsi="Times New Roman"/>
          <w:b/>
          <w:bCs/>
          <w:sz w:val="24"/>
          <w:szCs w:val="24"/>
          <w:lang w:val="en-US"/>
        </w:rPr>
        <w:t>B.</w:t>
      </w:r>
      <w:r w:rsidR="004A38BD" w:rsidRPr="00B11405">
        <w:rPr>
          <w:rFonts w:ascii="Times New Roman" w:eastAsia="Times" w:hAnsi="Times New Roman"/>
          <w:bCs/>
          <w:sz w:val="24"/>
          <w:szCs w:val="24"/>
          <w:lang w:val="en-US"/>
        </w:rPr>
        <w:t xml:space="preserve"> C-doublets versus Fluoropyrimidine</w:t>
      </w:r>
      <w:r w:rsidR="004A38BD">
        <w:rPr>
          <w:rFonts w:ascii="Times New Roman" w:eastAsia="Times" w:hAnsi="Times New Roman"/>
          <w:bCs/>
          <w:sz w:val="24"/>
          <w:szCs w:val="24"/>
          <w:lang w:val="en-US"/>
        </w:rPr>
        <w:t xml:space="preserve"> </w:t>
      </w:r>
      <w:r w:rsidR="004A38BD" w:rsidRPr="00B11405">
        <w:rPr>
          <w:rFonts w:ascii="Times New Roman" w:eastAsia="Times" w:hAnsi="Times New Roman"/>
          <w:bCs/>
          <w:sz w:val="24"/>
          <w:szCs w:val="24"/>
          <w:lang w:val="en-US"/>
        </w:rPr>
        <w:t>+</w:t>
      </w:r>
      <w:proofErr w:type="spellStart"/>
      <w:r w:rsidR="004A38BD" w:rsidRPr="00B11405">
        <w:rPr>
          <w:rFonts w:ascii="Times New Roman" w:eastAsia="Times" w:hAnsi="Times New Roman"/>
          <w:bCs/>
          <w:sz w:val="24"/>
          <w:szCs w:val="24"/>
          <w:lang w:val="en-US"/>
        </w:rPr>
        <w:t>Taxane</w:t>
      </w:r>
      <w:proofErr w:type="spellEnd"/>
      <w:r w:rsidR="004A38BD" w:rsidRPr="00B11405">
        <w:rPr>
          <w:rFonts w:ascii="Times New Roman" w:eastAsia="Times" w:hAnsi="Times New Roman"/>
          <w:bCs/>
          <w:sz w:val="24"/>
          <w:szCs w:val="24"/>
          <w:lang w:val="en-US"/>
        </w:rPr>
        <w:t xml:space="preserve"> (FT), </w:t>
      </w:r>
      <w:r w:rsidR="004A38BD" w:rsidRPr="00B11405">
        <w:rPr>
          <w:rFonts w:ascii="Times New Roman" w:eastAsia="Times" w:hAnsi="Times New Roman"/>
          <w:b/>
          <w:bCs/>
          <w:sz w:val="24"/>
          <w:szCs w:val="24"/>
          <w:lang w:val="en-US"/>
        </w:rPr>
        <w:t>C.</w:t>
      </w:r>
      <w:r w:rsidR="004A38BD" w:rsidRPr="00B11405">
        <w:rPr>
          <w:rFonts w:ascii="Times New Roman" w:eastAsia="Times" w:hAnsi="Times New Roman"/>
          <w:bCs/>
          <w:sz w:val="24"/>
          <w:szCs w:val="24"/>
          <w:lang w:val="en-US"/>
        </w:rPr>
        <w:t xml:space="preserve"> C-doublets versus Fluoropyrimidine</w:t>
      </w:r>
      <w:r w:rsidR="004A38BD">
        <w:rPr>
          <w:rFonts w:ascii="Times New Roman" w:eastAsia="Times" w:hAnsi="Times New Roman"/>
          <w:bCs/>
          <w:sz w:val="24"/>
          <w:szCs w:val="24"/>
          <w:lang w:val="en-US"/>
        </w:rPr>
        <w:t xml:space="preserve"> </w:t>
      </w:r>
      <w:r w:rsidR="004A38BD" w:rsidRPr="00B11405">
        <w:rPr>
          <w:rFonts w:ascii="Times New Roman" w:eastAsia="Times" w:hAnsi="Times New Roman"/>
          <w:bCs/>
          <w:sz w:val="24"/>
          <w:szCs w:val="24"/>
          <w:lang w:val="en-US"/>
        </w:rPr>
        <w:t>+</w:t>
      </w:r>
      <w:r w:rsidR="004A38BD">
        <w:rPr>
          <w:rFonts w:ascii="Times New Roman" w:eastAsia="Times" w:hAnsi="Times New Roman"/>
          <w:bCs/>
          <w:sz w:val="24"/>
          <w:szCs w:val="24"/>
          <w:lang w:val="en-US"/>
        </w:rPr>
        <w:t xml:space="preserve"> </w:t>
      </w:r>
      <w:proofErr w:type="spellStart"/>
      <w:r w:rsidR="004A38BD" w:rsidRPr="00B11405">
        <w:rPr>
          <w:rFonts w:ascii="Times New Roman" w:eastAsia="Times" w:hAnsi="Times New Roman"/>
          <w:bCs/>
          <w:sz w:val="24"/>
          <w:szCs w:val="24"/>
          <w:lang w:val="en-US"/>
        </w:rPr>
        <w:t>Oxalipatin</w:t>
      </w:r>
      <w:proofErr w:type="spellEnd"/>
      <w:r w:rsidR="004A38BD" w:rsidRPr="00B11405">
        <w:rPr>
          <w:rFonts w:ascii="Times New Roman" w:eastAsia="Times" w:hAnsi="Times New Roman"/>
          <w:bCs/>
          <w:sz w:val="24"/>
          <w:szCs w:val="24"/>
          <w:lang w:val="en-US"/>
        </w:rPr>
        <w:t xml:space="preserve"> (</w:t>
      </w:r>
      <w:proofErr w:type="spellStart"/>
      <w:r w:rsidR="004A38BD" w:rsidRPr="00B11405">
        <w:rPr>
          <w:rFonts w:ascii="Times New Roman" w:eastAsia="Times" w:hAnsi="Times New Roman"/>
          <w:bCs/>
          <w:sz w:val="24"/>
          <w:szCs w:val="24"/>
          <w:lang w:val="en-US"/>
        </w:rPr>
        <w:t>FOx</w:t>
      </w:r>
      <w:proofErr w:type="spellEnd"/>
      <w:r w:rsidR="004A38BD" w:rsidRPr="00B11405">
        <w:rPr>
          <w:rFonts w:ascii="Times New Roman" w:eastAsia="Times" w:hAnsi="Times New Roman"/>
          <w:bCs/>
          <w:sz w:val="24"/>
          <w:szCs w:val="24"/>
          <w:lang w:val="en-US"/>
        </w:rPr>
        <w:t>)</w:t>
      </w:r>
      <w:r w:rsidR="004A38BD">
        <w:rPr>
          <w:rFonts w:ascii="Times New Roman" w:eastAsia="Times" w:hAnsi="Times New Roman"/>
          <w:bCs/>
          <w:sz w:val="24"/>
          <w:szCs w:val="24"/>
          <w:lang w:val="en-US"/>
        </w:rPr>
        <w:t>. C=Cisplatin.</w:t>
      </w:r>
    </w:p>
    <w:p w14:paraId="471D1F6C" w14:textId="74FF83D3" w:rsidR="00C74544" w:rsidRDefault="00C74544" w:rsidP="004A38BD">
      <w:pPr>
        <w:spacing w:before="240" w:after="0" w:line="480" w:lineRule="auto"/>
        <w:jc w:val="both"/>
        <w:rPr>
          <w:rFonts w:ascii="Times New Roman" w:eastAsia="Times" w:hAnsi="Times New Roman"/>
          <w:b/>
          <w:bCs/>
          <w:sz w:val="24"/>
          <w:szCs w:val="24"/>
          <w:lang w:val="en-US"/>
        </w:rPr>
      </w:pPr>
      <w:r>
        <w:rPr>
          <w:rFonts w:ascii="Times New Roman" w:eastAsia="Times" w:hAnsi="Times New Roman"/>
          <w:bCs/>
          <w:sz w:val="24"/>
          <w:szCs w:val="24"/>
          <w:lang w:val="en-US"/>
        </w:rPr>
        <w:t xml:space="preserve">A. </w:t>
      </w:r>
      <w:r>
        <w:rPr>
          <w:rFonts w:ascii="Times New Roman" w:eastAsia="Times" w:hAnsi="Times New Roman"/>
          <w:bCs/>
          <w:noProof/>
          <w:sz w:val="24"/>
          <w:szCs w:val="24"/>
          <w:lang w:val="en-US"/>
        </w:rPr>
        <w:drawing>
          <wp:inline distT="0" distB="0" distL="0" distR="0" wp14:anchorId="74C4ECC7" wp14:editId="116F46E5">
            <wp:extent cx="5748655" cy="3802380"/>
            <wp:effectExtent l="0" t="0" r="4445"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8655" cy="3802380"/>
                    </a:xfrm>
                    <a:prstGeom prst="rect">
                      <a:avLst/>
                    </a:prstGeom>
                    <a:noFill/>
                    <a:ln>
                      <a:noFill/>
                    </a:ln>
                  </pic:spPr>
                </pic:pic>
              </a:graphicData>
            </a:graphic>
          </wp:inline>
        </w:drawing>
      </w:r>
    </w:p>
    <w:p w14:paraId="22C00AC7" w14:textId="77777777" w:rsidR="00C74544" w:rsidRDefault="00C74544">
      <w:pPr>
        <w:rPr>
          <w:rFonts w:ascii="Times New Roman" w:eastAsia="Times" w:hAnsi="Times New Roman"/>
          <w:bCs/>
          <w:sz w:val="24"/>
          <w:szCs w:val="24"/>
          <w:lang w:val="en-US"/>
        </w:rPr>
      </w:pPr>
      <w:r>
        <w:rPr>
          <w:rFonts w:ascii="Times New Roman" w:eastAsia="Times" w:hAnsi="Times New Roman"/>
          <w:bCs/>
          <w:sz w:val="24"/>
          <w:szCs w:val="24"/>
          <w:lang w:val="en-US"/>
        </w:rPr>
        <w:br w:type="page"/>
      </w:r>
    </w:p>
    <w:p w14:paraId="50E1AE15" w14:textId="47EB238F" w:rsidR="00A81E9D" w:rsidRPr="00C74544" w:rsidRDefault="00C74544" w:rsidP="00C74544">
      <w:pPr>
        <w:rPr>
          <w:rFonts w:ascii="Times New Roman" w:eastAsia="Times" w:hAnsi="Times New Roman"/>
          <w:bCs/>
          <w:sz w:val="24"/>
          <w:szCs w:val="24"/>
          <w:lang w:val="en-US"/>
        </w:rPr>
      </w:pPr>
      <w:r w:rsidRPr="00C74544">
        <w:rPr>
          <w:rFonts w:ascii="Times New Roman" w:eastAsia="Times" w:hAnsi="Times New Roman"/>
          <w:bCs/>
          <w:sz w:val="24"/>
          <w:szCs w:val="24"/>
          <w:lang w:val="en-US"/>
        </w:rPr>
        <w:lastRenderedPageBreak/>
        <w:t>B.</w:t>
      </w:r>
    </w:p>
    <w:p w14:paraId="613E4755" w14:textId="55662F5A" w:rsidR="00C74544" w:rsidRDefault="00C74544" w:rsidP="00676FEF">
      <w:pPr>
        <w:spacing w:before="240" w:after="0" w:line="480" w:lineRule="auto"/>
        <w:rPr>
          <w:rFonts w:ascii="Times New Roman" w:eastAsia="Times" w:hAnsi="Times New Roman"/>
          <w:b/>
          <w:bCs/>
          <w:sz w:val="24"/>
          <w:szCs w:val="24"/>
          <w:lang w:val="en-US"/>
        </w:rPr>
      </w:pPr>
      <w:r>
        <w:rPr>
          <w:rFonts w:ascii="Times New Roman" w:eastAsia="Times" w:hAnsi="Times New Roman"/>
          <w:b/>
          <w:bCs/>
          <w:noProof/>
          <w:sz w:val="24"/>
          <w:szCs w:val="24"/>
          <w:lang w:val="en-US"/>
        </w:rPr>
        <w:drawing>
          <wp:inline distT="0" distB="0" distL="0" distR="0" wp14:anchorId="641379D3" wp14:editId="2473BD8D">
            <wp:extent cx="5748655" cy="3802380"/>
            <wp:effectExtent l="0" t="0" r="4445"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8655" cy="3802380"/>
                    </a:xfrm>
                    <a:prstGeom prst="rect">
                      <a:avLst/>
                    </a:prstGeom>
                    <a:noFill/>
                    <a:ln>
                      <a:noFill/>
                    </a:ln>
                  </pic:spPr>
                </pic:pic>
              </a:graphicData>
            </a:graphic>
          </wp:inline>
        </w:drawing>
      </w:r>
    </w:p>
    <w:p w14:paraId="6F74BD5A" w14:textId="34EB7941" w:rsidR="00C74544" w:rsidRDefault="00C74544" w:rsidP="00676FEF">
      <w:pPr>
        <w:spacing w:before="240" w:after="0" w:line="480" w:lineRule="auto"/>
        <w:rPr>
          <w:rFonts w:ascii="Times New Roman" w:eastAsia="Times" w:hAnsi="Times New Roman"/>
          <w:b/>
          <w:bCs/>
          <w:sz w:val="24"/>
          <w:szCs w:val="24"/>
          <w:lang w:val="en-US"/>
        </w:rPr>
        <w:sectPr w:rsidR="00C74544" w:rsidSect="00C74544">
          <w:pgSz w:w="11906" w:h="16838"/>
          <w:pgMar w:top="1418" w:right="1418" w:bottom="1418" w:left="1418" w:header="709" w:footer="709" w:gutter="0"/>
          <w:cols w:space="708"/>
          <w:docGrid w:linePitch="360"/>
        </w:sectPr>
      </w:pPr>
      <w:r>
        <w:rPr>
          <w:rFonts w:ascii="Times New Roman" w:eastAsia="Times" w:hAnsi="Times New Roman"/>
          <w:b/>
          <w:bCs/>
          <w:sz w:val="24"/>
          <w:szCs w:val="24"/>
          <w:lang w:val="en-US"/>
        </w:rPr>
        <w:t xml:space="preserve">C. </w:t>
      </w:r>
      <w:r>
        <w:rPr>
          <w:rFonts w:ascii="Times New Roman" w:eastAsia="Times" w:hAnsi="Times New Roman"/>
          <w:b/>
          <w:bCs/>
          <w:noProof/>
          <w:sz w:val="24"/>
          <w:szCs w:val="24"/>
          <w:lang w:val="en-US"/>
        </w:rPr>
        <w:drawing>
          <wp:inline distT="0" distB="0" distL="0" distR="0" wp14:anchorId="12E13A56" wp14:editId="4CD57B64">
            <wp:extent cx="5748655" cy="3802380"/>
            <wp:effectExtent l="0" t="0" r="4445"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8655" cy="3802380"/>
                    </a:xfrm>
                    <a:prstGeom prst="rect">
                      <a:avLst/>
                    </a:prstGeom>
                    <a:noFill/>
                    <a:ln>
                      <a:noFill/>
                    </a:ln>
                  </pic:spPr>
                </pic:pic>
              </a:graphicData>
            </a:graphic>
          </wp:inline>
        </w:drawing>
      </w:r>
    </w:p>
    <w:p w14:paraId="0B1F795C" w14:textId="4CA87FA0" w:rsidR="00676FEF" w:rsidRPr="009611FE" w:rsidRDefault="00FD4465" w:rsidP="00676FEF">
      <w:pPr>
        <w:spacing w:before="240" w:after="0" w:line="480" w:lineRule="auto"/>
        <w:rPr>
          <w:rFonts w:ascii="Times New Roman" w:hAnsi="Times New Roman"/>
          <w:b/>
          <w:bCs/>
          <w:sz w:val="24"/>
          <w:szCs w:val="24"/>
          <w:lang w:val="en-US" w:eastAsia="ja-JP"/>
        </w:rPr>
      </w:pPr>
      <w:r w:rsidRPr="004D3C36">
        <w:rPr>
          <w:rFonts w:ascii="Times New Roman" w:eastAsia="Times" w:hAnsi="Times New Roman"/>
          <w:b/>
          <w:bCs/>
          <w:sz w:val="24"/>
          <w:szCs w:val="24"/>
          <w:lang w:val="en-US"/>
        </w:rPr>
        <w:lastRenderedPageBreak/>
        <w:t>Figure S</w:t>
      </w:r>
      <w:r w:rsidR="00362F44">
        <w:rPr>
          <w:rFonts w:ascii="Times New Roman" w:eastAsia="Times" w:hAnsi="Times New Roman"/>
          <w:b/>
          <w:bCs/>
          <w:sz w:val="24"/>
          <w:szCs w:val="24"/>
          <w:lang w:val="en-US"/>
        </w:rPr>
        <w:t>4-</w:t>
      </w:r>
      <w:r>
        <w:rPr>
          <w:rFonts w:ascii="Times New Roman" w:eastAsia="Times" w:hAnsi="Times New Roman"/>
          <w:b/>
          <w:bCs/>
          <w:sz w:val="24"/>
          <w:szCs w:val="24"/>
          <w:lang w:val="en-US"/>
        </w:rPr>
        <w:t>1</w:t>
      </w:r>
      <w:r w:rsidR="00A73010">
        <w:rPr>
          <w:rFonts w:ascii="Times New Roman" w:eastAsia="Times" w:hAnsi="Times New Roman"/>
          <w:b/>
          <w:bCs/>
          <w:sz w:val="24"/>
          <w:szCs w:val="24"/>
          <w:lang w:val="en-US"/>
        </w:rPr>
        <w:t>6</w:t>
      </w:r>
      <w:r>
        <w:rPr>
          <w:rFonts w:ascii="Times New Roman" w:eastAsia="Times" w:hAnsi="Times New Roman"/>
          <w:b/>
          <w:bCs/>
          <w:sz w:val="24"/>
          <w:szCs w:val="24"/>
          <w:lang w:val="en-US"/>
        </w:rPr>
        <w:t xml:space="preserve">: </w:t>
      </w:r>
      <w:proofErr w:type="spellStart"/>
      <w:r>
        <w:rPr>
          <w:rFonts w:ascii="Times New Roman" w:eastAsia="Times" w:hAnsi="Times New Roman"/>
          <w:b/>
          <w:bCs/>
          <w:sz w:val="24"/>
          <w:szCs w:val="24"/>
          <w:lang w:val="en-US"/>
        </w:rPr>
        <w:t>TOXplot</w:t>
      </w:r>
      <w:proofErr w:type="spellEnd"/>
      <w:r>
        <w:rPr>
          <w:rFonts w:ascii="Times New Roman" w:eastAsia="Times" w:hAnsi="Times New Roman"/>
          <w:b/>
          <w:bCs/>
          <w:sz w:val="24"/>
          <w:szCs w:val="24"/>
          <w:lang w:val="en-US"/>
        </w:rPr>
        <w:t xml:space="preserve"> </w:t>
      </w:r>
      <w:proofErr w:type="spellStart"/>
      <w:r>
        <w:rPr>
          <w:rFonts w:ascii="Times New Roman" w:eastAsia="Times" w:hAnsi="Times New Roman"/>
          <w:b/>
          <w:bCs/>
          <w:sz w:val="24"/>
          <w:szCs w:val="24"/>
          <w:lang w:val="en-US"/>
        </w:rPr>
        <w:t>barchart</w:t>
      </w:r>
      <w:proofErr w:type="spellEnd"/>
      <w:r>
        <w:rPr>
          <w:rFonts w:ascii="Times New Roman" w:eastAsia="Times" w:hAnsi="Times New Roman"/>
          <w:b/>
          <w:bCs/>
          <w:sz w:val="24"/>
          <w:szCs w:val="24"/>
          <w:lang w:val="en-US"/>
        </w:rPr>
        <w:t xml:space="preserve"> and</w:t>
      </w:r>
      <w:r w:rsidRPr="004D3C36">
        <w:rPr>
          <w:rFonts w:ascii="Times New Roman" w:eastAsia="Times" w:hAnsi="Times New Roman"/>
          <w:b/>
          <w:bCs/>
          <w:sz w:val="24"/>
          <w:szCs w:val="24"/>
          <w:lang w:val="en-US"/>
        </w:rPr>
        <w:t xml:space="preserve"> table</w:t>
      </w:r>
      <w:r>
        <w:rPr>
          <w:rFonts w:ascii="Times New Roman" w:eastAsia="Times" w:hAnsi="Times New Roman"/>
          <w:b/>
          <w:bCs/>
          <w:sz w:val="24"/>
          <w:szCs w:val="24"/>
          <w:lang w:val="en-US"/>
        </w:rPr>
        <w:t xml:space="preserve"> </w:t>
      </w:r>
      <w:r w:rsidR="00676FEF">
        <w:rPr>
          <w:rFonts w:ascii="Times New Roman" w:eastAsia="Times" w:hAnsi="Times New Roman"/>
          <w:b/>
          <w:bCs/>
          <w:sz w:val="24"/>
          <w:szCs w:val="24"/>
          <w:lang w:val="en-US"/>
        </w:rPr>
        <w:br/>
      </w:r>
      <w:r w:rsidR="00676FEF" w:rsidRPr="007F3F30">
        <w:rPr>
          <w:rFonts w:ascii="Times New Roman" w:eastAsia="Times" w:hAnsi="Times New Roman"/>
          <w:b/>
          <w:bCs/>
          <w:sz w:val="24"/>
          <w:szCs w:val="24"/>
          <w:lang w:val="en-US"/>
        </w:rPr>
        <w:t>Supplementary</w:t>
      </w:r>
      <w:r w:rsidR="00676FEF">
        <w:rPr>
          <w:rFonts w:ascii="Times New Roman" w:eastAsia="Times" w:hAnsi="Times New Roman"/>
          <w:b/>
          <w:bCs/>
          <w:sz w:val="24"/>
          <w:szCs w:val="24"/>
          <w:lang w:val="en-US"/>
        </w:rPr>
        <w:t xml:space="preserve"> figure </w:t>
      </w:r>
      <w:r w:rsidR="00362F44">
        <w:rPr>
          <w:rFonts w:ascii="Times New Roman" w:eastAsia="Times" w:hAnsi="Times New Roman"/>
          <w:b/>
          <w:bCs/>
          <w:sz w:val="24"/>
          <w:szCs w:val="24"/>
          <w:lang w:val="en-US"/>
        </w:rPr>
        <w:t>4</w:t>
      </w:r>
      <w:r w:rsidR="00676FEF">
        <w:rPr>
          <w:rFonts w:ascii="Times New Roman" w:eastAsia="Times" w:hAnsi="Times New Roman"/>
          <w:b/>
          <w:bCs/>
          <w:sz w:val="24"/>
          <w:szCs w:val="24"/>
          <w:lang w:val="en-US"/>
        </w:rPr>
        <w:t xml:space="preserve">A-C: </w:t>
      </w:r>
      <w:proofErr w:type="spellStart"/>
      <w:r w:rsidR="00676FEF">
        <w:rPr>
          <w:rFonts w:ascii="Times New Roman" w:eastAsia="Times" w:hAnsi="Times New Roman"/>
          <w:bCs/>
          <w:sz w:val="24"/>
          <w:szCs w:val="24"/>
          <w:lang w:val="en-US"/>
        </w:rPr>
        <w:t>TOXplot</w:t>
      </w:r>
      <w:proofErr w:type="spellEnd"/>
      <w:r w:rsidR="00676FEF">
        <w:rPr>
          <w:rFonts w:ascii="Times New Roman" w:eastAsia="Times" w:hAnsi="Times New Roman"/>
          <w:bCs/>
          <w:sz w:val="24"/>
          <w:szCs w:val="24"/>
          <w:lang w:val="en-US"/>
        </w:rPr>
        <w:t xml:space="preserve"> </w:t>
      </w:r>
      <w:proofErr w:type="spellStart"/>
      <w:r w:rsidR="00676FEF">
        <w:rPr>
          <w:rFonts w:ascii="Times New Roman" w:eastAsia="Times" w:hAnsi="Times New Roman"/>
          <w:bCs/>
          <w:sz w:val="24"/>
          <w:szCs w:val="24"/>
          <w:lang w:val="en-US"/>
        </w:rPr>
        <w:t>barchart</w:t>
      </w:r>
      <w:proofErr w:type="spellEnd"/>
      <w:r w:rsidR="00676FEF">
        <w:rPr>
          <w:rFonts w:ascii="Times New Roman" w:eastAsia="Times" w:hAnsi="Times New Roman"/>
          <w:bCs/>
          <w:sz w:val="24"/>
          <w:szCs w:val="24"/>
          <w:lang w:val="en-US"/>
        </w:rPr>
        <w:t xml:space="preserve"> and</w:t>
      </w:r>
      <w:r w:rsidR="00676FEF" w:rsidRPr="006D0316">
        <w:rPr>
          <w:rFonts w:ascii="Times New Roman" w:eastAsia="Times" w:hAnsi="Times New Roman"/>
          <w:bCs/>
          <w:sz w:val="24"/>
          <w:szCs w:val="24"/>
          <w:lang w:val="en-US"/>
        </w:rPr>
        <w:t xml:space="preserve"> table</w:t>
      </w:r>
      <w:r w:rsidR="00676FEF">
        <w:rPr>
          <w:rFonts w:ascii="Times New Roman" w:eastAsia="Times" w:hAnsi="Times New Roman"/>
          <w:bCs/>
          <w:sz w:val="24"/>
          <w:szCs w:val="24"/>
          <w:lang w:val="en-US"/>
        </w:rPr>
        <w:t xml:space="preserve"> fluoropyrimidine monotherapy. </w:t>
      </w:r>
      <w:r w:rsidR="00676FEF">
        <w:rPr>
          <w:rFonts w:ascii="Times New Roman" w:eastAsia="Times" w:hAnsi="Times New Roman"/>
          <w:bCs/>
          <w:sz w:val="24"/>
          <w:szCs w:val="24"/>
          <w:lang w:val="en-US"/>
        </w:rPr>
        <w:br/>
      </w:r>
      <w:r w:rsidR="00676FEF" w:rsidRPr="00362F44">
        <w:rPr>
          <w:rFonts w:ascii="Times New Roman" w:eastAsia="Times" w:hAnsi="Times New Roman"/>
          <w:b/>
          <w:bCs/>
          <w:sz w:val="24"/>
          <w:szCs w:val="24"/>
          <w:lang w:val="en-US"/>
        </w:rPr>
        <w:t>A</w:t>
      </w:r>
      <w:r w:rsidR="00362F44" w:rsidRPr="00362F44">
        <w:rPr>
          <w:rFonts w:ascii="Times New Roman" w:eastAsia="Times" w:hAnsi="Times New Roman"/>
          <w:b/>
          <w:bCs/>
          <w:sz w:val="24"/>
          <w:szCs w:val="24"/>
          <w:lang w:val="en-US"/>
        </w:rPr>
        <w:t>.</w:t>
      </w:r>
      <w:r w:rsidR="00676FEF">
        <w:rPr>
          <w:rFonts w:ascii="Times New Roman" w:eastAsia="Times" w:hAnsi="Times New Roman"/>
          <w:bCs/>
          <w:sz w:val="24"/>
          <w:szCs w:val="24"/>
          <w:lang w:val="en-US"/>
        </w:rPr>
        <w:t xml:space="preserve"> </w:t>
      </w:r>
      <w:r w:rsidR="00676FEF" w:rsidRPr="006D0316">
        <w:rPr>
          <w:rFonts w:ascii="Times New Roman" w:eastAsia="Times" w:hAnsi="Times New Roman"/>
          <w:bCs/>
          <w:sz w:val="24"/>
          <w:szCs w:val="24"/>
          <w:lang w:val="en-US"/>
        </w:rPr>
        <w:t>5-fluorouracil</w:t>
      </w:r>
      <w:r w:rsidR="00676FEF">
        <w:rPr>
          <w:rFonts w:ascii="Times New Roman" w:eastAsia="Times" w:hAnsi="Times New Roman"/>
          <w:bCs/>
          <w:sz w:val="24"/>
          <w:szCs w:val="24"/>
          <w:lang w:val="en-US"/>
        </w:rPr>
        <w:t xml:space="preserve"> (5-FU)</w:t>
      </w:r>
      <w:r w:rsidR="00676FEF" w:rsidRPr="006D0316">
        <w:rPr>
          <w:rFonts w:ascii="Times New Roman" w:eastAsia="Times" w:hAnsi="Times New Roman"/>
          <w:bCs/>
          <w:sz w:val="24"/>
          <w:szCs w:val="24"/>
          <w:lang w:val="en-US"/>
        </w:rPr>
        <w:t xml:space="preserve">, </w:t>
      </w:r>
      <w:r w:rsidR="00676FEF" w:rsidRPr="00362F44">
        <w:rPr>
          <w:rFonts w:ascii="Times New Roman" w:eastAsia="Times" w:hAnsi="Times New Roman"/>
          <w:b/>
          <w:bCs/>
          <w:sz w:val="24"/>
          <w:szCs w:val="24"/>
          <w:lang w:val="en-US"/>
        </w:rPr>
        <w:t>B</w:t>
      </w:r>
      <w:r w:rsidR="00362F44" w:rsidRPr="00362F44">
        <w:rPr>
          <w:rFonts w:ascii="Times New Roman" w:eastAsia="Times" w:hAnsi="Times New Roman"/>
          <w:b/>
          <w:bCs/>
          <w:sz w:val="24"/>
          <w:szCs w:val="24"/>
          <w:lang w:val="en-US"/>
        </w:rPr>
        <w:t>.</w:t>
      </w:r>
      <w:r w:rsidR="00676FEF">
        <w:rPr>
          <w:rFonts w:ascii="Times New Roman" w:eastAsia="Times" w:hAnsi="Times New Roman"/>
          <w:bCs/>
          <w:sz w:val="24"/>
          <w:szCs w:val="24"/>
          <w:lang w:val="en-US"/>
        </w:rPr>
        <w:t xml:space="preserve"> </w:t>
      </w:r>
      <w:r w:rsidR="00676FEF" w:rsidRPr="006D0316">
        <w:rPr>
          <w:rFonts w:ascii="Times New Roman" w:eastAsia="Times" w:hAnsi="Times New Roman"/>
          <w:bCs/>
          <w:sz w:val="24"/>
          <w:szCs w:val="24"/>
          <w:lang w:val="en-US"/>
        </w:rPr>
        <w:t>capecitabine</w:t>
      </w:r>
      <w:r w:rsidR="00676FEF">
        <w:rPr>
          <w:rFonts w:ascii="Times New Roman" w:eastAsia="Times" w:hAnsi="Times New Roman"/>
          <w:bCs/>
          <w:sz w:val="24"/>
          <w:szCs w:val="24"/>
          <w:lang w:val="en-US"/>
        </w:rPr>
        <w:t xml:space="preserve"> (CAP)</w:t>
      </w:r>
      <w:r w:rsidR="00676FEF" w:rsidRPr="006D0316">
        <w:rPr>
          <w:rFonts w:ascii="Times New Roman" w:eastAsia="Times" w:hAnsi="Times New Roman"/>
          <w:bCs/>
          <w:sz w:val="24"/>
          <w:szCs w:val="24"/>
          <w:lang w:val="en-US"/>
        </w:rPr>
        <w:t xml:space="preserve">, </w:t>
      </w:r>
      <w:r w:rsidR="00676FEF" w:rsidRPr="00362F44">
        <w:rPr>
          <w:rFonts w:ascii="Times New Roman" w:eastAsia="Times" w:hAnsi="Times New Roman"/>
          <w:b/>
          <w:bCs/>
          <w:sz w:val="24"/>
          <w:szCs w:val="24"/>
          <w:lang w:val="en-US"/>
        </w:rPr>
        <w:t>C</w:t>
      </w:r>
      <w:r w:rsidR="00362F44" w:rsidRPr="00362F44">
        <w:rPr>
          <w:rFonts w:ascii="Times New Roman" w:eastAsia="Times" w:hAnsi="Times New Roman"/>
          <w:b/>
          <w:bCs/>
          <w:sz w:val="24"/>
          <w:szCs w:val="24"/>
          <w:lang w:val="en-US"/>
        </w:rPr>
        <w:t>.</w:t>
      </w:r>
      <w:r w:rsidR="00676FEF">
        <w:rPr>
          <w:rFonts w:ascii="Times New Roman" w:eastAsia="Times" w:hAnsi="Times New Roman"/>
          <w:bCs/>
          <w:sz w:val="24"/>
          <w:szCs w:val="24"/>
          <w:lang w:val="en-US"/>
        </w:rPr>
        <w:t xml:space="preserve"> </w:t>
      </w:r>
      <w:r w:rsidR="00676FEF" w:rsidRPr="006D0316">
        <w:rPr>
          <w:rFonts w:ascii="Times New Roman" w:eastAsia="Times" w:hAnsi="Times New Roman"/>
          <w:bCs/>
          <w:sz w:val="24"/>
          <w:szCs w:val="24"/>
          <w:lang w:val="en-US"/>
        </w:rPr>
        <w:t>S-1</w:t>
      </w:r>
    </w:p>
    <w:p w14:paraId="517F6B9A" w14:textId="77777777" w:rsidR="00FD4465" w:rsidRDefault="00FD4465" w:rsidP="00FD4465">
      <w:pPr>
        <w:spacing w:line="480" w:lineRule="auto"/>
        <w:rPr>
          <w:rFonts w:ascii="Times New Roman" w:eastAsia="Times" w:hAnsi="Times New Roman"/>
          <w:b/>
          <w:bCs/>
          <w:sz w:val="24"/>
          <w:szCs w:val="24"/>
          <w:lang w:val="en-US"/>
        </w:rPr>
      </w:pPr>
    </w:p>
    <w:p w14:paraId="204FE118" w14:textId="77777777" w:rsidR="00FD4465" w:rsidRDefault="00FD4465" w:rsidP="00FD4465">
      <w:pPr>
        <w:spacing w:line="480" w:lineRule="auto"/>
        <w:rPr>
          <w:rFonts w:ascii="Times New Roman" w:eastAsia="Times" w:hAnsi="Times New Roman"/>
          <w:bCs/>
          <w:sz w:val="24"/>
          <w:szCs w:val="24"/>
          <w:lang w:val="en-US"/>
        </w:rPr>
      </w:pPr>
      <w:r w:rsidRPr="00362F44">
        <w:rPr>
          <w:rFonts w:ascii="Times New Roman" w:eastAsia="Times" w:hAnsi="Times New Roman"/>
          <w:b/>
          <w:bCs/>
          <w:sz w:val="24"/>
          <w:szCs w:val="24"/>
          <w:lang w:val="en-US"/>
        </w:rPr>
        <w:t>A.</w:t>
      </w:r>
      <w:r w:rsidRPr="00D77FF5">
        <w:rPr>
          <w:rFonts w:ascii="Times New Roman" w:eastAsia="Times" w:hAnsi="Times New Roman"/>
          <w:bCs/>
          <w:noProof/>
          <w:sz w:val="24"/>
          <w:szCs w:val="24"/>
          <w:lang w:val="en-US" w:eastAsia="zh-CN"/>
        </w:rPr>
        <w:t xml:space="preserve"> </w:t>
      </w:r>
      <w:r>
        <w:rPr>
          <w:rFonts w:ascii="Times New Roman" w:eastAsia="Times" w:hAnsi="Times New Roman"/>
          <w:bCs/>
          <w:noProof/>
          <w:sz w:val="24"/>
          <w:szCs w:val="24"/>
          <w:lang w:eastAsia="zh-CN"/>
        </w:rPr>
        <w:drawing>
          <wp:inline distT="0" distB="0" distL="0" distR="0" wp14:anchorId="248CA576" wp14:editId="782EF797">
            <wp:extent cx="5752465" cy="3794125"/>
            <wp:effectExtent l="0" t="0" r="635" b="0"/>
            <wp:docPr id="51" name="Picture 51" descr="C:\Users\Loklam\AppData\Local\Microsoft\Windows\INetCache\Content.Word\table_toxplot_5F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oklam\AppData\Local\Microsoft\Windows\INetCache\Content.Word\table_toxplot_5FU.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2465" cy="3794125"/>
                    </a:xfrm>
                    <a:prstGeom prst="rect">
                      <a:avLst/>
                    </a:prstGeom>
                    <a:noFill/>
                    <a:ln>
                      <a:noFill/>
                    </a:ln>
                  </pic:spPr>
                </pic:pic>
              </a:graphicData>
            </a:graphic>
          </wp:inline>
        </w:drawing>
      </w:r>
      <w:r w:rsidRPr="00362F44">
        <w:rPr>
          <w:rFonts w:ascii="Times New Roman" w:eastAsia="Times" w:hAnsi="Times New Roman"/>
          <w:b/>
          <w:bCs/>
          <w:sz w:val="24"/>
          <w:szCs w:val="24"/>
          <w:lang w:val="en-US"/>
        </w:rPr>
        <w:lastRenderedPageBreak/>
        <w:t>B.</w:t>
      </w:r>
      <w:r w:rsidRPr="00704289">
        <w:rPr>
          <w:rFonts w:ascii="Times New Roman" w:eastAsia="Times" w:hAnsi="Times New Roman"/>
          <w:bCs/>
          <w:noProof/>
          <w:sz w:val="24"/>
          <w:szCs w:val="24"/>
          <w:lang w:val="en-US" w:eastAsia="zh-CN"/>
        </w:rPr>
        <w:t xml:space="preserve"> </w:t>
      </w:r>
      <w:r>
        <w:rPr>
          <w:rFonts w:ascii="Times New Roman" w:eastAsia="Times" w:hAnsi="Times New Roman"/>
          <w:bCs/>
          <w:noProof/>
          <w:sz w:val="24"/>
          <w:szCs w:val="24"/>
          <w:lang w:eastAsia="zh-CN"/>
        </w:rPr>
        <w:drawing>
          <wp:inline distT="0" distB="0" distL="0" distR="0" wp14:anchorId="1ED67BA3" wp14:editId="2551E6EC">
            <wp:extent cx="5752465" cy="3794125"/>
            <wp:effectExtent l="0" t="0" r="635" b="0"/>
            <wp:docPr id="52" name="Picture 52" descr="C:\Users\Loklam\AppData\Local\Microsoft\Windows\INetCache\Content.Word\table_toxplot_C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oklam\AppData\Local\Microsoft\Windows\INetCache\Content.Word\table_toxplot_CAP.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2465" cy="3794125"/>
                    </a:xfrm>
                    <a:prstGeom prst="rect">
                      <a:avLst/>
                    </a:prstGeom>
                    <a:noFill/>
                    <a:ln>
                      <a:noFill/>
                    </a:ln>
                  </pic:spPr>
                </pic:pic>
              </a:graphicData>
            </a:graphic>
          </wp:inline>
        </w:drawing>
      </w:r>
    </w:p>
    <w:p w14:paraId="337B09A5" w14:textId="77777777" w:rsidR="00FD4465" w:rsidRDefault="00FD4465" w:rsidP="00FD4465">
      <w:pPr>
        <w:spacing w:line="480" w:lineRule="auto"/>
        <w:rPr>
          <w:rFonts w:ascii="Times New Roman" w:eastAsia="Times" w:hAnsi="Times New Roman"/>
          <w:b/>
          <w:bCs/>
          <w:sz w:val="24"/>
          <w:szCs w:val="24"/>
          <w:lang w:val="en-US"/>
        </w:rPr>
      </w:pPr>
      <w:r w:rsidRPr="00362F44">
        <w:rPr>
          <w:rFonts w:ascii="Times New Roman" w:eastAsia="Times" w:hAnsi="Times New Roman"/>
          <w:b/>
          <w:bCs/>
          <w:sz w:val="24"/>
          <w:szCs w:val="24"/>
          <w:lang w:val="en-US"/>
        </w:rPr>
        <w:t>C.</w:t>
      </w:r>
      <w:r>
        <w:rPr>
          <w:rFonts w:ascii="Times New Roman" w:eastAsia="Times" w:hAnsi="Times New Roman"/>
          <w:b/>
          <w:bCs/>
          <w:noProof/>
          <w:sz w:val="24"/>
          <w:szCs w:val="24"/>
          <w:lang w:eastAsia="zh-CN"/>
        </w:rPr>
        <w:drawing>
          <wp:inline distT="0" distB="0" distL="0" distR="0" wp14:anchorId="5214A2E1" wp14:editId="7CB985F3">
            <wp:extent cx="5752465" cy="3796030"/>
            <wp:effectExtent l="0" t="0" r="635" b="0"/>
            <wp:docPr id="50" name="Picture 50" descr="table_toxplot_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able_toxplot_S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p>
    <w:p w14:paraId="032D2A7B" w14:textId="730F38D5" w:rsidR="00FD4465" w:rsidRPr="005B0702" w:rsidRDefault="00676FEF" w:rsidP="005B0702">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 xml:space="preserve">Supplementary figure </w:t>
      </w:r>
      <w:r w:rsidR="00362F44">
        <w:rPr>
          <w:rFonts w:ascii="Times New Roman" w:eastAsia="Times" w:hAnsi="Times New Roman"/>
          <w:b/>
          <w:bCs/>
          <w:sz w:val="24"/>
          <w:szCs w:val="24"/>
          <w:lang w:val="en-US"/>
        </w:rPr>
        <w:t>5</w:t>
      </w:r>
      <w:r>
        <w:rPr>
          <w:rFonts w:ascii="Times New Roman" w:eastAsia="Times" w:hAnsi="Times New Roman"/>
          <w:b/>
          <w:bCs/>
          <w:sz w:val="24"/>
          <w:szCs w:val="24"/>
          <w:lang w:val="en-US"/>
        </w:rPr>
        <w:t xml:space="preserve">A-C: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barchart</w:t>
      </w:r>
      <w:proofErr w:type="spellEnd"/>
      <w:r>
        <w:rPr>
          <w:rFonts w:ascii="Times New Roman" w:eastAsia="Times" w:hAnsi="Times New Roman"/>
          <w:bCs/>
          <w:sz w:val="24"/>
          <w:szCs w:val="24"/>
          <w:lang w:val="en-US"/>
        </w:rPr>
        <w:t xml:space="preserve"> and</w:t>
      </w:r>
      <w:r w:rsidRPr="006D0316">
        <w:rPr>
          <w:rFonts w:ascii="Times New Roman" w:eastAsia="Times" w:hAnsi="Times New Roman"/>
          <w:bCs/>
          <w:sz w:val="24"/>
          <w:szCs w:val="24"/>
          <w:lang w:val="en-US"/>
        </w:rPr>
        <w:t xml:space="preserve"> table</w:t>
      </w:r>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fluoropyridimine</w:t>
      </w:r>
      <w:proofErr w:type="spellEnd"/>
      <w:r>
        <w:rPr>
          <w:rFonts w:ascii="Times New Roman" w:eastAsia="Times" w:hAnsi="Times New Roman"/>
          <w:bCs/>
          <w:sz w:val="24"/>
          <w:szCs w:val="24"/>
          <w:lang w:val="en-US"/>
        </w:rPr>
        <w:t xml:space="preserve"> (5-FU, CAP, S-1) + irinotecan (I) </w:t>
      </w:r>
      <w:r w:rsidRPr="00362F44">
        <w:rPr>
          <w:rFonts w:ascii="Times New Roman" w:eastAsia="Times" w:hAnsi="Times New Roman"/>
          <w:b/>
          <w:bCs/>
          <w:sz w:val="24"/>
          <w:szCs w:val="24"/>
          <w:lang w:val="en-US"/>
        </w:rPr>
        <w:t>A.</w:t>
      </w:r>
      <w:r>
        <w:rPr>
          <w:rFonts w:ascii="Times New Roman" w:eastAsia="Times" w:hAnsi="Times New Roman"/>
          <w:bCs/>
          <w:sz w:val="24"/>
          <w:szCs w:val="24"/>
          <w:lang w:val="en-US"/>
        </w:rPr>
        <w:t xml:space="preserve"> 5FU-I, </w:t>
      </w:r>
      <w:r w:rsidRPr="00362F44">
        <w:rPr>
          <w:rFonts w:ascii="Times New Roman" w:eastAsia="Times" w:hAnsi="Times New Roman"/>
          <w:b/>
          <w:bCs/>
          <w:sz w:val="24"/>
          <w:szCs w:val="24"/>
          <w:lang w:val="en-US"/>
        </w:rPr>
        <w:t>B.</w:t>
      </w:r>
      <w:r>
        <w:rPr>
          <w:rFonts w:ascii="Times New Roman" w:eastAsia="Times" w:hAnsi="Times New Roman"/>
          <w:bCs/>
          <w:sz w:val="24"/>
          <w:szCs w:val="24"/>
          <w:lang w:val="en-US"/>
        </w:rPr>
        <w:t xml:space="preserve"> CAP-I, </w:t>
      </w:r>
      <w:r w:rsidRPr="00362F44">
        <w:rPr>
          <w:rFonts w:ascii="Times New Roman" w:eastAsia="Times" w:hAnsi="Times New Roman"/>
          <w:b/>
          <w:bCs/>
          <w:sz w:val="24"/>
          <w:szCs w:val="24"/>
          <w:lang w:val="en-US"/>
        </w:rPr>
        <w:t>C.</w:t>
      </w:r>
      <w:r>
        <w:rPr>
          <w:rFonts w:ascii="Times New Roman" w:eastAsia="Times" w:hAnsi="Times New Roman"/>
          <w:bCs/>
          <w:sz w:val="24"/>
          <w:szCs w:val="24"/>
          <w:lang w:val="en-US"/>
        </w:rPr>
        <w:t xml:space="preserve"> S1-I</w:t>
      </w:r>
    </w:p>
    <w:p w14:paraId="3F7EFABC" w14:textId="0A52E926"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t>A.</w:t>
      </w:r>
      <w:r>
        <w:rPr>
          <w:rFonts w:ascii="Times New Roman" w:eastAsia="Times" w:hAnsi="Times New Roman"/>
          <w:b/>
          <w:bCs/>
          <w:noProof/>
          <w:sz w:val="24"/>
          <w:szCs w:val="24"/>
          <w:lang w:eastAsia="zh-CN"/>
        </w:rPr>
        <w:drawing>
          <wp:inline distT="0" distB="0" distL="0" distR="0" wp14:anchorId="7454B0E9" wp14:editId="7013E1BD">
            <wp:extent cx="5752465" cy="3796030"/>
            <wp:effectExtent l="0" t="0" r="635" b="0"/>
            <wp:docPr id="49" name="Picture 49" descr="table_toxplot_5F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able_toxplot_5FU-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r>
        <w:rPr>
          <w:rFonts w:ascii="Times New Roman" w:eastAsia="Times" w:hAnsi="Times New Roman"/>
          <w:b/>
          <w:bCs/>
          <w:sz w:val="24"/>
          <w:szCs w:val="24"/>
          <w:lang w:val="en-US"/>
        </w:rPr>
        <w:lastRenderedPageBreak/>
        <w:t>B</w:t>
      </w:r>
      <w:r>
        <w:rPr>
          <w:rFonts w:ascii="Times New Roman" w:eastAsia="Times" w:hAnsi="Times New Roman"/>
          <w:b/>
          <w:bCs/>
          <w:noProof/>
          <w:sz w:val="24"/>
          <w:szCs w:val="24"/>
          <w:lang w:eastAsia="zh-CN"/>
        </w:rPr>
        <w:drawing>
          <wp:inline distT="0" distB="0" distL="0" distR="0" wp14:anchorId="45C7FCAE" wp14:editId="24358424">
            <wp:extent cx="5752465" cy="3796030"/>
            <wp:effectExtent l="0" t="0" r="635" b="0"/>
            <wp:docPr id="48" name="Picture 48" descr="table_toxplot_CA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able_toxplot_CAP-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p>
    <w:p w14:paraId="0565D8BD"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t>C.</w:t>
      </w:r>
      <w:r>
        <w:rPr>
          <w:rFonts w:ascii="Times New Roman" w:eastAsia="Times" w:hAnsi="Times New Roman"/>
          <w:b/>
          <w:bCs/>
          <w:noProof/>
          <w:sz w:val="24"/>
          <w:szCs w:val="24"/>
          <w:lang w:eastAsia="zh-CN"/>
        </w:rPr>
        <w:drawing>
          <wp:inline distT="0" distB="0" distL="0" distR="0" wp14:anchorId="341B2641" wp14:editId="109768E7">
            <wp:extent cx="5752465" cy="3796030"/>
            <wp:effectExtent l="0" t="0" r="635" b="0"/>
            <wp:docPr id="47" name="Picture 47" descr="table_toxplot_S1-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able_toxplot_S1-I"/>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p>
    <w:p w14:paraId="26AD667B" w14:textId="0EFF3B53" w:rsidR="00FD4465" w:rsidRPr="00FE24F8" w:rsidRDefault="00676FEF" w:rsidP="00FE24F8">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 xml:space="preserve">Supplementary figure </w:t>
      </w:r>
      <w:r w:rsidR="00362F44">
        <w:rPr>
          <w:rFonts w:ascii="Times New Roman" w:eastAsia="Times" w:hAnsi="Times New Roman"/>
          <w:b/>
          <w:bCs/>
          <w:sz w:val="24"/>
          <w:szCs w:val="24"/>
          <w:lang w:val="en-US"/>
        </w:rPr>
        <w:t>6</w:t>
      </w:r>
      <w:r>
        <w:rPr>
          <w:rFonts w:ascii="Times New Roman" w:eastAsia="Times" w:hAnsi="Times New Roman"/>
          <w:b/>
          <w:bCs/>
          <w:sz w:val="24"/>
          <w:szCs w:val="24"/>
          <w:lang w:val="en-US"/>
        </w:rPr>
        <w:t xml:space="preserve">A-B: </w:t>
      </w:r>
      <w:proofErr w:type="spellStart"/>
      <w:r w:rsidRPr="00DF1ED8">
        <w:rPr>
          <w:rFonts w:ascii="Times New Roman" w:eastAsia="Times" w:hAnsi="Times New Roman"/>
          <w:bCs/>
          <w:sz w:val="24"/>
          <w:szCs w:val="24"/>
          <w:lang w:val="en-US"/>
        </w:rPr>
        <w:t>TOXplot</w:t>
      </w:r>
      <w:proofErr w:type="spellEnd"/>
      <w:r w:rsidRPr="00DF1ED8">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barchart</w:t>
      </w:r>
      <w:proofErr w:type="spellEnd"/>
      <w:r w:rsidRPr="00DF1ED8">
        <w:rPr>
          <w:rFonts w:ascii="Times New Roman" w:eastAsia="Times" w:hAnsi="Times New Roman"/>
          <w:bCs/>
          <w:sz w:val="24"/>
          <w:szCs w:val="24"/>
          <w:lang w:val="en-US"/>
        </w:rPr>
        <w:t xml:space="preserve"> plot + table, </w:t>
      </w:r>
      <w:proofErr w:type="spellStart"/>
      <w:r w:rsidRPr="00DF1ED8">
        <w:rPr>
          <w:rFonts w:ascii="Times New Roman" w:eastAsia="Times" w:hAnsi="Times New Roman"/>
          <w:bCs/>
          <w:sz w:val="24"/>
          <w:szCs w:val="24"/>
          <w:lang w:val="en-US"/>
        </w:rPr>
        <w:t>fluoropyridimine</w:t>
      </w:r>
      <w:proofErr w:type="spellEnd"/>
      <w:r w:rsidRPr="00DF1ED8">
        <w:rPr>
          <w:rFonts w:ascii="Times New Roman" w:eastAsia="Times" w:hAnsi="Times New Roman"/>
          <w:bCs/>
          <w:sz w:val="24"/>
          <w:szCs w:val="24"/>
          <w:lang w:val="en-US"/>
        </w:rPr>
        <w:t xml:space="preserve"> (5-FU, S-1)</w:t>
      </w:r>
      <w:r>
        <w:rPr>
          <w:rFonts w:ascii="Times New Roman" w:eastAsia="Times" w:hAnsi="Times New Roman"/>
          <w:bCs/>
          <w:sz w:val="24"/>
          <w:szCs w:val="24"/>
          <w:lang w:val="en-US"/>
        </w:rPr>
        <w:t xml:space="preserve"> </w:t>
      </w:r>
      <w:r w:rsidRPr="00DF1ED8">
        <w:rPr>
          <w:rFonts w:ascii="Times New Roman" w:eastAsia="Times" w:hAnsi="Times New Roman"/>
          <w:bCs/>
          <w:sz w:val="24"/>
          <w:szCs w:val="24"/>
          <w:lang w:val="en-US"/>
        </w:rPr>
        <w:t xml:space="preserve">+ </w:t>
      </w:r>
      <w:r>
        <w:rPr>
          <w:rFonts w:ascii="Times New Roman" w:eastAsia="Times" w:hAnsi="Times New Roman"/>
          <w:bCs/>
          <w:sz w:val="24"/>
          <w:szCs w:val="24"/>
          <w:lang w:val="en-US"/>
        </w:rPr>
        <w:t>oxaliplatin (Ox</w:t>
      </w:r>
      <w:r w:rsidRPr="00362F44">
        <w:rPr>
          <w:rFonts w:ascii="Times New Roman" w:eastAsia="Times" w:hAnsi="Times New Roman"/>
          <w:b/>
          <w:bCs/>
          <w:sz w:val="24"/>
          <w:szCs w:val="24"/>
          <w:lang w:val="en-US"/>
        </w:rPr>
        <w:t>) A.</w:t>
      </w:r>
      <w:r>
        <w:rPr>
          <w:rFonts w:ascii="Times New Roman" w:eastAsia="Times" w:hAnsi="Times New Roman"/>
          <w:bCs/>
          <w:sz w:val="24"/>
          <w:szCs w:val="24"/>
          <w:lang w:val="en-US"/>
        </w:rPr>
        <w:t xml:space="preserve"> 5FU-OX. </w:t>
      </w:r>
      <w:r w:rsidR="005B0702" w:rsidRPr="00362F44">
        <w:rPr>
          <w:rFonts w:ascii="Times New Roman" w:eastAsia="Times" w:hAnsi="Times New Roman"/>
          <w:b/>
          <w:bCs/>
          <w:sz w:val="24"/>
          <w:szCs w:val="24"/>
          <w:lang w:val="en-US"/>
        </w:rPr>
        <w:t>B</w:t>
      </w:r>
      <w:r w:rsidRPr="00362F44">
        <w:rPr>
          <w:rFonts w:ascii="Times New Roman" w:eastAsia="Times" w:hAnsi="Times New Roman"/>
          <w:b/>
          <w:bCs/>
          <w:sz w:val="24"/>
          <w:szCs w:val="24"/>
          <w:lang w:val="en-US"/>
        </w:rPr>
        <w:t>.</w:t>
      </w:r>
      <w:r>
        <w:rPr>
          <w:rFonts w:ascii="Times New Roman" w:eastAsia="Times" w:hAnsi="Times New Roman"/>
          <w:bCs/>
          <w:sz w:val="24"/>
          <w:szCs w:val="24"/>
          <w:lang w:val="en-US"/>
        </w:rPr>
        <w:t xml:space="preserve"> S1-Ox</w:t>
      </w:r>
      <w:r>
        <w:rPr>
          <w:rFonts w:ascii="Times New Roman" w:eastAsia="Times" w:hAnsi="Times New Roman"/>
          <w:bCs/>
          <w:sz w:val="24"/>
          <w:szCs w:val="24"/>
          <w:lang w:val="en-US"/>
        </w:rPr>
        <w:br/>
      </w:r>
      <w:r w:rsidRPr="00676FEF">
        <w:rPr>
          <w:rFonts w:ascii="Times New Roman" w:eastAsia="Times" w:hAnsi="Times New Roman"/>
          <w:b/>
          <w:bCs/>
          <w:sz w:val="24"/>
          <w:szCs w:val="24"/>
          <w:lang w:val="en-US"/>
        </w:rPr>
        <w:t>A.</w:t>
      </w:r>
      <w:r w:rsidR="005B0702" w:rsidRPr="005B0702">
        <w:rPr>
          <w:rFonts w:ascii="Times New Roman" w:eastAsia="Times" w:hAnsi="Times New Roman"/>
          <w:b/>
          <w:bCs/>
          <w:noProof/>
          <w:sz w:val="24"/>
          <w:szCs w:val="24"/>
          <w:lang w:val="en-US" w:eastAsia="zh-CN"/>
        </w:rPr>
        <w:t xml:space="preserve"> </w:t>
      </w:r>
      <w:r w:rsidR="005B0702">
        <w:rPr>
          <w:rFonts w:ascii="Times New Roman" w:eastAsia="Times" w:hAnsi="Times New Roman"/>
          <w:b/>
          <w:bCs/>
          <w:noProof/>
          <w:sz w:val="24"/>
          <w:szCs w:val="24"/>
          <w:lang w:eastAsia="zh-CN"/>
        </w:rPr>
        <w:drawing>
          <wp:inline distT="0" distB="0" distL="0" distR="0" wp14:anchorId="0D5BDE15" wp14:editId="1863743E">
            <wp:extent cx="5752465" cy="3796030"/>
            <wp:effectExtent l="0" t="0" r="635" b="0"/>
            <wp:docPr id="46" name="Picture 46" descr="table_toxplot_5FU-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able_toxplot_5FU-Ox"/>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r w:rsidR="00FD4465">
        <w:rPr>
          <w:rFonts w:ascii="Times New Roman" w:eastAsia="Times" w:hAnsi="Times New Roman"/>
          <w:b/>
          <w:bCs/>
          <w:sz w:val="24"/>
          <w:szCs w:val="24"/>
          <w:lang w:val="en-US"/>
        </w:rPr>
        <w:lastRenderedPageBreak/>
        <w:t>B</w:t>
      </w:r>
      <w:r w:rsidR="005B0702">
        <w:rPr>
          <w:rFonts w:ascii="Times New Roman" w:eastAsia="Times" w:hAnsi="Times New Roman"/>
          <w:b/>
          <w:bCs/>
          <w:sz w:val="24"/>
          <w:szCs w:val="24"/>
          <w:lang w:val="en-US"/>
        </w:rPr>
        <w:t>.</w:t>
      </w:r>
      <w:r w:rsidR="005B0702">
        <w:rPr>
          <w:rFonts w:ascii="Times New Roman" w:eastAsia="Times" w:hAnsi="Times New Roman"/>
          <w:b/>
          <w:bCs/>
          <w:noProof/>
          <w:sz w:val="24"/>
          <w:szCs w:val="24"/>
          <w:lang w:eastAsia="zh-CN"/>
        </w:rPr>
        <w:drawing>
          <wp:inline distT="0" distB="0" distL="0" distR="0" wp14:anchorId="044777FB" wp14:editId="44D294F3">
            <wp:extent cx="5752465" cy="3796030"/>
            <wp:effectExtent l="0" t="0" r="635" b="0"/>
            <wp:docPr id="45" name="Picture 45" descr="table_toxplot_S1-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able_toxplot_S1-OX"/>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p>
    <w:p w14:paraId="5660611E" w14:textId="77777777" w:rsidR="005B0702" w:rsidRDefault="005B0702">
      <w:pPr>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65414DE7" w14:textId="6695915E" w:rsidR="00FD4465" w:rsidRDefault="00676FEF"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 xml:space="preserve">Supplementary figure </w:t>
      </w:r>
      <w:r w:rsidR="00362F44">
        <w:rPr>
          <w:rFonts w:ascii="Times New Roman" w:eastAsia="Times" w:hAnsi="Times New Roman"/>
          <w:b/>
          <w:bCs/>
          <w:sz w:val="24"/>
          <w:szCs w:val="24"/>
          <w:lang w:val="en-US"/>
        </w:rPr>
        <w:t>7</w:t>
      </w:r>
      <w:r>
        <w:rPr>
          <w:rFonts w:ascii="Times New Roman" w:eastAsia="Times" w:hAnsi="Times New Roman"/>
          <w:b/>
          <w:bCs/>
          <w:sz w:val="24"/>
          <w:szCs w:val="24"/>
          <w:lang w:val="en-US"/>
        </w:rPr>
        <w:t xml:space="preserve">A-D: </w:t>
      </w:r>
      <w:proofErr w:type="spellStart"/>
      <w:r w:rsidRPr="006D0316">
        <w:rPr>
          <w:rFonts w:ascii="Times New Roman" w:eastAsia="Times" w:hAnsi="Times New Roman"/>
          <w:bCs/>
          <w:sz w:val="24"/>
          <w:szCs w:val="24"/>
          <w:lang w:val="en-US"/>
        </w:rPr>
        <w:t>TOXplot</w:t>
      </w:r>
      <w:proofErr w:type="spellEnd"/>
      <w:r w:rsidRPr="006D0316">
        <w:rPr>
          <w:rFonts w:ascii="Times New Roman" w:eastAsia="Times" w:hAnsi="Times New Roman"/>
          <w:bCs/>
          <w:sz w:val="24"/>
          <w:szCs w:val="24"/>
          <w:lang w:val="en-US"/>
        </w:rPr>
        <w:t xml:space="preserve"> </w:t>
      </w:r>
      <w:proofErr w:type="spellStart"/>
      <w:r w:rsidRPr="006D0316">
        <w:rPr>
          <w:rFonts w:ascii="Times New Roman" w:eastAsia="Times" w:hAnsi="Times New Roman"/>
          <w:bCs/>
          <w:sz w:val="24"/>
          <w:szCs w:val="24"/>
          <w:lang w:val="en-US"/>
        </w:rPr>
        <w:t>barchart</w:t>
      </w:r>
      <w:proofErr w:type="spellEnd"/>
      <w:r w:rsidRPr="006D0316">
        <w:rPr>
          <w:rFonts w:ascii="Times New Roman" w:eastAsia="Times" w:hAnsi="Times New Roman"/>
          <w:bCs/>
          <w:sz w:val="24"/>
          <w:szCs w:val="24"/>
          <w:lang w:val="en-US"/>
        </w:rPr>
        <w:t xml:space="preserve"> + table</w:t>
      </w:r>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fluoropyridimine</w:t>
      </w:r>
      <w:proofErr w:type="spellEnd"/>
      <w:r>
        <w:rPr>
          <w:rFonts w:ascii="Times New Roman" w:eastAsia="Times" w:hAnsi="Times New Roman"/>
          <w:bCs/>
          <w:sz w:val="24"/>
          <w:szCs w:val="24"/>
          <w:lang w:val="en-US"/>
        </w:rPr>
        <w:t xml:space="preserve"> (5-FU, S-1) + </w:t>
      </w:r>
      <w:proofErr w:type="spellStart"/>
      <w:r>
        <w:rPr>
          <w:rFonts w:ascii="Times New Roman" w:eastAsia="Times" w:hAnsi="Times New Roman"/>
          <w:bCs/>
          <w:sz w:val="24"/>
          <w:szCs w:val="24"/>
          <w:lang w:val="en-US"/>
        </w:rPr>
        <w:t>taxane</w:t>
      </w:r>
      <w:proofErr w:type="spellEnd"/>
      <w:r>
        <w:rPr>
          <w:rFonts w:ascii="Times New Roman" w:eastAsia="Times" w:hAnsi="Times New Roman"/>
          <w:bCs/>
          <w:sz w:val="24"/>
          <w:szCs w:val="24"/>
          <w:lang w:val="en-US"/>
        </w:rPr>
        <w:t xml:space="preserve"> (DTX=docetaxel, PTX = paclitaxel) </w:t>
      </w:r>
      <w:r w:rsidRPr="005B0702">
        <w:rPr>
          <w:rFonts w:ascii="Times New Roman" w:eastAsia="Times" w:hAnsi="Times New Roman"/>
          <w:b/>
          <w:bCs/>
          <w:sz w:val="24"/>
          <w:szCs w:val="24"/>
          <w:lang w:val="en-US"/>
        </w:rPr>
        <w:t>A.</w:t>
      </w:r>
      <w:r>
        <w:rPr>
          <w:rFonts w:ascii="Times New Roman" w:eastAsia="Times" w:hAnsi="Times New Roman"/>
          <w:bCs/>
          <w:sz w:val="24"/>
          <w:szCs w:val="24"/>
          <w:lang w:val="en-US"/>
        </w:rPr>
        <w:t xml:space="preserve"> 5FU-DTX, </w:t>
      </w:r>
      <w:r w:rsidRPr="005B0702">
        <w:rPr>
          <w:rFonts w:ascii="Times New Roman" w:eastAsia="Times" w:hAnsi="Times New Roman"/>
          <w:b/>
          <w:bCs/>
          <w:sz w:val="24"/>
          <w:szCs w:val="24"/>
          <w:lang w:val="en-US"/>
        </w:rPr>
        <w:t>B.</w:t>
      </w:r>
      <w:r>
        <w:rPr>
          <w:rFonts w:ascii="Times New Roman" w:eastAsia="Times" w:hAnsi="Times New Roman"/>
          <w:bCs/>
          <w:sz w:val="24"/>
          <w:szCs w:val="24"/>
          <w:lang w:val="en-US"/>
        </w:rPr>
        <w:t xml:space="preserve"> 5FU-PTX, </w:t>
      </w:r>
      <w:r w:rsidRPr="005B0702">
        <w:rPr>
          <w:rFonts w:ascii="Times New Roman" w:eastAsia="Times" w:hAnsi="Times New Roman"/>
          <w:b/>
          <w:bCs/>
          <w:sz w:val="24"/>
          <w:szCs w:val="24"/>
          <w:lang w:val="en-US"/>
        </w:rPr>
        <w:t>C.</w:t>
      </w:r>
      <w:r>
        <w:rPr>
          <w:rFonts w:ascii="Times New Roman" w:eastAsia="Times" w:hAnsi="Times New Roman"/>
          <w:bCs/>
          <w:sz w:val="24"/>
          <w:szCs w:val="24"/>
          <w:lang w:val="en-US"/>
        </w:rPr>
        <w:t xml:space="preserve"> S1-DTX, D. S1-PTX</w:t>
      </w:r>
      <w:r>
        <w:rPr>
          <w:rFonts w:ascii="Times New Roman" w:eastAsia="Times" w:hAnsi="Times New Roman"/>
          <w:b/>
          <w:bCs/>
          <w:sz w:val="24"/>
          <w:szCs w:val="24"/>
          <w:lang w:val="en-US"/>
        </w:rPr>
        <w:br/>
      </w:r>
      <w:r w:rsidR="00FD4465">
        <w:rPr>
          <w:rFonts w:ascii="Times New Roman" w:eastAsia="Times" w:hAnsi="Times New Roman"/>
          <w:b/>
          <w:bCs/>
          <w:sz w:val="24"/>
          <w:szCs w:val="24"/>
          <w:lang w:val="en-US"/>
        </w:rPr>
        <w:t>A.</w:t>
      </w:r>
      <w:r w:rsidR="00FD4465">
        <w:rPr>
          <w:rFonts w:ascii="Times New Roman" w:eastAsia="Times" w:hAnsi="Times New Roman"/>
          <w:b/>
          <w:bCs/>
          <w:noProof/>
          <w:sz w:val="24"/>
          <w:szCs w:val="24"/>
          <w:lang w:eastAsia="zh-CN"/>
        </w:rPr>
        <w:drawing>
          <wp:inline distT="0" distB="0" distL="0" distR="0" wp14:anchorId="533E1717" wp14:editId="1008B7AF">
            <wp:extent cx="5752465" cy="3796030"/>
            <wp:effectExtent l="0" t="0" r="635" b="0"/>
            <wp:docPr id="44" name="Picture 44" descr="table_toxplot_5FU-D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able_toxplot_5FU-DTX"/>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r w:rsidR="00FD4465">
        <w:rPr>
          <w:rFonts w:ascii="Times New Roman" w:eastAsia="Times" w:hAnsi="Times New Roman"/>
          <w:b/>
          <w:bCs/>
          <w:sz w:val="24"/>
          <w:szCs w:val="24"/>
          <w:lang w:val="en-US"/>
        </w:rPr>
        <w:lastRenderedPageBreak/>
        <w:t>B.</w:t>
      </w:r>
      <w:r w:rsidR="00FD4465">
        <w:rPr>
          <w:rFonts w:ascii="Times New Roman" w:eastAsia="Times" w:hAnsi="Times New Roman"/>
          <w:b/>
          <w:bCs/>
          <w:noProof/>
          <w:sz w:val="24"/>
          <w:szCs w:val="24"/>
          <w:lang w:eastAsia="zh-CN"/>
        </w:rPr>
        <w:drawing>
          <wp:inline distT="0" distB="0" distL="0" distR="0" wp14:anchorId="397B5E63" wp14:editId="4CE0BD14">
            <wp:extent cx="5752465" cy="3796030"/>
            <wp:effectExtent l="0" t="0" r="635" b="0"/>
            <wp:docPr id="43" name="Picture 43" descr="table_toxplot_5FU-P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able_toxplot_5FU-PTX"/>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p>
    <w:p w14:paraId="1556933A" w14:textId="77777777" w:rsidR="00FE24F8" w:rsidRDefault="00FD4465" w:rsidP="00676FEF">
      <w:pPr>
        <w:spacing w:line="480" w:lineRule="auto"/>
        <w:rPr>
          <w:rFonts w:ascii="Times New Roman" w:eastAsia="Times" w:hAnsi="Times New Roman"/>
          <w:b/>
          <w:bCs/>
          <w:noProof/>
          <w:sz w:val="24"/>
          <w:szCs w:val="24"/>
          <w:lang w:val="en-US" w:eastAsia="zh-CN"/>
        </w:rPr>
      </w:pPr>
      <w:r>
        <w:rPr>
          <w:rFonts w:ascii="Times New Roman" w:eastAsia="Times" w:hAnsi="Times New Roman"/>
          <w:b/>
          <w:bCs/>
          <w:sz w:val="24"/>
          <w:szCs w:val="24"/>
          <w:lang w:val="en-US"/>
        </w:rPr>
        <w:t>C.</w:t>
      </w:r>
      <w:r>
        <w:rPr>
          <w:rFonts w:ascii="Times New Roman" w:eastAsia="Times" w:hAnsi="Times New Roman"/>
          <w:b/>
          <w:bCs/>
          <w:noProof/>
          <w:sz w:val="24"/>
          <w:szCs w:val="24"/>
          <w:lang w:eastAsia="zh-CN"/>
        </w:rPr>
        <w:drawing>
          <wp:inline distT="0" distB="0" distL="0" distR="0" wp14:anchorId="64C27C2F" wp14:editId="142301B3">
            <wp:extent cx="5752465" cy="3796030"/>
            <wp:effectExtent l="0" t="0" r="635" b="0"/>
            <wp:docPr id="42" name="Picture 42" descr="table_toxplot_S1-D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able_toxplot_S1-DTX"/>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r w:rsidR="00FE24F8">
        <w:rPr>
          <w:rFonts w:ascii="Times New Roman" w:eastAsia="Times" w:hAnsi="Times New Roman"/>
          <w:b/>
          <w:bCs/>
          <w:sz w:val="24"/>
          <w:szCs w:val="24"/>
          <w:lang w:val="en-US"/>
        </w:rPr>
        <w:br w:type="page"/>
      </w:r>
    </w:p>
    <w:p w14:paraId="355AD8A9" w14:textId="77777777" w:rsidR="00FD4465" w:rsidRDefault="00FE24F8" w:rsidP="00FE24F8">
      <w:pPr>
        <w:spacing w:after="0" w:line="480" w:lineRule="auto"/>
        <w:rPr>
          <w:rFonts w:ascii="Times New Roman" w:eastAsia="Times" w:hAnsi="Times New Roman"/>
          <w:b/>
          <w:bCs/>
          <w:noProof/>
          <w:sz w:val="24"/>
          <w:szCs w:val="24"/>
          <w:lang w:val="en-US" w:eastAsia="zh-CN"/>
        </w:rPr>
      </w:pPr>
      <w:r>
        <w:rPr>
          <w:rFonts w:ascii="Times New Roman" w:eastAsia="Times" w:hAnsi="Times New Roman"/>
          <w:b/>
          <w:bCs/>
          <w:sz w:val="24"/>
          <w:szCs w:val="24"/>
          <w:lang w:val="en-US"/>
        </w:rPr>
        <w:lastRenderedPageBreak/>
        <w:t>D.</w:t>
      </w:r>
      <w:r w:rsidR="00FD4465">
        <w:rPr>
          <w:rFonts w:ascii="Times New Roman" w:eastAsia="Times" w:hAnsi="Times New Roman"/>
          <w:b/>
          <w:bCs/>
          <w:noProof/>
          <w:sz w:val="24"/>
          <w:szCs w:val="24"/>
          <w:lang w:eastAsia="zh-CN"/>
        </w:rPr>
        <w:drawing>
          <wp:inline distT="0" distB="0" distL="0" distR="0" wp14:anchorId="1E04F5B7" wp14:editId="3F531E1C">
            <wp:extent cx="5752465" cy="3796030"/>
            <wp:effectExtent l="0" t="0" r="635" b="0"/>
            <wp:docPr id="41" name="Picture 41" descr="table_toxplot_S1-P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table_toxplot_S1-PTX"/>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r w:rsidR="00FD4465" w:rsidRPr="00B24BB4">
        <w:rPr>
          <w:rFonts w:ascii="Times New Roman" w:eastAsia="Times" w:hAnsi="Times New Roman"/>
          <w:b/>
          <w:bCs/>
          <w:sz w:val="24"/>
          <w:szCs w:val="24"/>
          <w:lang w:val="en-US"/>
        </w:rPr>
        <w:t xml:space="preserve"> </w:t>
      </w:r>
    </w:p>
    <w:p w14:paraId="793694E5" w14:textId="77777777" w:rsidR="00676FEF" w:rsidRDefault="00676FEF">
      <w:pPr>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3DFB1CAA" w14:textId="1D723F3C" w:rsidR="00FD4465" w:rsidRDefault="00676FEF" w:rsidP="00676FEF">
      <w:pPr>
        <w:spacing w:before="240" w:after="0" w:line="480" w:lineRule="auto"/>
        <w:rPr>
          <w:rFonts w:ascii="Times New Roman" w:eastAsia="Times" w:hAnsi="Times New Roman"/>
          <w:b/>
          <w:bCs/>
          <w:sz w:val="24"/>
          <w:szCs w:val="24"/>
          <w:lang w:val="en-US"/>
        </w:rPr>
      </w:pPr>
      <w:r>
        <w:rPr>
          <w:rFonts w:ascii="Times New Roman" w:eastAsia="Times" w:hAnsi="Times New Roman"/>
          <w:b/>
          <w:bCs/>
          <w:noProof/>
          <w:sz w:val="24"/>
          <w:szCs w:val="24"/>
          <w:lang w:eastAsia="zh-CN"/>
        </w:rPr>
        <w:lastRenderedPageBreak/>
        <w:drawing>
          <wp:anchor distT="0" distB="0" distL="114300" distR="114300" simplePos="0" relativeHeight="251626496" behindDoc="1" locked="0" layoutInCell="1" allowOverlap="1" wp14:anchorId="72B6ED96" wp14:editId="6EC59664">
            <wp:simplePos x="0" y="0"/>
            <wp:positionH relativeFrom="column">
              <wp:posOffset>-2540</wp:posOffset>
            </wp:positionH>
            <wp:positionV relativeFrom="paragraph">
              <wp:posOffset>912302</wp:posOffset>
            </wp:positionV>
            <wp:extent cx="5752465" cy="3796030"/>
            <wp:effectExtent l="0" t="0" r="635" b="0"/>
            <wp:wrapTight wrapText="bothSides">
              <wp:wrapPolygon edited="0">
                <wp:start x="0" y="0"/>
                <wp:lineTo x="0" y="21463"/>
                <wp:lineTo x="21531" y="21463"/>
                <wp:lineTo x="21531" y="0"/>
                <wp:lineTo x="0" y="0"/>
              </wp:wrapPolygon>
            </wp:wrapTight>
            <wp:docPr id="40" name="Picture 40" descr="table_toxplot_C-5F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able_toxplot_C-5FU"/>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w:hAnsi="Times New Roman"/>
          <w:b/>
          <w:bCs/>
          <w:sz w:val="24"/>
          <w:szCs w:val="24"/>
          <w:lang w:val="en-US"/>
        </w:rPr>
        <w:t xml:space="preserve">Supplementary figure </w:t>
      </w:r>
      <w:r w:rsidR="00362F44">
        <w:rPr>
          <w:rFonts w:ascii="Times New Roman" w:eastAsia="Times" w:hAnsi="Times New Roman"/>
          <w:b/>
          <w:bCs/>
          <w:sz w:val="24"/>
          <w:szCs w:val="24"/>
          <w:lang w:val="en-US"/>
        </w:rPr>
        <w:t>8</w:t>
      </w:r>
      <w:r>
        <w:rPr>
          <w:rFonts w:ascii="Times New Roman" w:eastAsia="Times" w:hAnsi="Times New Roman"/>
          <w:b/>
          <w:bCs/>
          <w:sz w:val="24"/>
          <w:szCs w:val="24"/>
          <w:lang w:val="en-US"/>
        </w:rPr>
        <w:t xml:space="preserve">A-C: </w:t>
      </w:r>
      <w:proofErr w:type="spellStart"/>
      <w:r w:rsidRPr="006D0316">
        <w:rPr>
          <w:rFonts w:ascii="Times New Roman" w:eastAsia="Times" w:hAnsi="Times New Roman"/>
          <w:bCs/>
          <w:sz w:val="24"/>
          <w:szCs w:val="24"/>
          <w:lang w:val="en-US"/>
        </w:rPr>
        <w:t>TOXplot</w:t>
      </w:r>
      <w:proofErr w:type="spellEnd"/>
      <w:r w:rsidRPr="006D0316">
        <w:rPr>
          <w:rFonts w:ascii="Times New Roman" w:eastAsia="Times" w:hAnsi="Times New Roman"/>
          <w:bCs/>
          <w:sz w:val="24"/>
          <w:szCs w:val="24"/>
          <w:lang w:val="en-US"/>
        </w:rPr>
        <w:t xml:space="preserve"> </w:t>
      </w:r>
      <w:proofErr w:type="spellStart"/>
      <w:r w:rsidRPr="006D0316">
        <w:rPr>
          <w:rFonts w:ascii="Times New Roman" w:eastAsia="Times" w:hAnsi="Times New Roman"/>
          <w:bCs/>
          <w:sz w:val="24"/>
          <w:szCs w:val="24"/>
          <w:lang w:val="en-US"/>
        </w:rPr>
        <w:t>barchart</w:t>
      </w:r>
      <w:proofErr w:type="spellEnd"/>
      <w:r w:rsidRPr="006D0316">
        <w:rPr>
          <w:rFonts w:ascii="Times New Roman" w:eastAsia="Times" w:hAnsi="Times New Roman"/>
          <w:bCs/>
          <w:sz w:val="24"/>
          <w:szCs w:val="24"/>
          <w:lang w:val="en-US"/>
        </w:rPr>
        <w:t xml:space="preserve"> </w:t>
      </w:r>
      <w:r>
        <w:rPr>
          <w:rFonts w:ascii="Times New Roman" w:eastAsia="Times" w:hAnsi="Times New Roman"/>
          <w:bCs/>
          <w:sz w:val="24"/>
          <w:szCs w:val="24"/>
          <w:lang w:val="en-US"/>
        </w:rPr>
        <w:t>and</w:t>
      </w:r>
      <w:r w:rsidRPr="006D0316">
        <w:rPr>
          <w:rFonts w:ascii="Times New Roman" w:eastAsia="Times" w:hAnsi="Times New Roman"/>
          <w:bCs/>
          <w:sz w:val="24"/>
          <w:szCs w:val="24"/>
          <w:lang w:val="en-US"/>
        </w:rPr>
        <w:t xml:space="preserve"> table</w:t>
      </w:r>
      <w:r>
        <w:rPr>
          <w:rFonts w:ascii="Times New Roman" w:eastAsia="Times" w:hAnsi="Times New Roman"/>
          <w:bCs/>
          <w:sz w:val="24"/>
          <w:szCs w:val="24"/>
          <w:lang w:val="en-US"/>
        </w:rPr>
        <w:t xml:space="preserve">, cisplatin (C) + fluoropyrimidine (5-FU, CAP, S-1) </w:t>
      </w:r>
      <w:r w:rsidRPr="005B0702">
        <w:rPr>
          <w:rFonts w:ascii="Times New Roman" w:eastAsia="Times" w:hAnsi="Times New Roman"/>
          <w:b/>
          <w:bCs/>
          <w:sz w:val="24"/>
          <w:szCs w:val="24"/>
          <w:lang w:val="en-US"/>
        </w:rPr>
        <w:t>A.</w:t>
      </w:r>
      <w:r>
        <w:rPr>
          <w:rFonts w:ascii="Times New Roman" w:eastAsia="Times" w:hAnsi="Times New Roman"/>
          <w:bCs/>
          <w:sz w:val="24"/>
          <w:szCs w:val="24"/>
          <w:lang w:val="en-US"/>
        </w:rPr>
        <w:t xml:space="preserve"> C-5FU, </w:t>
      </w:r>
      <w:r w:rsidRPr="005B0702">
        <w:rPr>
          <w:rFonts w:ascii="Times New Roman" w:eastAsia="Times" w:hAnsi="Times New Roman"/>
          <w:b/>
          <w:bCs/>
          <w:sz w:val="24"/>
          <w:szCs w:val="24"/>
          <w:lang w:val="en-US"/>
        </w:rPr>
        <w:t>B.</w:t>
      </w:r>
      <w:r>
        <w:rPr>
          <w:rFonts w:ascii="Times New Roman" w:eastAsia="Times" w:hAnsi="Times New Roman"/>
          <w:bCs/>
          <w:sz w:val="24"/>
          <w:szCs w:val="24"/>
          <w:lang w:val="en-US"/>
        </w:rPr>
        <w:t xml:space="preserve"> C-CAP, </w:t>
      </w:r>
      <w:r w:rsidRPr="005B0702">
        <w:rPr>
          <w:rFonts w:ascii="Times New Roman" w:eastAsia="Times" w:hAnsi="Times New Roman"/>
          <w:b/>
          <w:bCs/>
          <w:sz w:val="24"/>
          <w:szCs w:val="24"/>
          <w:lang w:val="en-US"/>
        </w:rPr>
        <w:t>C.</w:t>
      </w:r>
      <w:r>
        <w:rPr>
          <w:rFonts w:ascii="Times New Roman" w:eastAsia="Times" w:hAnsi="Times New Roman"/>
          <w:bCs/>
          <w:sz w:val="24"/>
          <w:szCs w:val="24"/>
          <w:lang w:val="en-US"/>
        </w:rPr>
        <w:t xml:space="preserve"> C-S1 </w:t>
      </w:r>
      <w:r>
        <w:rPr>
          <w:rFonts w:ascii="Times New Roman" w:eastAsia="Times" w:hAnsi="Times New Roman"/>
          <w:b/>
          <w:bCs/>
          <w:sz w:val="24"/>
          <w:szCs w:val="24"/>
          <w:lang w:val="en-US"/>
        </w:rPr>
        <w:br/>
      </w:r>
      <w:r w:rsidR="00FD4465">
        <w:rPr>
          <w:rFonts w:ascii="Times New Roman" w:eastAsia="Times" w:hAnsi="Times New Roman"/>
          <w:b/>
          <w:bCs/>
          <w:sz w:val="24"/>
          <w:szCs w:val="24"/>
          <w:lang w:val="en-US"/>
        </w:rPr>
        <w:t>A.</w:t>
      </w:r>
    </w:p>
    <w:p w14:paraId="658768D1" w14:textId="77777777" w:rsidR="00FD4465" w:rsidRDefault="00FD4465" w:rsidP="00FD4465">
      <w:pPr>
        <w:spacing w:after="0" w:line="480" w:lineRule="auto"/>
        <w:rPr>
          <w:rFonts w:ascii="Times New Roman" w:eastAsia="Times" w:hAnsi="Times New Roman"/>
          <w:b/>
          <w:bCs/>
          <w:noProof/>
          <w:sz w:val="24"/>
          <w:szCs w:val="24"/>
          <w:lang w:val="en-US" w:eastAsia="zh-CN"/>
        </w:rPr>
      </w:pPr>
      <w:r>
        <w:rPr>
          <w:rFonts w:ascii="Times New Roman" w:eastAsia="Times" w:hAnsi="Times New Roman"/>
          <w:b/>
          <w:bCs/>
          <w:sz w:val="24"/>
          <w:szCs w:val="24"/>
          <w:lang w:val="en-US"/>
        </w:rPr>
        <w:t>B.</w:t>
      </w:r>
      <w:r>
        <w:rPr>
          <w:rFonts w:ascii="Times New Roman" w:eastAsia="Times" w:hAnsi="Times New Roman"/>
          <w:b/>
          <w:bCs/>
          <w:noProof/>
          <w:sz w:val="24"/>
          <w:szCs w:val="24"/>
          <w:lang w:eastAsia="zh-CN"/>
        </w:rPr>
        <w:drawing>
          <wp:inline distT="0" distB="0" distL="0" distR="0" wp14:anchorId="2D2760C2" wp14:editId="5AB7B1A4">
            <wp:extent cx="5752465" cy="3796030"/>
            <wp:effectExtent l="0" t="0" r="635" b="0"/>
            <wp:docPr id="39" name="Picture 39" descr="table_toxplot_C-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able_toxplot_C-C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p>
    <w:p w14:paraId="16CD0992" w14:textId="77777777" w:rsidR="00FD4465" w:rsidRDefault="00676FEF" w:rsidP="00FD4465">
      <w:pPr>
        <w:spacing w:line="480" w:lineRule="auto"/>
        <w:rPr>
          <w:rFonts w:ascii="Times New Roman" w:eastAsia="Times" w:hAnsi="Times New Roman"/>
          <w:b/>
          <w:bCs/>
          <w:sz w:val="24"/>
          <w:szCs w:val="24"/>
          <w:lang w:val="en-US"/>
        </w:rPr>
      </w:pPr>
      <w:r>
        <w:rPr>
          <w:rFonts w:ascii="Times New Roman" w:eastAsia="Times" w:hAnsi="Times New Roman"/>
          <w:b/>
          <w:bCs/>
          <w:noProof/>
          <w:sz w:val="24"/>
          <w:szCs w:val="24"/>
          <w:lang w:eastAsia="zh-CN"/>
        </w:rPr>
        <w:lastRenderedPageBreak/>
        <w:drawing>
          <wp:anchor distT="0" distB="0" distL="114300" distR="114300" simplePos="0" relativeHeight="251628544" behindDoc="1" locked="0" layoutInCell="1" allowOverlap="1" wp14:anchorId="5426BF23" wp14:editId="6D7F8465">
            <wp:simplePos x="0" y="0"/>
            <wp:positionH relativeFrom="column">
              <wp:posOffset>-2540</wp:posOffset>
            </wp:positionH>
            <wp:positionV relativeFrom="paragraph">
              <wp:posOffset>188319</wp:posOffset>
            </wp:positionV>
            <wp:extent cx="5752465" cy="3796030"/>
            <wp:effectExtent l="0" t="0" r="635" b="0"/>
            <wp:wrapTight wrapText="bothSides">
              <wp:wrapPolygon edited="0">
                <wp:start x="0" y="0"/>
                <wp:lineTo x="0" y="21463"/>
                <wp:lineTo x="21531" y="21463"/>
                <wp:lineTo x="21531" y="0"/>
                <wp:lineTo x="0" y="0"/>
              </wp:wrapPolygon>
            </wp:wrapTight>
            <wp:docPr id="38" name="Picture 38" descr="table_toxplot_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able_toxplot_C-S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14:sizeRelH relativeFrom="page">
              <wp14:pctWidth>0</wp14:pctWidth>
            </wp14:sizeRelH>
            <wp14:sizeRelV relativeFrom="page">
              <wp14:pctHeight>0</wp14:pctHeight>
            </wp14:sizeRelV>
          </wp:anchor>
        </w:drawing>
      </w:r>
      <w:r w:rsidR="00FE24F8">
        <w:rPr>
          <w:rFonts w:ascii="Times New Roman" w:eastAsia="Times" w:hAnsi="Times New Roman"/>
          <w:b/>
          <w:bCs/>
          <w:sz w:val="24"/>
          <w:szCs w:val="24"/>
          <w:lang w:val="en-US"/>
        </w:rPr>
        <w:t>C</w:t>
      </w:r>
      <w:r w:rsidR="00FD4465">
        <w:rPr>
          <w:rFonts w:ascii="Times New Roman" w:eastAsia="Times" w:hAnsi="Times New Roman"/>
          <w:b/>
          <w:bCs/>
          <w:sz w:val="24"/>
          <w:szCs w:val="24"/>
          <w:lang w:val="en-US"/>
        </w:rPr>
        <w:t>.</w:t>
      </w:r>
      <w:r w:rsidR="00FD4465" w:rsidRPr="00B24BB4">
        <w:rPr>
          <w:rFonts w:ascii="Times New Roman" w:eastAsia="Times" w:hAnsi="Times New Roman"/>
          <w:b/>
          <w:bCs/>
          <w:sz w:val="24"/>
          <w:szCs w:val="24"/>
          <w:lang w:val="en-US"/>
        </w:rPr>
        <w:t xml:space="preserve"> </w:t>
      </w:r>
    </w:p>
    <w:p w14:paraId="52F4F23E" w14:textId="77777777" w:rsidR="001B12BA" w:rsidRDefault="001B12BA">
      <w:pPr>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19FE03F3" w14:textId="252CB3CE" w:rsidR="001B12BA" w:rsidRDefault="001B12BA" w:rsidP="001B12BA">
      <w:pPr>
        <w:spacing w:before="240"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 xml:space="preserve">Supplementary figure </w:t>
      </w:r>
      <w:r w:rsidR="00362F44">
        <w:rPr>
          <w:rFonts w:ascii="Times New Roman" w:eastAsia="Times" w:hAnsi="Times New Roman"/>
          <w:b/>
          <w:bCs/>
          <w:sz w:val="24"/>
          <w:szCs w:val="24"/>
          <w:lang w:val="en-US"/>
        </w:rPr>
        <w:t>9</w:t>
      </w:r>
      <w:r>
        <w:rPr>
          <w:rFonts w:ascii="Times New Roman" w:eastAsia="Times" w:hAnsi="Times New Roman"/>
          <w:b/>
          <w:bCs/>
          <w:sz w:val="24"/>
          <w:szCs w:val="24"/>
          <w:lang w:val="en-US"/>
        </w:rPr>
        <w:t xml:space="preserve">: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barchart</w:t>
      </w:r>
      <w:proofErr w:type="spellEnd"/>
      <w:r>
        <w:rPr>
          <w:rFonts w:ascii="Times New Roman" w:eastAsia="Times" w:hAnsi="Times New Roman"/>
          <w:bCs/>
          <w:sz w:val="24"/>
          <w:szCs w:val="24"/>
          <w:lang w:val="en-US"/>
        </w:rPr>
        <w:t xml:space="preserve"> and</w:t>
      </w:r>
      <w:r w:rsidRPr="006D0316">
        <w:rPr>
          <w:rFonts w:ascii="Times New Roman" w:eastAsia="Times" w:hAnsi="Times New Roman"/>
          <w:bCs/>
          <w:sz w:val="24"/>
          <w:szCs w:val="24"/>
          <w:lang w:val="en-US"/>
        </w:rPr>
        <w:t xml:space="preserve"> table</w:t>
      </w:r>
      <w:r>
        <w:rPr>
          <w:rFonts w:ascii="Times New Roman" w:eastAsia="Times" w:hAnsi="Times New Roman"/>
          <w:bCs/>
          <w:sz w:val="24"/>
          <w:szCs w:val="24"/>
          <w:lang w:val="en-US"/>
        </w:rPr>
        <w:t xml:space="preserve">, cisplatin (C) + </w:t>
      </w:r>
      <w:proofErr w:type="spellStart"/>
      <w:r>
        <w:rPr>
          <w:rFonts w:ascii="Times New Roman" w:eastAsia="Times" w:hAnsi="Times New Roman"/>
          <w:bCs/>
          <w:sz w:val="24"/>
          <w:szCs w:val="24"/>
          <w:lang w:val="en-US"/>
        </w:rPr>
        <w:t>taxane</w:t>
      </w:r>
      <w:proofErr w:type="spellEnd"/>
      <w:r>
        <w:rPr>
          <w:rFonts w:ascii="Times New Roman" w:eastAsia="Times" w:hAnsi="Times New Roman"/>
          <w:bCs/>
          <w:sz w:val="24"/>
          <w:szCs w:val="24"/>
          <w:lang w:val="en-US"/>
        </w:rPr>
        <w:t xml:space="preserve"> (DTX)</w:t>
      </w:r>
    </w:p>
    <w:p w14:paraId="40EA496F" w14:textId="77777777" w:rsidR="00FD4465" w:rsidRDefault="001B12BA" w:rsidP="001B12BA">
      <w:pPr>
        <w:spacing w:after="0" w:line="480" w:lineRule="auto"/>
        <w:rPr>
          <w:rFonts w:ascii="Times New Roman" w:eastAsia="Times" w:hAnsi="Times New Roman"/>
          <w:b/>
          <w:bCs/>
          <w:sz w:val="24"/>
          <w:szCs w:val="24"/>
          <w:lang w:val="en-US"/>
        </w:rPr>
      </w:pPr>
      <w:r>
        <w:rPr>
          <w:rFonts w:ascii="Times New Roman" w:eastAsia="Times" w:hAnsi="Times New Roman"/>
          <w:b/>
          <w:bCs/>
          <w:noProof/>
          <w:sz w:val="24"/>
          <w:szCs w:val="24"/>
          <w:lang w:eastAsia="zh-CN"/>
        </w:rPr>
        <w:drawing>
          <wp:anchor distT="0" distB="0" distL="114300" distR="114300" simplePos="0" relativeHeight="251632640" behindDoc="1" locked="0" layoutInCell="1" allowOverlap="1" wp14:anchorId="5006F8FF" wp14:editId="368B3477">
            <wp:simplePos x="0" y="0"/>
            <wp:positionH relativeFrom="column">
              <wp:posOffset>-1905</wp:posOffset>
            </wp:positionH>
            <wp:positionV relativeFrom="paragraph">
              <wp:posOffset>237242</wp:posOffset>
            </wp:positionV>
            <wp:extent cx="5752465" cy="3796030"/>
            <wp:effectExtent l="0" t="0" r="635" b="0"/>
            <wp:wrapTight wrapText="bothSides">
              <wp:wrapPolygon edited="0">
                <wp:start x="0" y="0"/>
                <wp:lineTo x="0" y="21463"/>
                <wp:lineTo x="21531" y="21463"/>
                <wp:lineTo x="21531" y="0"/>
                <wp:lineTo x="0" y="0"/>
              </wp:wrapPolygon>
            </wp:wrapTight>
            <wp:docPr id="37" name="Picture 37" descr="table_toxplot_C-D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able_toxplot_C-DTX"/>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465">
        <w:rPr>
          <w:rFonts w:ascii="Times New Roman" w:eastAsia="Times" w:hAnsi="Times New Roman"/>
          <w:b/>
          <w:bCs/>
          <w:sz w:val="24"/>
          <w:szCs w:val="24"/>
          <w:lang w:val="en-US"/>
        </w:rPr>
        <w:br w:type="page"/>
      </w:r>
    </w:p>
    <w:p w14:paraId="770FFE17" w14:textId="12311D25" w:rsidR="001B12BA" w:rsidRDefault="001B12BA" w:rsidP="001B12BA">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 xml:space="preserve">Supplementary figure </w:t>
      </w:r>
      <w:r w:rsidR="00362F44">
        <w:rPr>
          <w:rFonts w:ascii="Times New Roman" w:eastAsia="Times" w:hAnsi="Times New Roman"/>
          <w:b/>
          <w:bCs/>
          <w:sz w:val="24"/>
          <w:szCs w:val="24"/>
          <w:lang w:val="en-US"/>
        </w:rPr>
        <w:t>10</w:t>
      </w:r>
      <w:r>
        <w:rPr>
          <w:rFonts w:ascii="Times New Roman" w:eastAsia="Times" w:hAnsi="Times New Roman"/>
          <w:b/>
          <w:bCs/>
          <w:sz w:val="24"/>
          <w:szCs w:val="24"/>
          <w:lang w:val="en-US"/>
        </w:rPr>
        <w:t xml:space="preserve">: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barchart</w:t>
      </w:r>
      <w:proofErr w:type="spellEnd"/>
      <w:r>
        <w:rPr>
          <w:rFonts w:ascii="Times New Roman" w:eastAsia="Times" w:hAnsi="Times New Roman"/>
          <w:bCs/>
          <w:sz w:val="24"/>
          <w:szCs w:val="24"/>
          <w:lang w:val="en-US"/>
        </w:rPr>
        <w:t xml:space="preserve"> and</w:t>
      </w:r>
      <w:r w:rsidRPr="006D0316">
        <w:rPr>
          <w:rFonts w:ascii="Times New Roman" w:eastAsia="Times" w:hAnsi="Times New Roman"/>
          <w:bCs/>
          <w:sz w:val="24"/>
          <w:szCs w:val="24"/>
          <w:lang w:val="en-US"/>
        </w:rPr>
        <w:t xml:space="preserve"> table</w:t>
      </w:r>
      <w:r>
        <w:rPr>
          <w:rFonts w:ascii="Times New Roman" w:eastAsia="Times" w:hAnsi="Times New Roman"/>
          <w:bCs/>
          <w:sz w:val="24"/>
          <w:szCs w:val="24"/>
          <w:lang w:val="en-US"/>
        </w:rPr>
        <w:t>, cisplatin (C) + irinotecan (I)</w:t>
      </w:r>
      <w:r w:rsidRPr="00AC0F22">
        <w:rPr>
          <w:rFonts w:ascii="Times New Roman" w:eastAsia="Times" w:hAnsi="Times New Roman"/>
          <w:bCs/>
          <w:sz w:val="24"/>
          <w:szCs w:val="24"/>
          <w:lang w:val="en-US"/>
        </w:rPr>
        <w:t xml:space="preserve"> </w:t>
      </w:r>
    </w:p>
    <w:p w14:paraId="3B939F3C" w14:textId="77777777" w:rsidR="00FD4465" w:rsidRDefault="00FD4465" w:rsidP="00FD4465">
      <w:pPr>
        <w:spacing w:line="480" w:lineRule="auto"/>
        <w:rPr>
          <w:rFonts w:ascii="Times New Roman" w:eastAsia="Times" w:hAnsi="Times New Roman"/>
          <w:bCs/>
          <w:sz w:val="24"/>
          <w:szCs w:val="24"/>
          <w:lang w:val="en-US"/>
        </w:rPr>
      </w:pPr>
      <w:r>
        <w:rPr>
          <w:rFonts w:ascii="Times New Roman" w:eastAsia="Times" w:hAnsi="Times New Roman"/>
          <w:bCs/>
          <w:noProof/>
          <w:sz w:val="24"/>
          <w:szCs w:val="24"/>
          <w:lang w:eastAsia="zh-CN"/>
        </w:rPr>
        <w:drawing>
          <wp:anchor distT="0" distB="0" distL="114300" distR="114300" simplePos="0" relativeHeight="251633664" behindDoc="1" locked="0" layoutInCell="1" allowOverlap="1" wp14:anchorId="15688D4E" wp14:editId="6701952B">
            <wp:simplePos x="0" y="0"/>
            <wp:positionH relativeFrom="column">
              <wp:posOffset>-1905</wp:posOffset>
            </wp:positionH>
            <wp:positionV relativeFrom="paragraph">
              <wp:posOffset>387709</wp:posOffset>
            </wp:positionV>
            <wp:extent cx="5752465" cy="3794125"/>
            <wp:effectExtent l="0" t="0" r="635" b="0"/>
            <wp:wrapTight wrapText="bothSides">
              <wp:wrapPolygon edited="0">
                <wp:start x="0" y="0"/>
                <wp:lineTo x="0" y="21473"/>
                <wp:lineTo x="21531" y="21473"/>
                <wp:lineTo x="21531" y="0"/>
                <wp:lineTo x="0" y="0"/>
              </wp:wrapPolygon>
            </wp:wrapTight>
            <wp:docPr id="64" name="Picture 64" descr="C:\Users\Loklam\AppData\Local\Microsoft\Windows\INetCache\Content.Word\table_toxplot_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Loklam\AppData\Local\Microsoft\Windows\INetCache\Content.Word\table_toxplot_CI.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52465" cy="3794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508369" w14:textId="77777777" w:rsidR="00FD4465"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10CE18FB" w14:textId="46A1621E" w:rsidR="001B12BA" w:rsidRDefault="005B0702" w:rsidP="001B12BA">
      <w:pPr>
        <w:spacing w:before="240" w:after="0" w:line="480" w:lineRule="auto"/>
        <w:rPr>
          <w:rFonts w:ascii="Times New Roman" w:eastAsia="Times" w:hAnsi="Times New Roman"/>
          <w:bCs/>
          <w:sz w:val="24"/>
          <w:szCs w:val="24"/>
          <w:lang w:val="en-US"/>
        </w:rPr>
      </w:pPr>
      <w:r>
        <w:rPr>
          <w:rFonts w:ascii="Times New Roman" w:eastAsia="Times" w:hAnsi="Times New Roman"/>
          <w:bCs/>
          <w:noProof/>
          <w:sz w:val="24"/>
          <w:szCs w:val="24"/>
          <w:lang w:eastAsia="zh-CN"/>
        </w:rPr>
        <w:lastRenderedPageBreak/>
        <w:drawing>
          <wp:anchor distT="0" distB="0" distL="114300" distR="114300" simplePos="0" relativeHeight="251634688" behindDoc="1" locked="0" layoutInCell="1" allowOverlap="1" wp14:anchorId="42C4766D" wp14:editId="43ABD859">
            <wp:simplePos x="0" y="0"/>
            <wp:positionH relativeFrom="margin">
              <wp:align>left</wp:align>
            </wp:positionH>
            <wp:positionV relativeFrom="paragraph">
              <wp:posOffset>759020</wp:posOffset>
            </wp:positionV>
            <wp:extent cx="5752465" cy="3796030"/>
            <wp:effectExtent l="0" t="0" r="635" b="0"/>
            <wp:wrapTight wrapText="bothSides">
              <wp:wrapPolygon edited="0">
                <wp:start x="0" y="0"/>
                <wp:lineTo x="0" y="21463"/>
                <wp:lineTo x="21531" y="21463"/>
                <wp:lineTo x="21531" y="0"/>
                <wp:lineTo x="0" y="0"/>
              </wp:wrapPolygon>
            </wp:wrapTight>
            <wp:docPr id="36" name="Picture 36" descr="table_toxplot_T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able_toxplot_TCF"/>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14:sizeRelH relativeFrom="page">
              <wp14:pctWidth>0</wp14:pctWidth>
            </wp14:sizeRelH>
            <wp14:sizeRelV relativeFrom="page">
              <wp14:pctHeight>0</wp14:pctHeight>
            </wp14:sizeRelV>
          </wp:anchor>
        </w:drawing>
      </w:r>
      <w:r w:rsidR="001B12BA">
        <w:rPr>
          <w:rFonts w:ascii="Times New Roman" w:eastAsia="Times" w:hAnsi="Times New Roman"/>
          <w:b/>
          <w:bCs/>
          <w:sz w:val="24"/>
          <w:szCs w:val="24"/>
          <w:lang w:val="en-US"/>
        </w:rPr>
        <w:t>Supplementary figure 1</w:t>
      </w:r>
      <w:r w:rsidR="00362F44">
        <w:rPr>
          <w:rFonts w:ascii="Times New Roman" w:eastAsia="Times" w:hAnsi="Times New Roman"/>
          <w:b/>
          <w:bCs/>
          <w:sz w:val="24"/>
          <w:szCs w:val="24"/>
          <w:lang w:val="en-US"/>
        </w:rPr>
        <w:t>1:</w:t>
      </w:r>
      <w:r w:rsidR="001B12BA">
        <w:rPr>
          <w:rFonts w:ascii="Times New Roman" w:eastAsia="Times" w:hAnsi="Times New Roman"/>
          <w:b/>
          <w:bCs/>
          <w:sz w:val="24"/>
          <w:szCs w:val="24"/>
          <w:lang w:val="en-US"/>
        </w:rPr>
        <w:t xml:space="preserve"> </w:t>
      </w:r>
      <w:proofErr w:type="spellStart"/>
      <w:r w:rsidR="001B12BA">
        <w:rPr>
          <w:rFonts w:ascii="Times New Roman" w:eastAsia="Times" w:hAnsi="Times New Roman"/>
          <w:bCs/>
          <w:sz w:val="24"/>
          <w:szCs w:val="24"/>
          <w:lang w:val="en-US"/>
        </w:rPr>
        <w:t>TOXplot</w:t>
      </w:r>
      <w:proofErr w:type="spellEnd"/>
      <w:r w:rsidR="001B12BA">
        <w:rPr>
          <w:rFonts w:ascii="Times New Roman" w:eastAsia="Times" w:hAnsi="Times New Roman"/>
          <w:bCs/>
          <w:sz w:val="24"/>
          <w:szCs w:val="24"/>
          <w:lang w:val="en-US"/>
        </w:rPr>
        <w:t xml:space="preserve"> </w:t>
      </w:r>
      <w:proofErr w:type="spellStart"/>
      <w:r w:rsidR="001B12BA">
        <w:rPr>
          <w:rFonts w:ascii="Times New Roman" w:eastAsia="Times" w:hAnsi="Times New Roman"/>
          <w:bCs/>
          <w:sz w:val="24"/>
          <w:szCs w:val="24"/>
          <w:lang w:val="en-US"/>
        </w:rPr>
        <w:t>barchart</w:t>
      </w:r>
      <w:proofErr w:type="spellEnd"/>
      <w:r w:rsidR="001B12BA">
        <w:rPr>
          <w:rFonts w:ascii="Times New Roman" w:eastAsia="Times" w:hAnsi="Times New Roman"/>
          <w:bCs/>
          <w:sz w:val="24"/>
          <w:szCs w:val="24"/>
          <w:lang w:val="en-US"/>
        </w:rPr>
        <w:t xml:space="preserve"> and</w:t>
      </w:r>
      <w:r w:rsidR="001B12BA" w:rsidRPr="006D0316">
        <w:rPr>
          <w:rFonts w:ascii="Times New Roman" w:eastAsia="Times" w:hAnsi="Times New Roman"/>
          <w:bCs/>
          <w:sz w:val="24"/>
          <w:szCs w:val="24"/>
          <w:lang w:val="en-US"/>
        </w:rPr>
        <w:t xml:space="preserve"> table</w:t>
      </w:r>
      <w:r w:rsidR="001B12BA">
        <w:rPr>
          <w:rFonts w:ascii="Times New Roman" w:eastAsia="Times" w:hAnsi="Times New Roman"/>
          <w:bCs/>
          <w:sz w:val="24"/>
          <w:szCs w:val="24"/>
          <w:lang w:val="en-US"/>
        </w:rPr>
        <w:t xml:space="preserve">, Docetaxel (T) + Cisplatin (C) + 5-Fluoruracil (F) (TCF). </w:t>
      </w:r>
    </w:p>
    <w:p w14:paraId="377F79ED" w14:textId="309FF3C2" w:rsidR="00FD4465" w:rsidRDefault="00FD4465" w:rsidP="005B0702">
      <w:pPr>
        <w:spacing w:line="480" w:lineRule="auto"/>
        <w:rPr>
          <w:rFonts w:ascii="Times New Roman" w:eastAsia="Times" w:hAnsi="Times New Roman"/>
          <w:b/>
          <w:bCs/>
          <w:sz w:val="24"/>
          <w:szCs w:val="24"/>
          <w:lang w:val="en-US"/>
        </w:rPr>
      </w:pPr>
    </w:p>
    <w:p w14:paraId="30755662" w14:textId="3CB86145" w:rsidR="00DF146C" w:rsidRPr="00BA62DB" w:rsidRDefault="00DF146C" w:rsidP="00DF146C">
      <w:pPr>
        <w:spacing w:line="480" w:lineRule="auto"/>
        <w:rPr>
          <w:lang w:val="en-US"/>
        </w:rPr>
      </w:pPr>
      <w:r>
        <w:rPr>
          <w:rFonts w:ascii="Times New Roman" w:eastAsia="Times" w:hAnsi="Times New Roman"/>
          <w:b/>
          <w:bCs/>
          <w:noProof/>
          <w:sz w:val="24"/>
          <w:szCs w:val="24"/>
          <w:lang w:eastAsia="zh-CN"/>
        </w:rPr>
        <w:lastRenderedPageBreak/>
        <mc:AlternateContent>
          <mc:Choice Requires="wpg">
            <w:drawing>
              <wp:anchor distT="0" distB="0" distL="114300" distR="114300" simplePos="0" relativeHeight="251661824" behindDoc="0" locked="0" layoutInCell="1" allowOverlap="1" wp14:anchorId="4ABFD6FB" wp14:editId="3CA734E0">
                <wp:simplePos x="0" y="0"/>
                <wp:positionH relativeFrom="column">
                  <wp:posOffset>-1905</wp:posOffset>
                </wp:positionH>
                <wp:positionV relativeFrom="paragraph">
                  <wp:posOffset>768737</wp:posOffset>
                </wp:positionV>
                <wp:extent cx="5760417" cy="7970465"/>
                <wp:effectExtent l="0" t="0" r="0" b="0"/>
                <wp:wrapTight wrapText="bothSides">
                  <wp:wrapPolygon edited="0">
                    <wp:start x="0" y="0"/>
                    <wp:lineTo x="0" y="10274"/>
                    <wp:lineTo x="10787" y="10739"/>
                    <wp:lineTo x="0" y="11255"/>
                    <wp:lineTo x="0" y="21529"/>
                    <wp:lineTo x="21502" y="21529"/>
                    <wp:lineTo x="21502" y="11255"/>
                    <wp:lineTo x="10787" y="10739"/>
                    <wp:lineTo x="21502" y="10274"/>
                    <wp:lineTo x="21502" y="0"/>
                    <wp:lineTo x="0" y="0"/>
                  </wp:wrapPolygon>
                </wp:wrapTight>
                <wp:docPr id="53" name="Groep 53"/>
                <wp:cNvGraphicFramePr/>
                <a:graphic xmlns:a="http://schemas.openxmlformats.org/drawingml/2006/main">
                  <a:graphicData uri="http://schemas.microsoft.com/office/word/2010/wordprocessingGroup">
                    <wpg:wgp>
                      <wpg:cNvGrpSpPr/>
                      <wpg:grpSpPr>
                        <a:xfrm>
                          <a:off x="0" y="0"/>
                          <a:ext cx="5760417" cy="7970465"/>
                          <a:chOff x="0" y="0"/>
                          <a:chExt cx="5760417" cy="7970465"/>
                        </a:xfrm>
                      </wpg:grpSpPr>
                      <pic:pic xmlns:pic="http://schemas.openxmlformats.org/drawingml/2006/picture">
                        <pic:nvPicPr>
                          <pic:cNvPr id="35" name="Picture 35" descr="table_toxplot_ECF"/>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pic:pic xmlns:pic="http://schemas.openxmlformats.org/drawingml/2006/picture">
                        <pic:nvPicPr>
                          <pic:cNvPr id="34" name="Picture 34" descr="table_toxplot_ECX"/>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7952" y="4174435"/>
                            <a:ext cx="5752465" cy="3796030"/>
                          </a:xfrm>
                          <a:prstGeom prst="rect">
                            <a:avLst/>
                          </a:prstGeom>
                          <a:noFill/>
                          <a:ln>
                            <a:noFill/>
                          </a:ln>
                        </pic:spPr>
                      </pic:pic>
                    </wpg:wgp>
                  </a:graphicData>
                </a:graphic>
              </wp:anchor>
            </w:drawing>
          </mc:Choice>
          <mc:Fallback>
            <w:pict>
              <v:group w14:anchorId="28DF72F9" id="Groep 53" o:spid="_x0000_s1026" style="position:absolute;margin-left:-.15pt;margin-top:60.55pt;width:453.6pt;height:627.6pt;z-index:251661824" coordsize="57604,797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7" type="#_x0000_t75" alt="table_toxplot_ECF" style="position:absolute;width:57524;height:37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">
                  <v:imagedata r:id="rId34" o:title="table_toxplot_ECF"/>
                </v:shape>
                <v:shape id="Picture 34" o:spid="_x0000_s1028" type="#_x0000_t75" alt="table_toxplot_ECX" style="position:absolute;left:79;top:41744;width:57525;height:37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">
                  <v:imagedata r:id="rId35" o:title="table_toxplot_ECX"/>
                </v:shape>
                <w10:wrap type="tight"/>
              </v:group>
            </w:pict>
          </mc:Fallback>
        </mc:AlternateContent>
      </w:r>
      <w:r w:rsidR="001B12BA">
        <w:rPr>
          <w:rFonts w:ascii="Times New Roman" w:eastAsia="Times" w:hAnsi="Times New Roman"/>
          <w:b/>
          <w:bCs/>
          <w:sz w:val="24"/>
          <w:szCs w:val="24"/>
          <w:lang w:val="en-US"/>
        </w:rPr>
        <w:t>Supplementary figure 1</w:t>
      </w:r>
      <w:r w:rsidR="00362F44">
        <w:rPr>
          <w:rFonts w:ascii="Times New Roman" w:eastAsia="Times" w:hAnsi="Times New Roman"/>
          <w:b/>
          <w:bCs/>
          <w:sz w:val="24"/>
          <w:szCs w:val="24"/>
          <w:lang w:val="en-US"/>
        </w:rPr>
        <w:t>2</w:t>
      </w:r>
      <w:r w:rsidR="001B12BA">
        <w:rPr>
          <w:rFonts w:ascii="Times New Roman" w:eastAsia="Times" w:hAnsi="Times New Roman"/>
          <w:b/>
          <w:bCs/>
          <w:sz w:val="24"/>
          <w:szCs w:val="24"/>
          <w:lang w:val="en-US"/>
        </w:rPr>
        <w:t xml:space="preserve">A+B: </w:t>
      </w:r>
      <w:proofErr w:type="spellStart"/>
      <w:r w:rsidR="001B12BA">
        <w:rPr>
          <w:rFonts w:ascii="Times New Roman" w:eastAsia="Times" w:hAnsi="Times New Roman"/>
          <w:bCs/>
          <w:sz w:val="24"/>
          <w:szCs w:val="24"/>
          <w:lang w:val="en-US"/>
        </w:rPr>
        <w:t>TOXplot</w:t>
      </w:r>
      <w:proofErr w:type="spellEnd"/>
      <w:r w:rsidR="001B12BA">
        <w:rPr>
          <w:rFonts w:ascii="Times New Roman" w:eastAsia="Times" w:hAnsi="Times New Roman"/>
          <w:bCs/>
          <w:sz w:val="24"/>
          <w:szCs w:val="24"/>
          <w:lang w:val="en-US"/>
        </w:rPr>
        <w:t xml:space="preserve"> </w:t>
      </w:r>
      <w:proofErr w:type="spellStart"/>
      <w:r w:rsidR="001B12BA">
        <w:rPr>
          <w:rFonts w:ascii="Times New Roman" w:eastAsia="Times" w:hAnsi="Times New Roman"/>
          <w:bCs/>
          <w:sz w:val="24"/>
          <w:szCs w:val="24"/>
          <w:lang w:val="en-US"/>
        </w:rPr>
        <w:t>barchart</w:t>
      </w:r>
      <w:proofErr w:type="spellEnd"/>
      <w:r w:rsidR="001B12BA">
        <w:rPr>
          <w:rFonts w:ascii="Times New Roman" w:eastAsia="Times" w:hAnsi="Times New Roman"/>
          <w:bCs/>
          <w:sz w:val="24"/>
          <w:szCs w:val="24"/>
          <w:lang w:val="en-US"/>
        </w:rPr>
        <w:t xml:space="preserve"> and</w:t>
      </w:r>
      <w:r w:rsidR="001B12BA" w:rsidRPr="006D0316">
        <w:rPr>
          <w:rFonts w:ascii="Times New Roman" w:eastAsia="Times" w:hAnsi="Times New Roman"/>
          <w:bCs/>
          <w:sz w:val="24"/>
          <w:szCs w:val="24"/>
          <w:lang w:val="en-US"/>
        </w:rPr>
        <w:t xml:space="preserve"> table</w:t>
      </w:r>
      <w:r w:rsidR="001B12BA">
        <w:rPr>
          <w:rFonts w:ascii="Times New Roman" w:eastAsia="Times" w:hAnsi="Times New Roman"/>
          <w:bCs/>
          <w:sz w:val="24"/>
          <w:szCs w:val="24"/>
          <w:lang w:val="en-US"/>
        </w:rPr>
        <w:t xml:space="preserve">, </w:t>
      </w:r>
      <w:proofErr w:type="spellStart"/>
      <w:r w:rsidR="001B12BA">
        <w:rPr>
          <w:rFonts w:ascii="Times New Roman" w:eastAsia="Times" w:hAnsi="Times New Roman"/>
          <w:bCs/>
          <w:sz w:val="24"/>
          <w:szCs w:val="24"/>
          <w:lang w:val="en-US"/>
        </w:rPr>
        <w:t>Anthracyclin</w:t>
      </w:r>
      <w:proofErr w:type="spellEnd"/>
      <w:r w:rsidR="001B12BA">
        <w:rPr>
          <w:rFonts w:ascii="Times New Roman" w:eastAsia="Times" w:hAnsi="Times New Roman"/>
          <w:bCs/>
          <w:sz w:val="24"/>
          <w:szCs w:val="24"/>
          <w:lang w:val="en-US"/>
        </w:rPr>
        <w:t xml:space="preserve"> (E=</w:t>
      </w:r>
      <w:proofErr w:type="spellStart"/>
      <w:r w:rsidR="001B12BA">
        <w:rPr>
          <w:rFonts w:ascii="Times New Roman" w:eastAsia="Times" w:hAnsi="Times New Roman"/>
          <w:bCs/>
          <w:sz w:val="24"/>
          <w:szCs w:val="24"/>
          <w:lang w:val="en-US"/>
        </w:rPr>
        <w:t>epirubicin</w:t>
      </w:r>
      <w:proofErr w:type="spellEnd"/>
      <w:r w:rsidR="001B12BA">
        <w:rPr>
          <w:rFonts w:ascii="Times New Roman" w:eastAsia="Times" w:hAnsi="Times New Roman"/>
          <w:bCs/>
          <w:sz w:val="24"/>
          <w:szCs w:val="24"/>
          <w:lang w:val="en-US"/>
        </w:rPr>
        <w:t>) + cisplatin (C) + fluoropyrimidine (F=5FU, X=CAP) A. ECF, B. ECX</w:t>
      </w:r>
      <w:r w:rsidR="001B12BA">
        <w:rPr>
          <w:rFonts w:ascii="Times New Roman" w:eastAsia="Times" w:hAnsi="Times New Roman"/>
          <w:bCs/>
          <w:sz w:val="24"/>
          <w:szCs w:val="24"/>
          <w:lang w:val="en-US"/>
        </w:rPr>
        <w:br/>
      </w:r>
    </w:p>
    <w:p w14:paraId="207FCCEA" w14:textId="0FE945C6" w:rsidR="000C43B0" w:rsidRDefault="00DF146C" w:rsidP="00FE24F8">
      <w:pPr>
        <w:spacing w:line="480" w:lineRule="auto"/>
        <w:rPr>
          <w:rFonts w:ascii="Times New Roman" w:eastAsia="Times" w:hAnsi="Times New Roman"/>
          <w:b/>
          <w:bCs/>
          <w:noProof/>
          <w:sz w:val="24"/>
          <w:szCs w:val="24"/>
          <w:lang w:val="en-US" w:eastAsia="zh-CN"/>
        </w:rPr>
      </w:pPr>
      <w:r w:rsidRPr="00DF146C">
        <w:rPr>
          <w:rFonts w:ascii="Times New Roman" w:eastAsia="Times" w:hAnsi="Times New Roman"/>
          <w:b/>
          <w:bCs/>
          <w:noProof/>
          <w:sz w:val="24"/>
          <w:szCs w:val="24"/>
          <w:lang w:eastAsia="zh-CN"/>
        </w:rPr>
        <w:lastRenderedPageBreak/>
        <mc:AlternateContent>
          <mc:Choice Requires="wps">
            <w:drawing>
              <wp:anchor distT="45720" distB="45720" distL="114300" distR="114300" simplePos="0" relativeHeight="251689984" behindDoc="0" locked="0" layoutInCell="1" allowOverlap="1" wp14:anchorId="75A4391B" wp14:editId="382FC8CE">
                <wp:simplePos x="0" y="0"/>
                <wp:positionH relativeFrom="column">
                  <wp:posOffset>-2375</wp:posOffset>
                </wp:positionH>
                <wp:positionV relativeFrom="paragraph">
                  <wp:posOffset>4919317</wp:posOffset>
                </wp:positionV>
                <wp:extent cx="317500" cy="341630"/>
                <wp:effectExtent l="0" t="0" r="6350" b="127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341630"/>
                        </a:xfrm>
                        <a:prstGeom prst="rect">
                          <a:avLst/>
                        </a:prstGeom>
                        <a:solidFill>
                          <a:srgbClr val="FFFFFF"/>
                        </a:solidFill>
                        <a:ln w="9525">
                          <a:noFill/>
                          <a:miter lim="800000"/>
                          <a:headEnd/>
                          <a:tailEnd/>
                        </a:ln>
                      </wps:spPr>
                      <wps:txbx>
                        <w:txbxContent>
                          <w:p w14:paraId="4403D667" w14:textId="77777777" w:rsidR="00DF4D7C" w:rsidRPr="00DF146C" w:rsidRDefault="00DF4D7C">
                            <w:pPr>
                              <w:rPr>
                                <w:rFonts w:ascii="Times New Roman" w:hAnsi="Times New Roman"/>
                                <w:b/>
                                <w:sz w:val="24"/>
                                <w:szCs w:val="24"/>
                              </w:rPr>
                            </w:pPr>
                            <w:r w:rsidRPr="00DF146C">
                              <w:rPr>
                                <w:rFonts w:ascii="Times New Roman" w:hAnsi="Times New Roman"/>
                                <w:b/>
                                <w:sz w:val="24"/>
                                <w:szCs w:val="24"/>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A4391B" id="Tekstvak 2" o:spid="_x0000_s1043" type="#_x0000_t202" style="position:absolute;margin-left:-.2pt;margin-top:387.35pt;width:25pt;height:26.9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" stroked="f">
                <v:textbox>
                  <w:txbxContent>
                    <w:p w14:paraId="4403D667" w14:textId="77777777" w:rsidR="00DF4D7C" w:rsidRPr="00DF146C" w:rsidRDefault="00DF4D7C">
                      <w:pPr>
                        <w:rPr>
                          <w:rFonts w:ascii="Times New Roman" w:hAnsi="Times New Roman"/>
                          <w:b/>
                          <w:sz w:val="24"/>
                          <w:szCs w:val="24"/>
                        </w:rPr>
                      </w:pPr>
                      <w:r w:rsidRPr="00DF146C">
                        <w:rPr>
                          <w:rFonts w:ascii="Times New Roman" w:hAnsi="Times New Roman"/>
                          <w:b/>
                          <w:sz w:val="24"/>
                          <w:szCs w:val="24"/>
                        </w:rPr>
                        <w:t>B.</w:t>
                      </w:r>
                    </w:p>
                  </w:txbxContent>
                </v:textbox>
                <w10:wrap type="square"/>
              </v:shape>
            </w:pict>
          </mc:Fallback>
        </mc:AlternateContent>
      </w:r>
      <w:r>
        <w:rPr>
          <w:rFonts w:ascii="Times New Roman" w:eastAsia="Times" w:hAnsi="Times New Roman"/>
          <w:b/>
          <w:bCs/>
          <w:noProof/>
          <w:sz w:val="24"/>
          <w:szCs w:val="24"/>
          <w:lang w:eastAsia="zh-CN"/>
        </w:rPr>
        <w:drawing>
          <wp:anchor distT="0" distB="0" distL="114300" distR="114300" simplePos="0" relativeHeight="251664384" behindDoc="1" locked="0" layoutInCell="1" allowOverlap="1" wp14:anchorId="1C375464" wp14:editId="11AD33BB">
            <wp:simplePos x="0" y="0"/>
            <wp:positionH relativeFrom="column">
              <wp:posOffset>-2540</wp:posOffset>
            </wp:positionH>
            <wp:positionV relativeFrom="paragraph">
              <wp:posOffset>5088144</wp:posOffset>
            </wp:positionV>
            <wp:extent cx="5752465" cy="3796030"/>
            <wp:effectExtent l="0" t="0" r="635" b="0"/>
            <wp:wrapTight wrapText="bothSides">
              <wp:wrapPolygon edited="0">
                <wp:start x="0" y="0"/>
                <wp:lineTo x="0" y="21463"/>
                <wp:lineTo x="21531" y="21463"/>
                <wp:lineTo x="21531" y="0"/>
                <wp:lineTo x="0" y="0"/>
              </wp:wrapPolygon>
            </wp:wrapTight>
            <wp:docPr id="32" name="Picture 32" descr="table_toxplot_E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able_toxplot_EOX"/>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w:hAnsi="Times New Roman"/>
          <w:b/>
          <w:bCs/>
          <w:noProof/>
          <w:sz w:val="24"/>
          <w:szCs w:val="24"/>
          <w:lang w:eastAsia="zh-CN"/>
        </w:rPr>
        <w:drawing>
          <wp:anchor distT="0" distB="0" distL="114300" distR="114300" simplePos="0" relativeHeight="251688960" behindDoc="1" locked="0" layoutInCell="1" allowOverlap="1" wp14:anchorId="3CA657A3" wp14:editId="547CE5B9">
            <wp:simplePos x="0" y="0"/>
            <wp:positionH relativeFrom="column">
              <wp:posOffset>-2540</wp:posOffset>
            </wp:positionH>
            <wp:positionV relativeFrom="paragraph">
              <wp:posOffset>887537</wp:posOffset>
            </wp:positionV>
            <wp:extent cx="5752465" cy="3796030"/>
            <wp:effectExtent l="0" t="0" r="635" b="0"/>
            <wp:wrapTight wrapText="bothSides">
              <wp:wrapPolygon edited="0">
                <wp:start x="0" y="0"/>
                <wp:lineTo x="0" y="21463"/>
                <wp:lineTo x="21531" y="21463"/>
                <wp:lineTo x="21531" y="0"/>
                <wp:lineTo x="0" y="0"/>
              </wp:wrapPolygon>
            </wp:wrapTight>
            <wp:docPr id="33" name="Picture 33" descr="table_toxplot_E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able_toxplot_EO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w:hAnsi="Times New Roman"/>
          <w:b/>
          <w:bCs/>
          <w:sz w:val="24"/>
          <w:szCs w:val="24"/>
          <w:lang w:val="en-US"/>
        </w:rPr>
        <w:t>Supplementary figure 1</w:t>
      </w:r>
      <w:r w:rsidR="00362F44">
        <w:rPr>
          <w:rFonts w:ascii="Times New Roman" w:eastAsia="Times" w:hAnsi="Times New Roman"/>
          <w:b/>
          <w:bCs/>
          <w:sz w:val="24"/>
          <w:szCs w:val="24"/>
          <w:lang w:val="en-US"/>
        </w:rPr>
        <w:t>3</w:t>
      </w:r>
      <w:r>
        <w:rPr>
          <w:rFonts w:ascii="Times New Roman" w:eastAsia="Times" w:hAnsi="Times New Roman"/>
          <w:b/>
          <w:bCs/>
          <w:sz w:val="24"/>
          <w:szCs w:val="24"/>
          <w:lang w:val="en-US"/>
        </w:rPr>
        <w:t xml:space="preserve">A+B: </w:t>
      </w:r>
      <w:proofErr w:type="spellStart"/>
      <w:r w:rsidRPr="006D0316">
        <w:rPr>
          <w:rFonts w:ascii="Times New Roman" w:eastAsia="Times" w:hAnsi="Times New Roman"/>
          <w:bCs/>
          <w:sz w:val="24"/>
          <w:szCs w:val="24"/>
          <w:lang w:val="en-US"/>
        </w:rPr>
        <w:t>TOXplot</w:t>
      </w:r>
      <w:proofErr w:type="spellEnd"/>
      <w:r w:rsidRPr="006D0316">
        <w:rPr>
          <w:rFonts w:ascii="Times New Roman" w:eastAsia="Times" w:hAnsi="Times New Roman"/>
          <w:bCs/>
          <w:sz w:val="24"/>
          <w:szCs w:val="24"/>
          <w:lang w:val="en-US"/>
        </w:rPr>
        <w:t xml:space="preserve"> </w:t>
      </w:r>
      <w:proofErr w:type="spellStart"/>
      <w:r w:rsidRPr="006D0316">
        <w:rPr>
          <w:rFonts w:ascii="Times New Roman" w:eastAsia="Times" w:hAnsi="Times New Roman"/>
          <w:bCs/>
          <w:sz w:val="24"/>
          <w:szCs w:val="24"/>
          <w:lang w:val="en-US"/>
        </w:rPr>
        <w:t>barchart</w:t>
      </w:r>
      <w:proofErr w:type="spellEnd"/>
      <w:r w:rsidRPr="006D0316">
        <w:rPr>
          <w:rFonts w:ascii="Times New Roman" w:eastAsia="Times" w:hAnsi="Times New Roman"/>
          <w:bCs/>
          <w:sz w:val="24"/>
          <w:szCs w:val="24"/>
          <w:lang w:val="en-US"/>
        </w:rPr>
        <w:t xml:space="preserve"> + table</w:t>
      </w:r>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Anthracyclin</w:t>
      </w:r>
      <w:proofErr w:type="spellEnd"/>
      <w:r>
        <w:rPr>
          <w:rFonts w:ascii="Times New Roman" w:eastAsia="Times" w:hAnsi="Times New Roman"/>
          <w:bCs/>
          <w:sz w:val="24"/>
          <w:szCs w:val="24"/>
          <w:lang w:val="en-US"/>
        </w:rPr>
        <w:t xml:space="preserve"> (E=</w:t>
      </w:r>
      <w:proofErr w:type="spellStart"/>
      <w:r>
        <w:rPr>
          <w:rFonts w:ascii="Times New Roman" w:eastAsia="Times" w:hAnsi="Times New Roman"/>
          <w:bCs/>
          <w:sz w:val="24"/>
          <w:szCs w:val="24"/>
          <w:lang w:val="en-US"/>
        </w:rPr>
        <w:t>epirubicin</w:t>
      </w:r>
      <w:proofErr w:type="spellEnd"/>
      <w:r>
        <w:rPr>
          <w:rFonts w:ascii="Times New Roman" w:eastAsia="Times" w:hAnsi="Times New Roman"/>
          <w:bCs/>
          <w:sz w:val="24"/>
          <w:szCs w:val="24"/>
          <w:lang w:val="en-US"/>
        </w:rPr>
        <w:t>) + oxaliplatin (Ox) + fluoropyrimidine (F=5FU, X=CAP) A. EOF, B. EOX</w:t>
      </w:r>
      <w:r>
        <w:rPr>
          <w:rFonts w:ascii="Times New Roman" w:eastAsia="Times" w:hAnsi="Times New Roman"/>
          <w:b/>
          <w:bCs/>
          <w:noProof/>
          <w:sz w:val="24"/>
          <w:szCs w:val="24"/>
          <w:lang w:val="en-US" w:eastAsia="zh-CN"/>
        </w:rPr>
        <w:t xml:space="preserve"> </w:t>
      </w:r>
      <w:r>
        <w:rPr>
          <w:rFonts w:ascii="Times New Roman" w:eastAsia="Times" w:hAnsi="Times New Roman"/>
          <w:b/>
          <w:bCs/>
          <w:noProof/>
          <w:sz w:val="24"/>
          <w:szCs w:val="24"/>
          <w:lang w:val="en-US" w:eastAsia="zh-CN"/>
        </w:rPr>
        <w:br/>
      </w:r>
    </w:p>
    <w:p w14:paraId="61E4E248" w14:textId="77777777" w:rsidR="000C43B0" w:rsidRDefault="000C43B0">
      <w:pPr>
        <w:rPr>
          <w:rFonts w:ascii="Times New Roman" w:eastAsia="Times" w:hAnsi="Times New Roman"/>
          <w:b/>
          <w:bCs/>
          <w:noProof/>
          <w:sz w:val="24"/>
          <w:szCs w:val="24"/>
          <w:lang w:val="en-US" w:eastAsia="zh-CN"/>
        </w:rPr>
      </w:pPr>
      <w:r>
        <w:rPr>
          <w:rFonts w:ascii="Times New Roman" w:eastAsia="Times" w:hAnsi="Times New Roman"/>
          <w:b/>
          <w:bCs/>
          <w:sz w:val="24"/>
          <w:szCs w:val="24"/>
          <w:lang w:val="en-US"/>
        </w:rPr>
        <w:br w:type="page"/>
      </w:r>
    </w:p>
    <w:p w14:paraId="24C9C39E" w14:textId="76C6DF86" w:rsidR="003509C9" w:rsidRDefault="003509C9" w:rsidP="00FE24F8">
      <w:pPr>
        <w:spacing w:line="480" w:lineRule="auto"/>
        <w:rPr>
          <w:rFonts w:ascii="Times New Roman" w:eastAsia="Times" w:hAnsi="Times New Roman"/>
          <w:b/>
          <w:bCs/>
          <w:noProof/>
          <w:sz w:val="24"/>
          <w:szCs w:val="24"/>
          <w:lang w:val="en-US" w:eastAsia="zh-CN"/>
        </w:rPr>
      </w:pPr>
      <w:r>
        <w:rPr>
          <w:rFonts w:ascii="Times New Roman" w:eastAsia="Times" w:hAnsi="Times New Roman"/>
          <w:b/>
          <w:bCs/>
          <w:sz w:val="24"/>
          <w:szCs w:val="24"/>
          <w:lang w:val="en-US"/>
        </w:rPr>
        <w:lastRenderedPageBreak/>
        <w:t>Supplementary figure 1</w:t>
      </w:r>
      <w:r w:rsidR="00362F44">
        <w:rPr>
          <w:rFonts w:ascii="Times New Roman" w:eastAsia="Times" w:hAnsi="Times New Roman"/>
          <w:b/>
          <w:bCs/>
          <w:sz w:val="24"/>
          <w:szCs w:val="24"/>
          <w:lang w:val="en-US"/>
        </w:rPr>
        <w:t>4</w:t>
      </w:r>
      <w:r>
        <w:rPr>
          <w:rFonts w:ascii="Times New Roman" w:eastAsia="Times" w:hAnsi="Times New Roman"/>
          <w:b/>
          <w:bCs/>
          <w:sz w:val="24"/>
          <w:szCs w:val="24"/>
          <w:lang w:val="en-US"/>
        </w:rPr>
        <w:t>A-C</w:t>
      </w:r>
      <w:r w:rsidRPr="000F4B12">
        <w:rPr>
          <w:rFonts w:ascii="Times New Roman" w:eastAsia="Times" w:hAnsi="Times New Roman"/>
          <w:b/>
          <w:bCs/>
          <w:sz w:val="24"/>
          <w:szCs w:val="24"/>
          <w:lang w:val="en-US"/>
        </w:rPr>
        <w:t xml:space="preserve">: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barchart</w:t>
      </w:r>
      <w:proofErr w:type="spellEnd"/>
      <w:r>
        <w:rPr>
          <w:rFonts w:ascii="Times New Roman" w:eastAsia="Times" w:hAnsi="Times New Roman"/>
          <w:bCs/>
          <w:sz w:val="24"/>
          <w:szCs w:val="24"/>
          <w:lang w:val="en-US"/>
        </w:rPr>
        <w:t xml:space="preserve"> and</w:t>
      </w:r>
      <w:r w:rsidRPr="000F4B12">
        <w:rPr>
          <w:rFonts w:ascii="Times New Roman" w:eastAsia="Times" w:hAnsi="Times New Roman"/>
          <w:bCs/>
          <w:sz w:val="24"/>
          <w:szCs w:val="24"/>
          <w:lang w:val="en-US"/>
        </w:rPr>
        <w:t xml:space="preserve"> table, fluoropyrimidine (F=5FU</w:t>
      </w:r>
      <w:r>
        <w:rPr>
          <w:rFonts w:ascii="Times New Roman" w:eastAsia="Times" w:hAnsi="Times New Roman"/>
          <w:bCs/>
          <w:sz w:val="24"/>
          <w:szCs w:val="24"/>
          <w:lang w:val="en-US"/>
        </w:rPr>
        <w:t>,</w:t>
      </w:r>
    </w:p>
    <w:p w14:paraId="6B62479B" w14:textId="77777777" w:rsidR="003509C9" w:rsidRPr="00992BFD" w:rsidRDefault="000C43B0" w:rsidP="003509C9">
      <w:pPr>
        <w:spacing w:before="240" w:after="0" w:line="480" w:lineRule="auto"/>
        <w:rPr>
          <w:rFonts w:ascii="Times New Roman" w:eastAsia="Times" w:hAnsi="Times New Roman"/>
          <w:b/>
          <w:bCs/>
          <w:sz w:val="24"/>
          <w:szCs w:val="24"/>
          <w:lang w:val="en-US"/>
        </w:rPr>
      </w:pPr>
      <w:r>
        <w:rPr>
          <w:noProof/>
          <w:lang w:eastAsia="zh-CN"/>
        </w:rPr>
        <w:drawing>
          <wp:anchor distT="0" distB="0" distL="114300" distR="114300" simplePos="0" relativeHeight="251701248" behindDoc="0" locked="0" layoutInCell="1" allowOverlap="1" wp14:anchorId="5685DE6B" wp14:editId="68B2A482">
            <wp:simplePos x="0" y="0"/>
            <wp:positionH relativeFrom="column">
              <wp:posOffset>-2540</wp:posOffset>
            </wp:positionH>
            <wp:positionV relativeFrom="paragraph">
              <wp:posOffset>1522620</wp:posOffset>
            </wp:positionV>
            <wp:extent cx="5752465" cy="3796030"/>
            <wp:effectExtent l="0" t="0" r="635" b="0"/>
            <wp:wrapSquare wrapText="bothSides"/>
            <wp:docPr id="31" name="Picture 31" descr="table_toxplot_CAPOXD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able_toxplot_CAPOXDTX"/>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14:sizeRelH relativeFrom="page">
              <wp14:pctWidth>0</wp14:pctWidth>
            </wp14:sizeRelH>
            <wp14:sizeRelV relativeFrom="page">
              <wp14:pctHeight>0</wp14:pctHeight>
            </wp14:sizeRelV>
          </wp:anchor>
        </w:drawing>
      </w:r>
      <w:r w:rsidR="003509C9">
        <w:rPr>
          <w:rFonts w:ascii="Times New Roman" w:eastAsia="Times" w:hAnsi="Times New Roman"/>
          <w:bCs/>
          <w:sz w:val="24"/>
          <w:szCs w:val="24"/>
          <w:lang w:val="en-US"/>
        </w:rPr>
        <w:t xml:space="preserve">CAP=capecitabine), oxaliplatin (Ox), </w:t>
      </w:r>
      <w:proofErr w:type="spellStart"/>
      <w:r w:rsidR="003509C9">
        <w:rPr>
          <w:rFonts w:ascii="Times New Roman" w:eastAsia="Times" w:hAnsi="Times New Roman"/>
          <w:bCs/>
          <w:sz w:val="24"/>
          <w:szCs w:val="24"/>
          <w:lang w:val="en-US"/>
        </w:rPr>
        <w:t>taxane</w:t>
      </w:r>
      <w:proofErr w:type="spellEnd"/>
      <w:r w:rsidR="003509C9">
        <w:rPr>
          <w:rFonts w:ascii="Times New Roman" w:eastAsia="Times" w:hAnsi="Times New Roman"/>
          <w:bCs/>
          <w:sz w:val="24"/>
          <w:szCs w:val="24"/>
          <w:lang w:val="en-US"/>
        </w:rPr>
        <w:t xml:space="preserve"> (DTX/D=docetaxel, P=paclitaxel) A. CAPOXDTX, B. FOXP, C. FOXD</w:t>
      </w:r>
      <w:r>
        <w:rPr>
          <w:rFonts w:ascii="Times New Roman" w:eastAsia="Times" w:hAnsi="Times New Roman"/>
          <w:bCs/>
          <w:sz w:val="24"/>
          <w:szCs w:val="24"/>
          <w:lang w:val="en-US"/>
        </w:rPr>
        <w:br/>
      </w:r>
      <w:r>
        <w:rPr>
          <w:rFonts w:ascii="Times New Roman" w:eastAsia="Times" w:hAnsi="Times New Roman"/>
          <w:b/>
          <w:bCs/>
          <w:sz w:val="24"/>
          <w:szCs w:val="24"/>
          <w:lang w:val="en-US"/>
        </w:rPr>
        <w:br/>
        <w:t>A.</w:t>
      </w:r>
    </w:p>
    <w:p w14:paraId="346202E4" w14:textId="77777777" w:rsidR="003509C9" w:rsidRDefault="003509C9">
      <w:pPr>
        <w:rPr>
          <w:rFonts w:ascii="Times New Roman" w:eastAsia="Times" w:hAnsi="Times New Roman"/>
          <w:b/>
          <w:bCs/>
          <w:noProof/>
          <w:sz w:val="24"/>
          <w:szCs w:val="24"/>
          <w:lang w:val="en-US" w:eastAsia="zh-CN"/>
        </w:rPr>
      </w:pPr>
      <w:r>
        <w:rPr>
          <w:rFonts w:ascii="Times New Roman" w:eastAsia="Times" w:hAnsi="Times New Roman"/>
          <w:b/>
          <w:bCs/>
          <w:noProof/>
          <w:sz w:val="24"/>
          <w:szCs w:val="24"/>
          <w:lang w:val="en-US" w:eastAsia="zh-CN"/>
        </w:rPr>
        <w:br w:type="page"/>
      </w:r>
    </w:p>
    <w:p w14:paraId="2F15A8CA" w14:textId="77777777" w:rsidR="00FD4465" w:rsidRPr="00DF146C" w:rsidRDefault="00FD4465" w:rsidP="00FE24F8">
      <w:pPr>
        <w:spacing w:line="480" w:lineRule="auto"/>
        <w:rPr>
          <w:rFonts w:ascii="Times New Roman" w:eastAsia="Times" w:hAnsi="Times New Roman"/>
          <w:b/>
          <w:bCs/>
          <w:noProof/>
          <w:sz w:val="24"/>
          <w:szCs w:val="24"/>
          <w:lang w:val="en-US" w:eastAsia="zh-CN"/>
        </w:rPr>
      </w:pPr>
      <w:r w:rsidRPr="00FE24F8">
        <w:rPr>
          <w:rFonts w:ascii="Times New Roman" w:eastAsia="Times" w:hAnsi="Times New Roman"/>
          <w:b/>
          <w:bCs/>
          <w:sz w:val="24"/>
          <w:szCs w:val="24"/>
          <w:lang w:val="en-US"/>
        </w:rPr>
        <w:lastRenderedPageBreak/>
        <w:t>B.</w:t>
      </w:r>
      <w:r>
        <w:rPr>
          <w:noProof/>
          <w:lang w:eastAsia="zh-CN"/>
        </w:rPr>
        <w:drawing>
          <wp:inline distT="0" distB="0" distL="0" distR="0" wp14:anchorId="285DEFD0" wp14:editId="36C5B736">
            <wp:extent cx="5752465" cy="3796030"/>
            <wp:effectExtent l="0" t="0" r="635" b="0"/>
            <wp:docPr id="30" name="Picture 30" descr="table_toxplot_FOx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table_toxplot_FOx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p>
    <w:p w14:paraId="6CF91D8E" w14:textId="77777777" w:rsidR="00FD4465" w:rsidRPr="003509C9" w:rsidRDefault="003509C9" w:rsidP="00FD4465">
      <w:pPr>
        <w:spacing w:after="0" w:line="480" w:lineRule="auto"/>
        <w:rPr>
          <w:rFonts w:eastAsia="Calibri"/>
          <w:noProof/>
          <w:lang w:val="en-US" w:eastAsia="zh-CN"/>
        </w:rPr>
      </w:pPr>
      <w:r>
        <w:rPr>
          <w:noProof/>
          <w:lang w:eastAsia="zh-CN"/>
        </w:rPr>
        <w:drawing>
          <wp:anchor distT="0" distB="0" distL="114300" distR="114300" simplePos="0" relativeHeight="251697152" behindDoc="1" locked="0" layoutInCell="1" allowOverlap="1" wp14:anchorId="5A125261" wp14:editId="0BEF432F">
            <wp:simplePos x="0" y="0"/>
            <wp:positionH relativeFrom="column">
              <wp:posOffset>-2540</wp:posOffset>
            </wp:positionH>
            <wp:positionV relativeFrom="paragraph">
              <wp:posOffset>282271</wp:posOffset>
            </wp:positionV>
            <wp:extent cx="5752465" cy="3796030"/>
            <wp:effectExtent l="0" t="0" r="635" b="0"/>
            <wp:wrapTight wrapText="bothSides">
              <wp:wrapPolygon edited="0">
                <wp:start x="0" y="0"/>
                <wp:lineTo x="0" y="21463"/>
                <wp:lineTo x="21531" y="21463"/>
                <wp:lineTo x="21531" y="0"/>
                <wp:lineTo x="0" y="0"/>
              </wp:wrapPolygon>
            </wp:wrapTight>
            <wp:docPr id="29" name="Picture 29" descr="table_toxplot_FOx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table_toxplot_FOxP"/>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7FF5">
        <w:rPr>
          <w:rFonts w:ascii="Times New Roman" w:eastAsia="Times" w:hAnsi="Times New Roman"/>
          <w:b/>
          <w:bCs/>
          <w:sz w:val="24"/>
          <w:szCs w:val="24"/>
          <w:lang w:val="en-US"/>
        </w:rPr>
        <w:t>C.</w:t>
      </w:r>
      <w:r w:rsidR="00FD4465">
        <w:rPr>
          <w:rFonts w:ascii="Times New Roman" w:eastAsia="Times" w:hAnsi="Times New Roman"/>
          <w:b/>
          <w:bCs/>
          <w:sz w:val="24"/>
          <w:szCs w:val="24"/>
          <w:lang w:val="en-US"/>
        </w:rPr>
        <w:br w:type="page"/>
      </w:r>
    </w:p>
    <w:p w14:paraId="2BEFB810" w14:textId="559CBA38" w:rsidR="00DE11E0" w:rsidRPr="004D5AF5" w:rsidRDefault="00DE11E0" w:rsidP="00DE11E0">
      <w:pPr>
        <w:spacing w:before="240"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Supplementary figure 1</w:t>
      </w:r>
      <w:r w:rsidR="00362F44">
        <w:rPr>
          <w:rFonts w:ascii="Times New Roman" w:eastAsia="Times" w:hAnsi="Times New Roman"/>
          <w:b/>
          <w:bCs/>
          <w:sz w:val="24"/>
          <w:szCs w:val="24"/>
          <w:lang w:val="en-US"/>
        </w:rPr>
        <w:t>5</w:t>
      </w:r>
      <w:r w:rsidRPr="000F4B12">
        <w:rPr>
          <w:rFonts w:ascii="Times New Roman" w:eastAsia="Times" w:hAnsi="Times New Roman"/>
          <w:b/>
          <w:bCs/>
          <w:sz w:val="24"/>
          <w:szCs w:val="24"/>
          <w:lang w:val="en-US"/>
        </w:rPr>
        <w:t xml:space="preserve">: </w:t>
      </w:r>
      <w:proofErr w:type="spellStart"/>
      <w:r w:rsidRPr="00DF1ED8">
        <w:rPr>
          <w:rFonts w:ascii="Times New Roman" w:eastAsia="Times" w:hAnsi="Times New Roman"/>
          <w:bCs/>
          <w:sz w:val="24"/>
          <w:szCs w:val="24"/>
          <w:lang w:val="en-US"/>
        </w:rPr>
        <w:t>TOXplot</w:t>
      </w:r>
      <w:proofErr w:type="spellEnd"/>
      <w:r w:rsidRPr="00DF1ED8">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barchart</w:t>
      </w:r>
      <w:proofErr w:type="spellEnd"/>
      <w:r>
        <w:rPr>
          <w:rFonts w:ascii="Times New Roman" w:eastAsia="Times" w:hAnsi="Times New Roman"/>
          <w:bCs/>
          <w:sz w:val="24"/>
          <w:szCs w:val="24"/>
          <w:lang w:val="en-US"/>
        </w:rPr>
        <w:t xml:space="preserve"> and</w:t>
      </w:r>
      <w:r w:rsidRPr="00DF1ED8">
        <w:rPr>
          <w:rFonts w:ascii="Times New Roman" w:eastAsia="Times" w:hAnsi="Times New Roman"/>
          <w:bCs/>
          <w:sz w:val="24"/>
          <w:szCs w:val="24"/>
          <w:lang w:val="en-US"/>
        </w:rPr>
        <w:t xml:space="preserve"> table, </w:t>
      </w:r>
      <w:proofErr w:type="spellStart"/>
      <w:r>
        <w:rPr>
          <w:rFonts w:ascii="Times New Roman" w:eastAsia="Times" w:hAnsi="Times New Roman"/>
          <w:bCs/>
          <w:sz w:val="24"/>
          <w:szCs w:val="24"/>
          <w:lang w:val="en-US"/>
        </w:rPr>
        <w:t>OxT</w:t>
      </w:r>
      <w:proofErr w:type="spellEnd"/>
      <w:r>
        <w:rPr>
          <w:rFonts w:ascii="Times New Roman" w:eastAsia="Times" w:hAnsi="Times New Roman"/>
          <w:bCs/>
          <w:sz w:val="24"/>
          <w:szCs w:val="24"/>
          <w:lang w:val="en-US"/>
        </w:rPr>
        <w:t xml:space="preserve"> (Ox = oxaliplatin + T = </w:t>
      </w:r>
      <w:proofErr w:type="spellStart"/>
      <w:r>
        <w:rPr>
          <w:rFonts w:ascii="Times New Roman" w:eastAsia="Times" w:hAnsi="Times New Roman"/>
          <w:bCs/>
          <w:sz w:val="24"/>
          <w:szCs w:val="24"/>
          <w:lang w:val="en-US"/>
        </w:rPr>
        <w:t>taxane</w:t>
      </w:r>
      <w:proofErr w:type="spellEnd"/>
      <w:r>
        <w:rPr>
          <w:rFonts w:ascii="Times New Roman" w:eastAsia="Times" w:hAnsi="Times New Roman"/>
          <w:bCs/>
          <w:sz w:val="24"/>
          <w:szCs w:val="24"/>
          <w:lang w:val="en-US"/>
        </w:rPr>
        <w:t>)</w:t>
      </w:r>
    </w:p>
    <w:p w14:paraId="7438FD6D" w14:textId="388D5643" w:rsidR="00592B58" w:rsidRDefault="00DE11E0" w:rsidP="00982DE8">
      <w:pPr>
        <w:spacing w:line="480" w:lineRule="auto"/>
        <w:rPr>
          <w:rFonts w:ascii="Times New Roman" w:eastAsia="Times" w:hAnsi="Times New Roman"/>
          <w:bCs/>
          <w:sz w:val="24"/>
          <w:szCs w:val="24"/>
          <w:lang w:val="en-US"/>
        </w:rPr>
      </w:pPr>
      <w:bookmarkStart w:id="1" w:name="_GoBack"/>
      <w:bookmarkEnd w:id="1"/>
      <w:r>
        <w:rPr>
          <w:rFonts w:ascii="Times New Roman" w:eastAsia="Times" w:hAnsi="Times New Roman"/>
          <w:bCs/>
          <w:noProof/>
          <w:sz w:val="24"/>
          <w:szCs w:val="24"/>
          <w:lang w:eastAsia="zh-CN"/>
        </w:rPr>
        <w:drawing>
          <wp:anchor distT="0" distB="0" distL="114300" distR="114300" simplePos="0" relativeHeight="251693056" behindDoc="1" locked="0" layoutInCell="1" allowOverlap="1" wp14:anchorId="74F123C9" wp14:editId="61F6BB52">
            <wp:simplePos x="0" y="0"/>
            <wp:positionH relativeFrom="column">
              <wp:posOffset>-2540</wp:posOffset>
            </wp:positionH>
            <wp:positionV relativeFrom="paragraph">
              <wp:posOffset>625613</wp:posOffset>
            </wp:positionV>
            <wp:extent cx="5752465" cy="3796030"/>
            <wp:effectExtent l="0" t="0" r="635" b="0"/>
            <wp:wrapTight wrapText="bothSides">
              <wp:wrapPolygon edited="0">
                <wp:start x="0" y="0"/>
                <wp:lineTo x="0" y="21463"/>
                <wp:lineTo x="21531" y="21463"/>
                <wp:lineTo x="21531" y="0"/>
                <wp:lineTo x="0" y="0"/>
              </wp:wrapPolygon>
            </wp:wrapTight>
            <wp:docPr id="28" name="Picture 28" descr="table_toxplot_O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able_toxplot_Ox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465">
        <w:rPr>
          <w:rFonts w:ascii="Times New Roman" w:eastAsia="Times" w:hAnsi="Times New Roman"/>
          <w:bCs/>
          <w:noProof/>
          <w:sz w:val="24"/>
          <w:szCs w:val="24"/>
          <w:lang w:eastAsia="zh-CN"/>
        </w:rPr>
        <mc:AlternateContent>
          <mc:Choice Requires="wps">
            <w:drawing>
              <wp:anchor distT="0" distB="0" distL="114300" distR="114300" simplePos="0" relativeHeight="251637760" behindDoc="0" locked="0" layoutInCell="1" allowOverlap="1" wp14:anchorId="517D28CE" wp14:editId="499355E1">
                <wp:simplePos x="0" y="0"/>
                <wp:positionH relativeFrom="column">
                  <wp:posOffset>1671955</wp:posOffset>
                </wp:positionH>
                <wp:positionV relativeFrom="paragraph">
                  <wp:posOffset>33655</wp:posOffset>
                </wp:positionV>
                <wp:extent cx="695325" cy="161925"/>
                <wp:effectExtent l="0" t="0" r="9525" b="9525"/>
                <wp:wrapNone/>
                <wp:docPr id="63" name="Rectangle 63"/>
                <wp:cNvGraphicFramePr/>
                <a:graphic xmlns:a="http://schemas.openxmlformats.org/drawingml/2006/main">
                  <a:graphicData uri="http://schemas.microsoft.com/office/word/2010/wordprocessingShape">
                    <wps:wsp>
                      <wps:cNvSpPr/>
                      <wps:spPr>
                        <a:xfrm>
                          <a:off x="0" y="0"/>
                          <a:ext cx="695325" cy="1619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66B927" id="Rectangle 63" o:spid="_x0000_s1026" style="position:absolute;margin-left:131.65pt;margin-top:2.65pt;width:54.75pt;height:12.7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" fillcolor="white [3212]" stroked="f" strokeweight="2pt"/>
            </w:pict>
          </mc:Fallback>
        </mc:AlternateContent>
      </w:r>
      <w:r w:rsidR="00FD4465">
        <w:rPr>
          <w:rFonts w:ascii="Times New Roman" w:eastAsia="Times" w:hAnsi="Times New Roman"/>
          <w:b/>
          <w:bCs/>
          <w:sz w:val="24"/>
          <w:szCs w:val="24"/>
          <w:lang w:val="en-US"/>
        </w:rPr>
        <w:br w:type="page"/>
      </w:r>
      <w:r w:rsidR="00592B58">
        <w:rPr>
          <w:rFonts w:ascii="Times New Roman" w:eastAsia="Times" w:hAnsi="Times New Roman"/>
          <w:b/>
          <w:bCs/>
          <w:sz w:val="24"/>
          <w:szCs w:val="24"/>
          <w:lang w:val="en-US"/>
        </w:rPr>
        <w:lastRenderedPageBreak/>
        <w:t>Supplementary figure 1</w:t>
      </w:r>
      <w:r w:rsidR="00362F44">
        <w:rPr>
          <w:rFonts w:ascii="Times New Roman" w:eastAsia="Times" w:hAnsi="Times New Roman"/>
          <w:b/>
          <w:bCs/>
          <w:sz w:val="24"/>
          <w:szCs w:val="24"/>
          <w:lang w:val="en-US"/>
        </w:rPr>
        <w:t>6</w:t>
      </w:r>
      <w:r w:rsidR="00592B58" w:rsidRPr="000F4B12">
        <w:rPr>
          <w:rFonts w:ascii="Times New Roman" w:eastAsia="Times" w:hAnsi="Times New Roman"/>
          <w:b/>
          <w:bCs/>
          <w:sz w:val="24"/>
          <w:szCs w:val="24"/>
          <w:lang w:val="en-US"/>
        </w:rPr>
        <w:t xml:space="preserve">: </w:t>
      </w:r>
      <w:proofErr w:type="spellStart"/>
      <w:r w:rsidR="00592B58" w:rsidRPr="00DF1ED8">
        <w:rPr>
          <w:rFonts w:ascii="Times New Roman" w:eastAsia="Times" w:hAnsi="Times New Roman"/>
          <w:bCs/>
          <w:sz w:val="24"/>
          <w:szCs w:val="24"/>
          <w:lang w:val="en-US"/>
        </w:rPr>
        <w:t>TOXplot</w:t>
      </w:r>
      <w:proofErr w:type="spellEnd"/>
      <w:r w:rsidR="00592B58" w:rsidRPr="00DF1ED8">
        <w:rPr>
          <w:rFonts w:ascii="Times New Roman" w:eastAsia="Times" w:hAnsi="Times New Roman"/>
          <w:bCs/>
          <w:sz w:val="24"/>
          <w:szCs w:val="24"/>
          <w:lang w:val="en-US"/>
        </w:rPr>
        <w:t xml:space="preserve"> </w:t>
      </w:r>
      <w:proofErr w:type="spellStart"/>
      <w:r w:rsidR="00592B58">
        <w:rPr>
          <w:rFonts w:ascii="Times New Roman" w:eastAsia="Times" w:hAnsi="Times New Roman"/>
          <w:bCs/>
          <w:sz w:val="24"/>
          <w:szCs w:val="24"/>
          <w:lang w:val="en-US"/>
        </w:rPr>
        <w:t>barchart</w:t>
      </w:r>
      <w:proofErr w:type="spellEnd"/>
      <w:r w:rsidR="00592B58">
        <w:rPr>
          <w:rFonts w:ascii="Times New Roman" w:eastAsia="Times" w:hAnsi="Times New Roman"/>
          <w:bCs/>
          <w:sz w:val="24"/>
          <w:szCs w:val="24"/>
          <w:lang w:val="en-US"/>
        </w:rPr>
        <w:t xml:space="preserve"> and</w:t>
      </w:r>
      <w:r w:rsidR="00592B58" w:rsidRPr="00DF1ED8">
        <w:rPr>
          <w:rFonts w:ascii="Times New Roman" w:eastAsia="Times" w:hAnsi="Times New Roman"/>
          <w:bCs/>
          <w:sz w:val="24"/>
          <w:szCs w:val="24"/>
          <w:lang w:val="en-US"/>
        </w:rPr>
        <w:t xml:space="preserve"> table, </w:t>
      </w:r>
      <w:r w:rsidR="00592B58">
        <w:rPr>
          <w:rFonts w:ascii="Times New Roman" w:eastAsia="Times" w:hAnsi="Times New Roman"/>
          <w:bCs/>
          <w:sz w:val="24"/>
          <w:szCs w:val="24"/>
          <w:lang w:val="en-US"/>
        </w:rPr>
        <w:t xml:space="preserve">IT </w:t>
      </w:r>
      <w:proofErr w:type="gramStart"/>
      <w:r w:rsidR="00592B58">
        <w:rPr>
          <w:rFonts w:ascii="Times New Roman" w:eastAsia="Times" w:hAnsi="Times New Roman"/>
          <w:bCs/>
          <w:sz w:val="24"/>
          <w:szCs w:val="24"/>
          <w:lang w:val="en-US"/>
        </w:rPr>
        <w:t>( I</w:t>
      </w:r>
      <w:proofErr w:type="gramEnd"/>
      <w:r w:rsidR="00592B58">
        <w:rPr>
          <w:rFonts w:ascii="Times New Roman" w:eastAsia="Times" w:hAnsi="Times New Roman"/>
          <w:bCs/>
          <w:sz w:val="24"/>
          <w:szCs w:val="24"/>
          <w:lang w:val="en-US"/>
        </w:rPr>
        <w:t xml:space="preserve"> = irinotecan + T = </w:t>
      </w:r>
      <w:proofErr w:type="spellStart"/>
      <w:r w:rsidR="00592B58">
        <w:rPr>
          <w:rFonts w:ascii="Times New Roman" w:eastAsia="Times" w:hAnsi="Times New Roman"/>
          <w:bCs/>
          <w:sz w:val="24"/>
          <w:szCs w:val="24"/>
          <w:lang w:val="en-US"/>
        </w:rPr>
        <w:t>taxane</w:t>
      </w:r>
      <w:proofErr w:type="spellEnd"/>
      <w:r w:rsidR="00592B58">
        <w:rPr>
          <w:rFonts w:ascii="Times New Roman" w:eastAsia="Times" w:hAnsi="Times New Roman"/>
          <w:bCs/>
          <w:sz w:val="24"/>
          <w:szCs w:val="24"/>
          <w:lang w:val="en-US"/>
        </w:rPr>
        <w:t>)</w:t>
      </w:r>
      <w:r w:rsidR="00592B58" w:rsidRPr="007F163E">
        <w:rPr>
          <w:rFonts w:ascii="Times New Roman" w:eastAsia="Times" w:hAnsi="Times New Roman"/>
          <w:bCs/>
          <w:sz w:val="24"/>
          <w:szCs w:val="24"/>
          <w:lang w:val="en-US"/>
        </w:rPr>
        <w:t xml:space="preserve"> </w:t>
      </w:r>
    </w:p>
    <w:p w14:paraId="495F2686" w14:textId="77777777" w:rsidR="00FD4465" w:rsidRDefault="00FD4465" w:rsidP="00FD4465">
      <w:pPr>
        <w:spacing w:after="0" w:line="480" w:lineRule="auto"/>
        <w:rPr>
          <w:rFonts w:ascii="Times New Roman" w:eastAsia="Times" w:hAnsi="Times New Roman"/>
          <w:b/>
          <w:bCs/>
          <w:sz w:val="24"/>
          <w:szCs w:val="24"/>
          <w:lang w:val="en-US"/>
        </w:rPr>
      </w:pPr>
    </w:p>
    <w:p w14:paraId="6255BA1F" w14:textId="77777777" w:rsidR="00FD4465" w:rsidRDefault="00FD4465" w:rsidP="00FD4465">
      <w:pPr>
        <w:spacing w:line="480" w:lineRule="auto"/>
        <w:rPr>
          <w:rFonts w:ascii="Times New Roman" w:eastAsia="Times" w:hAnsi="Times New Roman"/>
          <w:bCs/>
          <w:sz w:val="24"/>
          <w:szCs w:val="24"/>
          <w:lang w:val="en-US"/>
        </w:rPr>
      </w:pPr>
      <w:r>
        <w:rPr>
          <w:rFonts w:ascii="Times New Roman" w:eastAsia="Times" w:hAnsi="Times New Roman"/>
          <w:bCs/>
          <w:noProof/>
          <w:sz w:val="24"/>
          <w:szCs w:val="24"/>
          <w:lang w:eastAsia="zh-CN"/>
        </w:rPr>
        <mc:AlternateContent>
          <mc:Choice Requires="wps">
            <w:drawing>
              <wp:anchor distT="0" distB="0" distL="114300" distR="114300" simplePos="0" relativeHeight="251638784" behindDoc="0" locked="0" layoutInCell="1" allowOverlap="1" wp14:anchorId="345279EC" wp14:editId="5B1C1CC3">
                <wp:simplePos x="0" y="0"/>
                <wp:positionH relativeFrom="column">
                  <wp:posOffset>1586230</wp:posOffset>
                </wp:positionH>
                <wp:positionV relativeFrom="paragraph">
                  <wp:posOffset>76835</wp:posOffset>
                </wp:positionV>
                <wp:extent cx="638175" cy="152400"/>
                <wp:effectExtent l="0" t="0" r="9525" b="0"/>
                <wp:wrapNone/>
                <wp:docPr id="62" name="Rectangle 62"/>
                <wp:cNvGraphicFramePr/>
                <a:graphic xmlns:a="http://schemas.openxmlformats.org/drawingml/2006/main">
                  <a:graphicData uri="http://schemas.microsoft.com/office/word/2010/wordprocessingShape">
                    <wps:wsp>
                      <wps:cNvSpPr/>
                      <wps:spPr>
                        <a:xfrm>
                          <a:off x="0" y="0"/>
                          <a:ext cx="638175" cy="152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1E408D" id="Rectangle 62" o:spid="_x0000_s1026" style="position:absolute;margin-left:124.9pt;margin-top:6.05pt;width:50.25pt;height:12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" fillcolor="white [3212]" stroked="f" strokeweight="2pt"/>
            </w:pict>
          </mc:Fallback>
        </mc:AlternateContent>
      </w:r>
      <w:r>
        <w:rPr>
          <w:rFonts w:ascii="Times New Roman" w:eastAsia="Times" w:hAnsi="Times New Roman"/>
          <w:bCs/>
          <w:noProof/>
          <w:sz w:val="24"/>
          <w:szCs w:val="24"/>
          <w:lang w:eastAsia="zh-CN"/>
        </w:rPr>
        <w:drawing>
          <wp:inline distT="0" distB="0" distL="0" distR="0" wp14:anchorId="6088505C" wp14:editId="687FCC5C">
            <wp:extent cx="5752465" cy="3796030"/>
            <wp:effectExtent l="0" t="0" r="635" b="0"/>
            <wp:docPr id="27" name="Picture 27" descr="table_toxplot_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able_toxplot_I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52465" cy="3796030"/>
                    </a:xfrm>
                    <a:prstGeom prst="rect">
                      <a:avLst/>
                    </a:prstGeom>
                    <a:noFill/>
                    <a:ln>
                      <a:noFill/>
                    </a:ln>
                  </pic:spPr>
                </pic:pic>
              </a:graphicData>
            </a:graphic>
          </wp:inline>
        </w:drawing>
      </w:r>
    </w:p>
    <w:p w14:paraId="0DD21021" w14:textId="77777777" w:rsidR="00FD4465"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4EC185CC" w14:textId="3A2CE789"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Figure S1</w:t>
      </w:r>
      <w:r w:rsidR="00362F44">
        <w:rPr>
          <w:rFonts w:ascii="Times New Roman" w:eastAsia="Times" w:hAnsi="Times New Roman"/>
          <w:b/>
          <w:bCs/>
          <w:sz w:val="24"/>
          <w:szCs w:val="24"/>
          <w:lang w:val="en-US"/>
        </w:rPr>
        <w:t>7</w:t>
      </w:r>
      <w:r>
        <w:rPr>
          <w:rFonts w:ascii="Times New Roman" w:eastAsia="Times" w:hAnsi="Times New Roman"/>
          <w:b/>
          <w:bCs/>
          <w:sz w:val="24"/>
          <w:szCs w:val="24"/>
          <w:lang w:val="en-US"/>
        </w:rPr>
        <w:t>-2</w:t>
      </w:r>
      <w:r w:rsidR="00A73010">
        <w:rPr>
          <w:rFonts w:ascii="Times New Roman" w:eastAsia="Times" w:hAnsi="Times New Roman"/>
          <w:b/>
          <w:bCs/>
          <w:sz w:val="24"/>
          <w:szCs w:val="24"/>
          <w:lang w:val="en-US"/>
        </w:rPr>
        <w:t>9</w:t>
      </w:r>
      <w:r>
        <w:rPr>
          <w:rFonts w:ascii="Times New Roman" w:eastAsia="Times" w:hAnsi="Times New Roman"/>
          <w:b/>
          <w:bCs/>
          <w:sz w:val="24"/>
          <w:szCs w:val="24"/>
          <w:lang w:val="en-US"/>
        </w:rPr>
        <w:t xml:space="preserve">: </w:t>
      </w:r>
      <w:proofErr w:type="spellStart"/>
      <w:r>
        <w:rPr>
          <w:rFonts w:ascii="Times New Roman" w:eastAsia="Times" w:hAnsi="Times New Roman"/>
          <w:b/>
          <w:bCs/>
          <w:sz w:val="24"/>
          <w:szCs w:val="24"/>
          <w:lang w:val="en-US"/>
        </w:rPr>
        <w:t>TOXplot</w:t>
      </w:r>
      <w:proofErr w:type="spellEnd"/>
      <w:r>
        <w:rPr>
          <w:rFonts w:ascii="Times New Roman" w:eastAsia="Times" w:hAnsi="Times New Roman"/>
          <w:b/>
          <w:bCs/>
          <w:sz w:val="24"/>
          <w:szCs w:val="24"/>
          <w:lang w:val="en-US"/>
        </w:rPr>
        <w:t xml:space="preserve"> </w:t>
      </w:r>
      <w:proofErr w:type="spellStart"/>
      <w:r>
        <w:rPr>
          <w:rFonts w:ascii="Times New Roman" w:eastAsia="Times" w:hAnsi="Times New Roman"/>
          <w:b/>
          <w:bCs/>
          <w:sz w:val="24"/>
          <w:szCs w:val="24"/>
          <w:lang w:val="en-US"/>
        </w:rPr>
        <w:t>birectional</w:t>
      </w:r>
      <w:proofErr w:type="spellEnd"/>
      <w:r>
        <w:rPr>
          <w:rFonts w:ascii="Times New Roman" w:eastAsia="Times" w:hAnsi="Times New Roman"/>
          <w:b/>
          <w:bCs/>
          <w:sz w:val="24"/>
          <w:szCs w:val="24"/>
          <w:lang w:val="en-US"/>
        </w:rPr>
        <w:t xml:space="preserve"> plot and</w:t>
      </w:r>
      <w:r w:rsidRPr="004D3C36">
        <w:rPr>
          <w:rFonts w:ascii="Times New Roman" w:eastAsia="Times" w:hAnsi="Times New Roman"/>
          <w:b/>
          <w:bCs/>
          <w:sz w:val="24"/>
          <w:szCs w:val="24"/>
          <w:lang w:val="en-US"/>
        </w:rPr>
        <w:t xml:space="preserve"> table</w:t>
      </w:r>
    </w:p>
    <w:p w14:paraId="7136CBB5" w14:textId="3D7BB107" w:rsidR="00592B58" w:rsidRPr="004D5AF5" w:rsidRDefault="00592B58" w:rsidP="00592B58">
      <w:pPr>
        <w:spacing w:before="240"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t>Supplementary figure 1</w:t>
      </w:r>
      <w:r w:rsidR="00A73010">
        <w:rPr>
          <w:rFonts w:ascii="Times New Roman" w:eastAsia="Times" w:hAnsi="Times New Roman"/>
          <w:b/>
          <w:bCs/>
          <w:sz w:val="24"/>
          <w:szCs w:val="24"/>
          <w:lang w:val="en-US"/>
        </w:rPr>
        <w:t>7</w:t>
      </w:r>
      <w:r>
        <w:rPr>
          <w:rFonts w:ascii="Times New Roman" w:eastAsia="Times" w:hAnsi="Times New Roman"/>
          <w:b/>
          <w:bCs/>
          <w:sz w:val="24"/>
          <w:szCs w:val="24"/>
          <w:lang w:val="en-US"/>
        </w:rPr>
        <w:t xml:space="preserve">A-C: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birectional</w:t>
      </w:r>
      <w:proofErr w:type="spellEnd"/>
      <w:r>
        <w:rPr>
          <w:rFonts w:ascii="Times New Roman" w:eastAsia="Times" w:hAnsi="Times New Roman"/>
          <w:bCs/>
          <w:sz w:val="24"/>
          <w:szCs w:val="24"/>
          <w:lang w:val="en-US"/>
        </w:rPr>
        <w:t xml:space="preserve"> plot and</w:t>
      </w:r>
      <w:r w:rsidRPr="00DF1ED8">
        <w:rPr>
          <w:rFonts w:ascii="Times New Roman" w:eastAsia="Times" w:hAnsi="Times New Roman"/>
          <w:bCs/>
          <w:sz w:val="24"/>
          <w:szCs w:val="24"/>
          <w:lang w:val="en-US"/>
        </w:rPr>
        <w:t xml:space="preserve"> table fluoropyrimidine monotherapy. </w:t>
      </w:r>
      <w:r w:rsidRPr="005B0702">
        <w:rPr>
          <w:rFonts w:ascii="Times New Roman" w:eastAsia="Times" w:hAnsi="Times New Roman"/>
          <w:b/>
          <w:bCs/>
          <w:sz w:val="24"/>
          <w:szCs w:val="24"/>
          <w:lang w:val="en-US"/>
        </w:rPr>
        <w:t>A.</w:t>
      </w:r>
      <w:r w:rsidRPr="00DF1ED8">
        <w:rPr>
          <w:rFonts w:ascii="Times New Roman" w:eastAsia="Times" w:hAnsi="Times New Roman"/>
          <w:bCs/>
          <w:sz w:val="24"/>
          <w:szCs w:val="24"/>
          <w:lang w:val="en-US"/>
        </w:rPr>
        <w:t xml:space="preserve"> 5-fluorouracil=5FU, </w:t>
      </w:r>
      <w:r w:rsidRPr="005B0702">
        <w:rPr>
          <w:rFonts w:ascii="Times New Roman" w:eastAsia="Times" w:hAnsi="Times New Roman"/>
          <w:b/>
          <w:bCs/>
          <w:sz w:val="24"/>
          <w:szCs w:val="24"/>
          <w:lang w:val="en-US"/>
        </w:rPr>
        <w:t>B</w:t>
      </w:r>
      <w:r w:rsidR="005B0702" w:rsidRPr="005B0702">
        <w:rPr>
          <w:rFonts w:ascii="Times New Roman" w:eastAsia="Times" w:hAnsi="Times New Roman"/>
          <w:b/>
          <w:bCs/>
          <w:sz w:val="24"/>
          <w:szCs w:val="24"/>
          <w:lang w:val="en-US"/>
        </w:rPr>
        <w:t>.</w:t>
      </w:r>
      <w:r w:rsidRPr="00DF1ED8">
        <w:rPr>
          <w:rFonts w:ascii="Times New Roman" w:eastAsia="Times" w:hAnsi="Times New Roman"/>
          <w:bCs/>
          <w:sz w:val="24"/>
          <w:szCs w:val="24"/>
          <w:lang w:val="en-US"/>
        </w:rPr>
        <w:t xml:space="preserve"> capecitabine=CAP, </w:t>
      </w:r>
      <w:r w:rsidRPr="005B0702">
        <w:rPr>
          <w:rFonts w:ascii="Times New Roman" w:eastAsia="Times" w:hAnsi="Times New Roman"/>
          <w:b/>
          <w:bCs/>
          <w:sz w:val="24"/>
          <w:szCs w:val="24"/>
          <w:lang w:val="en-US"/>
        </w:rPr>
        <w:t xml:space="preserve">C. </w:t>
      </w:r>
      <w:r w:rsidRPr="00DF1ED8">
        <w:rPr>
          <w:rFonts w:ascii="Times New Roman" w:eastAsia="Times" w:hAnsi="Times New Roman"/>
          <w:bCs/>
          <w:sz w:val="24"/>
          <w:szCs w:val="24"/>
          <w:lang w:val="en-US"/>
        </w:rPr>
        <w:t>S-1</w:t>
      </w:r>
    </w:p>
    <w:p w14:paraId="5E31CE78" w14:textId="77777777" w:rsidR="00592B58" w:rsidRDefault="00592B58" w:rsidP="00FD4465">
      <w:pPr>
        <w:spacing w:line="480" w:lineRule="auto"/>
        <w:rPr>
          <w:rFonts w:ascii="Times New Roman" w:eastAsia="Times" w:hAnsi="Times New Roman"/>
          <w:b/>
          <w:bCs/>
          <w:sz w:val="24"/>
          <w:szCs w:val="24"/>
          <w:lang w:val="en-US"/>
        </w:rPr>
      </w:pPr>
    </w:p>
    <w:p w14:paraId="37CACB34" w14:textId="77777777" w:rsidR="00FE24F8"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t>A.</w:t>
      </w:r>
      <w:r>
        <w:rPr>
          <w:rFonts w:ascii="Times New Roman" w:eastAsia="Times" w:hAnsi="Times New Roman"/>
          <w:b/>
          <w:bCs/>
          <w:noProof/>
          <w:sz w:val="24"/>
          <w:szCs w:val="24"/>
          <w:lang w:eastAsia="zh-CN"/>
        </w:rPr>
        <w:drawing>
          <wp:inline distT="0" distB="0" distL="0" distR="0" wp14:anchorId="09CFD7B1" wp14:editId="30526994">
            <wp:extent cx="5752465" cy="4944110"/>
            <wp:effectExtent l="0" t="0" r="635" b="8890"/>
            <wp:docPr id="26" name="Picture 26" descr="double_table_5F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ouble_table_5FU"/>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r>
        <w:rPr>
          <w:rFonts w:ascii="Times New Roman" w:eastAsia="Times" w:hAnsi="Times New Roman"/>
          <w:b/>
          <w:bCs/>
          <w:sz w:val="24"/>
          <w:szCs w:val="24"/>
          <w:lang w:val="en-US"/>
        </w:rPr>
        <w:lastRenderedPageBreak/>
        <w:t>B.</w:t>
      </w:r>
      <w:r>
        <w:rPr>
          <w:rFonts w:ascii="Times New Roman" w:eastAsia="Times" w:hAnsi="Times New Roman"/>
          <w:b/>
          <w:bCs/>
          <w:noProof/>
          <w:sz w:val="24"/>
          <w:szCs w:val="24"/>
          <w:lang w:eastAsia="zh-CN"/>
        </w:rPr>
        <w:drawing>
          <wp:inline distT="0" distB="0" distL="0" distR="0" wp14:anchorId="59CE07D6" wp14:editId="2F004C46">
            <wp:extent cx="5752465" cy="4944110"/>
            <wp:effectExtent l="0" t="0" r="635" b="8890"/>
            <wp:docPr id="25" name="Picture 25" descr="double_table_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ouble_table_CAP"/>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79E25C29"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C.</w:t>
      </w:r>
      <w:r>
        <w:rPr>
          <w:rFonts w:ascii="Times New Roman" w:eastAsia="Times" w:hAnsi="Times New Roman"/>
          <w:b/>
          <w:bCs/>
          <w:noProof/>
          <w:sz w:val="24"/>
          <w:szCs w:val="24"/>
          <w:lang w:eastAsia="zh-CN"/>
        </w:rPr>
        <w:drawing>
          <wp:inline distT="0" distB="0" distL="0" distR="0" wp14:anchorId="7B95ABB0" wp14:editId="37E86D88">
            <wp:extent cx="5752465" cy="4944110"/>
            <wp:effectExtent l="0" t="0" r="635" b="8890"/>
            <wp:docPr id="24" name="Picture 24" descr="double_table_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ouble_table_S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7BF67BAA" w14:textId="77777777" w:rsidR="00FD4465" w:rsidRDefault="00FD4465" w:rsidP="00FD4465">
      <w:pPr>
        <w:spacing w:line="480" w:lineRule="auto"/>
        <w:rPr>
          <w:rFonts w:ascii="Times New Roman" w:eastAsia="Times" w:hAnsi="Times New Roman"/>
          <w:b/>
          <w:bCs/>
          <w:sz w:val="24"/>
          <w:szCs w:val="24"/>
          <w:lang w:val="en-US"/>
        </w:rPr>
      </w:pPr>
    </w:p>
    <w:p w14:paraId="39F322D1" w14:textId="77777777" w:rsidR="00FD4465"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3F8B81B8" w14:textId="465D8E9E" w:rsidR="00592B58" w:rsidRDefault="00592B58" w:rsidP="00592B58">
      <w:pPr>
        <w:spacing w:before="240"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Supplementary figure 1</w:t>
      </w:r>
      <w:r w:rsidR="00A73010">
        <w:rPr>
          <w:rFonts w:ascii="Times New Roman" w:eastAsia="Times" w:hAnsi="Times New Roman"/>
          <w:b/>
          <w:bCs/>
          <w:sz w:val="24"/>
          <w:szCs w:val="24"/>
          <w:lang w:val="en-US"/>
        </w:rPr>
        <w:t>8</w:t>
      </w:r>
      <w:r>
        <w:rPr>
          <w:rFonts w:ascii="Times New Roman" w:eastAsia="Times" w:hAnsi="Times New Roman"/>
          <w:b/>
          <w:bCs/>
          <w:sz w:val="24"/>
          <w:szCs w:val="24"/>
          <w:lang w:val="en-US"/>
        </w:rPr>
        <w:t xml:space="preserve">A-C: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birectional</w:t>
      </w:r>
      <w:proofErr w:type="spellEnd"/>
      <w:r>
        <w:rPr>
          <w:rFonts w:ascii="Times New Roman" w:eastAsia="Times" w:hAnsi="Times New Roman"/>
          <w:bCs/>
          <w:sz w:val="24"/>
          <w:szCs w:val="24"/>
          <w:lang w:val="en-US"/>
        </w:rPr>
        <w:t xml:space="preserve"> plot and</w:t>
      </w:r>
      <w:r w:rsidRPr="00DF1ED8">
        <w:rPr>
          <w:rFonts w:ascii="Times New Roman" w:eastAsia="Times" w:hAnsi="Times New Roman"/>
          <w:bCs/>
          <w:sz w:val="24"/>
          <w:szCs w:val="24"/>
          <w:lang w:val="en-US"/>
        </w:rPr>
        <w:t xml:space="preserve"> table, </w:t>
      </w:r>
      <w:proofErr w:type="spellStart"/>
      <w:r w:rsidRPr="00DF1ED8">
        <w:rPr>
          <w:rFonts w:ascii="Times New Roman" w:eastAsia="Times" w:hAnsi="Times New Roman"/>
          <w:bCs/>
          <w:sz w:val="24"/>
          <w:szCs w:val="24"/>
          <w:lang w:val="en-US"/>
        </w:rPr>
        <w:t>fluoropyridimine</w:t>
      </w:r>
      <w:proofErr w:type="spellEnd"/>
      <w:r w:rsidRPr="00DF1ED8">
        <w:rPr>
          <w:rFonts w:ascii="Times New Roman" w:eastAsia="Times" w:hAnsi="Times New Roman"/>
          <w:bCs/>
          <w:sz w:val="24"/>
          <w:szCs w:val="24"/>
          <w:lang w:val="en-US"/>
        </w:rPr>
        <w:t xml:space="preserve"> (5-FU, CAP, S-1) + irinotecan (I) </w:t>
      </w:r>
      <w:r w:rsidRPr="005B0702">
        <w:rPr>
          <w:rFonts w:ascii="Times New Roman" w:eastAsia="Times" w:hAnsi="Times New Roman"/>
          <w:b/>
          <w:bCs/>
          <w:sz w:val="24"/>
          <w:szCs w:val="24"/>
          <w:lang w:val="en-US"/>
        </w:rPr>
        <w:t>A.</w:t>
      </w:r>
      <w:r w:rsidRPr="00DF1ED8">
        <w:rPr>
          <w:rFonts w:ascii="Times New Roman" w:eastAsia="Times" w:hAnsi="Times New Roman"/>
          <w:bCs/>
          <w:sz w:val="24"/>
          <w:szCs w:val="24"/>
          <w:lang w:val="en-US"/>
        </w:rPr>
        <w:t xml:space="preserve"> 5FU-I, </w:t>
      </w:r>
      <w:r w:rsidRPr="005B0702">
        <w:rPr>
          <w:rFonts w:ascii="Times New Roman" w:eastAsia="Times" w:hAnsi="Times New Roman"/>
          <w:b/>
          <w:bCs/>
          <w:sz w:val="24"/>
          <w:szCs w:val="24"/>
          <w:lang w:val="en-US"/>
        </w:rPr>
        <w:t>B.</w:t>
      </w:r>
      <w:r w:rsidRPr="00DF1ED8">
        <w:rPr>
          <w:rFonts w:ascii="Times New Roman" w:eastAsia="Times" w:hAnsi="Times New Roman"/>
          <w:bCs/>
          <w:sz w:val="24"/>
          <w:szCs w:val="24"/>
          <w:lang w:val="en-US"/>
        </w:rPr>
        <w:t xml:space="preserve"> CAP-I, </w:t>
      </w:r>
      <w:r w:rsidRPr="005B0702">
        <w:rPr>
          <w:rFonts w:ascii="Times New Roman" w:eastAsia="Times" w:hAnsi="Times New Roman"/>
          <w:b/>
          <w:bCs/>
          <w:sz w:val="24"/>
          <w:szCs w:val="24"/>
          <w:lang w:val="en-US"/>
        </w:rPr>
        <w:t>C.</w:t>
      </w:r>
      <w:r w:rsidRPr="00DF1ED8">
        <w:rPr>
          <w:rFonts w:ascii="Times New Roman" w:eastAsia="Times" w:hAnsi="Times New Roman"/>
          <w:bCs/>
          <w:sz w:val="24"/>
          <w:szCs w:val="24"/>
          <w:lang w:val="en-US"/>
        </w:rPr>
        <w:t xml:space="preserve"> S1-I</w:t>
      </w:r>
    </w:p>
    <w:p w14:paraId="65FC48DB" w14:textId="77777777" w:rsidR="00592B58" w:rsidRDefault="00592B58" w:rsidP="00FD4465">
      <w:pPr>
        <w:spacing w:line="480" w:lineRule="auto"/>
        <w:rPr>
          <w:rFonts w:ascii="Times New Roman" w:eastAsia="Times" w:hAnsi="Times New Roman"/>
          <w:b/>
          <w:bCs/>
          <w:sz w:val="24"/>
          <w:szCs w:val="24"/>
          <w:lang w:val="en-US"/>
        </w:rPr>
      </w:pPr>
    </w:p>
    <w:p w14:paraId="1A83F1AC"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t>A.</w:t>
      </w:r>
      <w:r>
        <w:rPr>
          <w:rFonts w:ascii="Times New Roman" w:eastAsia="Times" w:hAnsi="Times New Roman"/>
          <w:b/>
          <w:bCs/>
          <w:noProof/>
          <w:sz w:val="24"/>
          <w:szCs w:val="24"/>
          <w:lang w:eastAsia="zh-CN"/>
        </w:rPr>
        <w:drawing>
          <wp:inline distT="0" distB="0" distL="0" distR="0" wp14:anchorId="6ABED824" wp14:editId="3676BFD6">
            <wp:extent cx="5752465" cy="4944110"/>
            <wp:effectExtent l="0" t="0" r="635" b="8890"/>
            <wp:docPr id="23" name="Picture 23" descr="double_table_5F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ouble_table_5FU-I"/>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52DB0D7A"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B.</w:t>
      </w:r>
      <w:r>
        <w:rPr>
          <w:rFonts w:ascii="Times New Roman" w:eastAsia="Times" w:hAnsi="Times New Roman"/>
          <w:b/>
          <w:bCs/>
          <w:noProof/>
          <w:sz w:val="24"/>
          <w:szCs w:val="24"/>
          <w:lang w:eastAsia="zh-CN"/>
        </w:rPr>
        <w:drawing>
          <wp:inline distT="0" distB="0" distL="0" distR="0" wp14:anchorId="04AA37A8" wp14:editId="1125E361">
            <wp:extent cx="5752465" cy="4944110"/>
            <wp:effectExtent l="0" t="0" r="635" b="8890"/>
            <wp:docPr id="22" name="Picture 22" descr="double_table_CA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ouble_table_CAP-I"/>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38A0F1CA"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C.</w:t>
      </w:r>
      <w:r>
        <w:rPr>
          <w:rFonts w:ascii="Times New Roman" w:eastAsia="Times" w:hAnsi="Times New Roman"/>
          <w:b/>
          <w:bCs/>
          <w:noProof/>
          <w:sz w:val="24"/>
          <w:szCs w:val="24"/>
          <w:lang w:eastAsia="zh-CN"/>
        </w:rPr>
        <w:drawing>
          <wp:inline distT="0" distB="0" distL="0" distR="0" wp14:anchorId="7590AE51" wp14:editId="4A7C4E77">
            <wp:extent cx="5752465" cy="4944110"/>
            <wp:effectExtent l="0" t="0" r="635" b="8890"/>
            <wp:docPr id="21" name="Picture 21" descr="double_table_S1-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ouble_table_S1-I"/>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11689E83" w14:textId="77777777" w:rsidR="00FD4465"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0F5B28A4" w14:textId="26C67DCD" w:rsidR="00592B58" w:rsidRPr="005B0702" w:rsidRDefault="00592B58" w:rsidP="005B0702">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Supplementary figure 1</w:t>
      </w:r>
      <w:r w:rsidR="00A73010">
        <w:rPr>
          <w:rFonts w:ascii="Times New Roman" w:eastAsia="Times" w:hAnsi="Times New Roman"/>
          <w:b/>
          <w:bCs/>
          <w:sz w:val="24"/>
          <w:szCs w:val="24"/>
          <w:lang w:val="en-US"/>
        </w:rPr>
        <w:t>9</w:t>
      </w:r>
      <w:r>
        <w:rPr>
          <w:rFonts w:ascii="Times New Roman" w:eastAsia="Times" w:hAnsi="Times New Roman"/>
          <w:b/>
          <w:bCs/>
          <w:sz w:val="24"/>
          <w:szCs w:val="24"/>
          <w:lang w:val="en-US"/>
        </w:rPr>
        <w:t xml:space="preserve">A-B: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birectional</w:t>
      </w:r>
      <w:proofErr w:type="spellEnd"/>
      <w:r>
        <w:rPr>
          <w:rFonts w:ascii="Times New Roman" w:eastAsia="Times" w:hAnsi="Times New Roman"/>
          <w:bCs/>
          <w:sz w:val="24"/>
          <w:szCs w:val="24"/>
          <w:lang w:val="en-US"/>
        </w:rPr>
        <w:t xml:space="preserve"> plot and</w:t>
      </w:r>
      <w:r w:rsidRPr="00DF1ED8">
        <w:rPr>
          <w:rFonts w:ascii="Times New Roman" w:eastAsia="Times" w:hAnsi="Times New Roman"/>
          <w:bCs/>
          <w:sz w:val="24"/>
          <w:szCs w:val="24"/>
          <w:lang w:val="en-US"/>
        </w:rPr>
        <w:t xml:space="preserve"> table, </w:t>
      </w:r>
      <w:proofErr w:type="spellStart"/>
      <w:r w:rsidRPr="00DF1ED8">
        <w:rPr>
          <w:rFonts w:ascii="Times New Roman" w:eastAsia="Times" w:hAnsi="Times New Roman"/>
          <w:bCs/>
          <w:sz w:val="24"/>
          <w:szCs w:val="24"/>
          <w:lang w:val="en-US"/>
        </w:rPr>
        <w:t>fluoropyridimine</w:t>
      </w:r>
      <w:proofErr w:type="spellEnd"/>
      <w:r w:rsidRPr="00DF1ED8">
        <w:rPr>
          <w:rFonts w:ascii="Times New Roman" w:eastAsia="Times" w:hAnsi="Times New Roman"/>
          <w:bCs/>
          <w:sz w:val="24"/>
          <w:szCs w:val="24"/>
          <w:lang w:val="en-US"/>
        </w:rPr>
        <w:t xml:space="preserve"> (5-FU, S-1)</w:t>
      </w:r>
      <w:r>
        <w:rPr>
          <w:rFonts w:ascii="Times New Roman" w:eastAsia="Times" w:hAnsi="Times New Roman"/>
          <w:bCs/>
          <w:sz w:val="24"/>
          <w:szCs w:val="24"/>
          <w:lang w:val="en-US"/>
        </w:rPr>
        <w:t xml:space="preserve"> </w:t>
      </w:r>
      <w:r w:rsidRPr="00DF1ED8">
        <w:rPr>
          <w:rFonts w:ascii="Times New Roman" w:eastAsia="Times" w:hAnsi="Times New Roman"/>
          <w:bCs/>
          <w:sz w:val="24"/>
          <w:szCs w:val="24"/>
          <w:lang w:val="en-US"/>
        </w:rPr>
        <w:t xml:space="preserve">+ </w:t>
      </w:r>
      <w:r>
        <w:rPr>
          <w:rFonts w:ascii="Times New Roman" w:eastAsia="Times" w:hAnsi="Times New Roman"/>
          <w:bCs/>
          <w:sz w:val="24"/>
          <w:szCs w:val="24"/>
          <w:lang w:val="en-US"/>
        </w:rPr>
        <w:t xml:space="preserve">oxaliplatin (Ox) </w:t>
      </w:r>
      <w:r w:rsidRPr="005B0702">
        <w:rPr>
          <w:rFonts w:ascii="Times New Roman" w:eastAsia="Times" w:hAnsi="Times New Roman"/>
          <w:b/>
          <w:bCs/>
          <w:sz w:val="24"/>
          <w:szCs w:val="24"/>
          <w:lang w:val="en-US"/>
        </w:rPr>
        <w:t>A.</w:t>
      </w:r>
      <w:r>
        <w:rPr>
          <w:rFonts w:ascii="Times New Roman" w:eastAsia="Times" w:hAnsi="Times New Roman"/>
          <w:bCs/>
          <w:sz w:val="24"/>
          <w:szCs w:val="24"/>
          <w:lang w:val="en-US"/>
        </w:rPr>
        <w:t xml:space="preserve"> 5FU-OX. </w:t>
      </w:r>
      <w:r w:rsidRPr="005B0702">
        <w:rPr>
          <w:rFonts w:ascii="Times New Roman" w:eastAsia="Times" w:hAnsi="Times New Roman"/>
          <w:b/>
          <w:bCs/>
          <w:sz w:val="24"/>
          <w:szCs w:val="24"/>
          <w:lang w:val="en-US"/>
        </w:rPr>
        <w:t>B.</w:t>
      </w:r>
      <w:r>
        <w:rPr>
          <w:rFonts w:ascii="Times New Roman" w:eastAsia="Times" w:hAnsi="Times New Roman"/>
          <w:bCs/>
          <w:sz w:val="24"/>
          <w:szCs w:val="24"/>
          <w:lang w:val="en-US"/>
        </w:rPr>
        <w:t xml:space="preserve"> S1-Ox</w:t>
      </w:r>
    </w:p>
    <w:p w14:paraId="3732CBC2"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t>A.</w:t>
      </w:r>
      <w:r>
        <w:rPr>
          <w:rFonts w:ascii="Times New Roman" w:eastAsia="Times" w:hAnsi="Times New Roman"/>
          <w:b/>
          <w:bCs/>
          <w:noProof/>
          <w:sz w:val="24"/>
          <w:szCs w:val="24"/>
          <w:lang w:eastAsia="zh-CN"/>
        </w:rPr>
        <w:drawing>
          <wp:inline distT="0" distB="0" distL="0" distR="0" wp14:anchorId="1DDAFA95" wp14:editId="74CBE750">
            <wp:extent cx="5752465" cy="4944110"/>
            <wp:effectExtent l="0" t="0" r="635" b="8890"/>
            <wp:docPr id="20" name="Picture 20" descr="double_table_5FU-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ouble_table_5FU-Ox"/>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r>
        <w:rPr>
          <w:rFonts w:ascii="Times New Roman" w:eastAsia="Times" w:hAnsi="Times New Roman"/>
          <w:b/>
          <w:bCs/>
          <w:noProof/>
          <w:sz w:val="24"/>
          <w:szCs w:val="24"/>
          <w:lang w:val="en-US" w:eastAsia="zh-CN"/>
        </w:rPr>
        <w:lastRenderedPageBreak/>
        <w:t>B</w:t>
      </w:r>
      <w:r>
        <w:rPr>
          <w:rFonts w:ascii="Times New Roman" w:eastAsia="Times" w:hAnsi="Times New Roman"/>
          <w:b/>
          <w:bCs/>
          <w:sz w:val="24"/>
          <w:szCs w:val="24"/>
          <w:lang w:val="en-US"/>
        </w:rPr>
        <w:t>.</w:t>
      </w:r>
      <w:r>
        <w:rPr>
          <w:rFonts w:ascii="Times New Roman" w:eastAsia="Times" w:hAnsi="Times New Roman"/>
          <w:b/>
          <w:bCs/>
          <w:noProof/>
          <w:sz w:val="24"/>
          <w:szCs w:val="24"/>
          <w:lang w:eastAsia="zh-CN"/>
        </w:rPr>
        <w:drawing>
          <wp:inline distT="0" distB="0" distL="0" distR="0" wp14:anchorId="4D75E950" wp14:editId="3F8488A4">
            <wp:extent cx="5752465" cy="4944110"/>
            <wp:effectExtent l="0" t="0" r="635" b="8890"/>
            <wp:docPr id="19" name="Picture 19" descr="double_table_S1-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ouble_table_S1-OX"/>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32BFA373" w14:textId="77777777" w:rsidR="00FD4465"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5B5A6DF3" w14:textId="25A8E9BB" w:rsidR="00592B58" w:rsidRPr="005B0702" w:rsidRDefault="00592B58" w:rsidP="005B0702">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 xml:space="preserve">Supplementary figure </w:t>
      </w:r>
      <w:r w:rsidR="00A73010">
        <w:rPr>
          <w:rFonts w:ascii="Times New Roman" w:eastAsia="Times" w:hAnsi="Times New Roman"/>
          <w:b/>
          <w:bCs/>
          <w:sz w:val="24"/>
          <w:szCs w:val="24"/>
          <w:lang w:val="en-US"/>
        </w:rPr>
        <w:t>20</w:t>
      </w:r>
      <w:r>
        <w:rPr>
          <w:rFonts w:ascii="Times New Roman" w:eastAsia="Times" w:hAnsi="Times New Roman"/>
          <w:b/>
          <w:bCs/>
          <w:sz w:val="24"/>
          <w:szCs w:val="24"/>
          <w:lang w:val="en-US"/>
        </w:rPr>
        <w:t xml:space="preserve">A-D: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birectional</w:t>
      </w:r>
      <w:proofErr w:type="spellEnd"/>
      <w:r>
        <w:rPr>
          <w:rFonts w:ascii="Times New Roman" w:eastAsia="Times" w:hAnsi="Times New Roman"/>
          <w:bCs/>
          <w:sz w:val="24"/>
          <w:szCs w:val="24"/>
          <w:lang w:val="en-US"/>
        </w:rPr>
        <w:t xml:space="preserve"> plot and</w:t>
      </w:r>
      <w:r w:rsidRPr="00DF1ED8">
        <w:rPr>
          <w:rFonts w:ascii="Times New Roman" w:eastAsia="Times" w:hAnsi="Times New Roman"/>
          <w:bCs/>
          <w:sz w:val="24"/>
          <w:szCs w:val="24"/>
          <w:lang w:val="en-US"/>
        </w:rPr>
        <w:t xml:space="preserve"> table, </w:t>
      </w:r>
      <w:proofErr w:type="spellStart"/>
      <w:r w:rsidRPr="00DF1ED8">
        <w:rPr>
          <w:rFonts w:ascii="Times New Roman" w:eastAsia="Times" w:hAnsi="Times New Roman"/>
          <w:bCs/>
          <w:sz w:val="24"/>
          <w:szCs w:val="24"/>
          <w:lang w:val="en-US"/>
        </w:rPr>
        <w:t>fluoropyridimine</w:t>
      </w:r>
      <w:proofErr w:type="spellEnd"/>
      <w:r w:rsidRPr="00DF1ED8">
        <w:rPr>
          <w:rFonts w:ascii="Times New Roman" w:eastAsia="Times" w:hAnsi="Times New Roman"/>
          <w:bCs/>
          <w:sz w:val="24"/>
          <w:szCs w:val="24"/>
          <w:lang w:val="en-US"/>
        </w:rPr>
        <w:t xml:space="preserve"> (5-FU, S-1)</w:t>
      </w:r>
      <w:r>
        <w:rPr>
          <w:rFonts w:ascii="Times New Roman" w:eastAsia="Times" w:hAnsi="Times New Roman"/>
          <w:bCs/>
          <w:sz w:val="24"/>
          <w:szCs w:val="24"/>
          <w:lang w:val="en-US"/>
        </w:rPr>
        <w:t xml:space="preserve"> </w:t>
      </w:r>
      <w:r w:rsidRPr="00DF1ED8">
        <w:rPr>
          <w:rFonts w:ascii="Times New Roman" w:eastAsia="Times" w:hAnsi="Times New Roman"/>
          <w:bCs/>
          <w:sz w:val="24"/>
          <w:szCs w:val="24"/>
          <w:lang w:val="en-US"/>
        </w:rPr>
        <w:t xml:space="preserve">+ </w:t>
      </w:r>
      <w:proofErr w:type="spellStart"/>
      <w:r w:rsidRPr="00DF1ED8">
        <w:rPr>
          <w:rFonts w:ascii="Times New Roman" w:eastAsia="Times" w:hAnsi="Times New Roman"/>
          <w:bCs/>
          <w:sz w:val="24"/>
          <w:szCs w:val="24"/>
          <w:lang w:val="en-US"/>
        </w:rPr>
        <w:t>taxane</w:t>
      </w:r>
      <w:proofErr w:type="spellEnd"/>
      <w:r w:rsidRPr="00DF1ED8">
        <w:rPr>
          <w:rFonts w:ascii="Times New Roman" w:eastAsia="Times" w:hAnsi="Times New Roman"/>
          <w:bCs/>
          <w:sz w:val="24"/>
          <w:szCs w:val="24"/>
          <w:lang w:val="en-US"/>
        </w:rPr>
        <w:t xml:space="preserve"> (DTX=docetaxel, PTX = paclitaxel) </w:t>
      </w:r>
      <w:r w:rsidRPr="005B0702">
        <w:rPr>
          <w:rFonts w:ascii="Times New Roman" w:eastAsia="Times" w:hAnsi="Times New Roman"/>
          <w:b/>
          <w:bCs/>
          <w:sz w:val="24"/>
          <w:szCs w:val="24"/>
          <w:lang w:val="en-US"/>
        </w:rPr>
        <w:t>A.</w:t>
      </w:r>
      <w:r w:rsidRPr="00DF1ED8">
        <w:rPr>
          <w:rFonts w:ascii="Times New Roman" w:eastAsia="Times" w:hAnsi="Times New Roman"/>
          <w:bCs/>
          <w:sz w:val="24"/>
          <w:szCs w:val="24"/>
          <w:lang w:val="en-US"/>
        </w:rPr>
        <w:t xml:space="preserve"> 5FU-DTX, </w:t>
      </w:r>
      <w:r w:rsidRPr="005B0702">
        <w:rPr>
          <w:rFonts w:ascii="Times New Roman" w:eastAsia="Times" w:hAnsi="Times New Roman"/>
          <w:b/>
          <w:bCs/>
          <w:sz w:val="24"/>
          <w:szCs w:val="24"/>
          <w:lang w:val="en-US"/>
        </w:rPr>
        <w:t>B.</w:t>
      </w:r>
      <w:r w:rsidRPr="00DF1ED8">
        <w:rPr>
          <w:rFonts w:ascii="Times New Roman" w:eastAsia="Times" w:hAnsi="Times New Roman"/>
          <w:bCs/>
          <w:sz w:val="24"/>
          <w:szCs w:val="24"/>
          <w:lang w:val="en-US"/>
        </w:rPr>
        <w:t xml:space="preserve"> 5FU-PTX, </w:t>
      </w:r>
      <w:r w:rsidRPr="005B0702">
        <w:rPr>
          <w:rFonts w:ascii="Times New Roman" w:eastAsia="Times" w:hAnsi="Times New Roman"/>
          <w:b/>
          <w:bCs/>
          <w:sz w:val="24"/>
          <w:szCs w:val="24"/>
          <w:lang w:val="en-US"/>
        </w:rPr>
        <w:t>C.</w:t>
      </w:r>
      <w:r w:rsidRPr="00DF1ED8">
        <w:rPr>
          <w:rFonts w:ascii="Times New Roman" w:eastAsia="Times" w:hAnsi="Times New Roman"/>
          <w:bCs/>
          <w:sz w:val="24"/>
          <w:szCs w:val="24"/>
          <w:lang w:val="en-US"/>
        </w:rPr>
        <w:t xml:space="preserve"> S1-DTX, </w:t>
      </w:r>
      <w:r w:rsidRPr="005B0702">
        <w:rPr>
          <w:rFonts w:ascii="Times New Roman" w:eastAsia="Times" w:hAnsi="Times New Roman"/>
          <w:b/>
          <w:bCs/>
          <w:sz w:val="24"/>
          <w:szCs w:val="24"/>
          <w:lang w:val="en-US"/>
        </w:rPr>
        <w:t>D.</w:t>
      </w:r>
      <w:r w:rsidRPr="00DF1ED8">
        <w:rPr>
          <w:rFonts w:ascii="Times New Roman" w:eastAsia="Times" w:hAnsi="Times New Roman"/>
          <w:bCs/>
          <w:sz w:val="24"/>
          <w:szCs w:val="24"/>
          <w:lang w:val="en-US"/>
        </w:rPr>
        <w:t xml:space="preserve"> S1-PTX</w:t>
      </w:r>
    </w:p>
    <w:p w14:paraId="3738F6E4"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t>A.</w:t>
      </w:r>
      <w:r w:rsidRPr="009B7AD8">
        <w:rPr>
          <w:rFonts w:ascii="Times New Roman" w:eastAsia="Times" w:hAnsi="Times New Roman"/>
          <w:bCs/>
          <w:sz w:val="24"/>
          <w:szCs w:val="24"/>
          <w:lang w:val="en-US"/>
        </w:rPr>
        <w:t xml:space="preserve"> </w:t>
      </w:r>
      <w:r>
        <w:rPr>
          <w:rFonts w:ascii="Times New Roman" w:eastAsia="Times" w:hAnsi="Times New Roman"/>
          <w:bCs/>
          <w:noProof/>
          <w:sz w:val="24"/>
          <w:szCs w:val="24"/>
          <w:lang w:eastAsia="zh-CN"/>
        </w:rPr>
        <w:drawing>
          <wp:inline distT="0" distB="0" distL="0" distR="0" wp14:anchorId="5A7AC89A" wp14:editId="336EB1A9">
            <wp:extent cx="5752465" cy="4947285"/>
            <wp:effectExtent l="0" t="0" r="635" b="5715"/>
            <wp:docPr id="65" name="Picture 65" descr="C:\Users\Loklam\AppData\Local\Microsoft\Windows\INetCache\Content.Word\double_table_5FU-DT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Loklam\AppData\Local\Microsoft\Windows\INetCache\Content.Word\double_table_5FU-DTX.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52465" cy="4947285"/>
                    </a:xfrm>
                    <a:prstGeom prst="rect">
                      <a:avLst/>
                    </a:prstGeom>
                    <a:noFill/>
                    <a:ln>
                      <a:noFill/>
                    </a:ln>
                  </pic:spPr>
                </pic:pic>
              </a:graphicData>
            </a:graphic>
          </wp:inline>
        </w:drawing>
      </w:r>
    </w:p>
    <w:p w14:paraId="1F646D16"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B.</w:t>
      </w:r>
      <w:r>
        <w:rPr>
          <w:rFonts w:ascii="Times New Roman" w:eastAsia="Times" w:hAnsi="Times New Roman"/>
          <w:b/>
          <w:bCs/>
          <w:noProof/>
          <w:sz w:val="24"/>
          <w:szCs w:val="24"/>
          <w:lang w:eastAsia="zh-CN"/>
        </w:rPr>
        <w:drawing>
          <wp:inline distT="0" distB="0" distL="0" distR="0" wp14:anchorId="38A26195" wp14:editId="48866C04">
            <wp:extent cx="5752465" cy="4944110"/>
            <wp:effectExtent l="0" t="0" r="635" b="8890"/>
            <wp:docPr id="18" name="Picture 18" descr="double_table_5FU-P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ouble_table_5FU-PTX"/>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6AB999D0"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C.</w:t>
      </w:r>
      <w:r>
        <w:rPr>
          <w:rFonts w:ascii="Times New Roman" w:eastAsia="Times" w:hAnsi="Times New Roman"/>
          <w:b/>
          <w:bCs/>
          <w:noProof/>
          <w:sz w:val="24"/>
          <w:szCs w:val="24"/>
          <w:lang w:eastAsia="zh-CN"/>
        </w:rPr>
        <w:drawing>
          <wp:inline distT="0" distB="0" distL="0" distR="0" wp14:anchorId="67EABBF4" wp14:editId="33396C10">
            <wp:extent cx="5752465" cy="4944110"/>
            <wp:effectExtent l="0" t="0" r="635" b="8890"/>
            <wp:docPr id="17" name="Picture 17" descr="double_table_S1-D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ouble_table_S1-DTX"/>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6D4EC2EF" w14:textId="77777777" w:rsidR="00FD4465"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01994D21"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D.</w:t>
      </w:r>
    </w:p>
    <w:p w14:paraId="713099AA"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noProof/>
          <w:sz w:val="24"/>
          <w:szCs w:val="24"/>
          <w:lang w:eastAsia="zh-CN"/>
        </w:rPr>
        <w:drawing>
          <wp:inline distT="0" distB="0" distL="0" distR="0" wp14:anchorId="3CF37548" wp14:editId="62E73255">
            <wp:extent cx="5752465" cy="4944110"/>
            <wp:effectExtent l="0" t="0" r="635" b="8890"/>
            <wp:docPr id="16" name="Picture 16" descr="double_table_S1-P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ouble_table_S1-PTX"/>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7084152D" w14:textId="77777777" w:rsidR="00FD4465"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162D65D9" w14:textId="244ECDCC" w:rsidR="00592B58" w:rsidRPr="00493F19" w:rsidRDefault="00592B58" w:rsidP="00592B58">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Supplementary figure 2</w:t>
      </w:r>
      <w:r w:rsidR="00A73010">
        <w:rPr>
          <w:rFonts w:ascii="Times New Roman" w:eastAsia="Times" w:hAnsi="Times New Roman"/>
          <w:b/>
          <w:bCs/>
          <w:sz w:val="24"/>
          <w:szCs w:val="24"/>
          <w:lang w:val="en-US"/>
        </w:rPr>
        <w:t>1</w:t>
      </w:r>
      <w:r>
        <w:rPr>
          <w:rFonts w:ascii="Times New Roman" w:eastAsia="Times" w:hAnsi="Times New Roman"/>
          <w:b/>
          <w:bCs/>
          <w:sz w:val="24"/>
          <w:szCs w:val="24"/>
          <w:lang w:val="en-US"/>
        </w:rPr>
        <w:t xml:space="preserve">A-C: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birectional</w:t>
      </w:r>
      <w:proofErr w:type="spellEnd"/>
      <w:r>
        <w:rPr>
          <w:rFonts w:ascii="Times New Roman" w:eastAsia="Times" w:hAnsi="Times New Roman"/>
          <w:bCs/>
          <w:sz w:val="24"/>
          <w:szCs w:val="24"/>
          <w:lang w:val="en-US"/>
        </w:rPr>
        <w:t xml:space="preserve"> plot and</w:t>
      </w:r>
      <w:r w:rsidRPr="00DF1ED8">
        <w:rPr>
          <w:rFonts w:ascii="Times New Roman" w:eastAsia="Times" w:hAnsi="Times New Roman"/>
          <w:bCs/>
          <w:sz w:val="24"/>
          <w:szCs w:val="24"/>
          <w:lang w:val="en-US"/>
        </w:rPr>
        <w:t xml:space="preserve"> table, cisplatin (C) + fluoropyrimidine (5-FU, CAP, S1) </w:t>
      </w:r>
      <w:r w:rsidRPr="005B0702">
        <w:rPr>
          <w:rFonts w:ascii="Times New Roman" w:eastAsia="Times" w:hAnsi="Times New Roman"/>
          <w:b/>
          <w:bCs/>
          <w:sz w:val="24"/>
          <w:szCs w:val="24"/>
          <w:lang w:val="en-US"/>
        </w:rPr>
        <w:t xml:space="preserve">A. </w:t>
      </w:r>
      <w:r w:rsidRPr="00DF1ED8">
        <w:rPr>
          <w:rFonts w:ascii="Times New Roman" w:eastAsia="Times" w:hAnsi="Times New Roman"/>
          <w:bCs/>
          <w:sz w:val="24"/>
          <w:szCs w:val="24"/>
          <w:lang w:val="en-US"/>
        </w:rPr>
        <w:t>C-5FU</w:t>
      </w:r>
      <w:r w:rsidRPr="005B0702">
        <w:rPr>
          <w:rFonts w:ascii="Times New Roman" w:eastAsia="Times" w:hAnsi="Times New Roman"/>
          <w:bCs/>
          <w:sz w:val="24"/>
          <w:szCs w:val="24"/>
          <w:lang w:val="en-US"/>
        </w:rPr>
        <w:t xml:space="preserve">, </w:t>
      </w:r>
      <w:r w:rsidRPr="005B0702">
        <w:rPr>
          <w:rFonts w:ascii="Times New Roman" w:eastAsia="Times" w:hAnsi="Times New Roman"/>
          <w:b/>
          <w:bCs/>
          <w:sz w:val="24"/>
          <w:szCs w:val="24"/>
          <w:lang w:val="en-US"/>
        </w:rPr>
        <w:t>B.</w:t>
      </w:r>
      <w:r w:rsidRPr="00DF1ED8">
        <w:rPr>
          <w:rFonts w:ascii="Times New Roman" w:eastAsia="Times" w:hAnsi="Times New Roman"/>
          <w:bCs/>
          <w:sz w:val="24"/>
          <w:szCs w:val="24"/>
          <w:lang w:val="en-US"/>
        </w:rPr>
        <w:t xml:space="preserve"> C-CAP, </w:t>
      </w:r>
      <w:r w:rsidRPr="005B0702">
        <w:rPr>
          <w:rFonts w:ascii="Times New Roman" w:eastAsia="Times" w:hAnsi="Times New Roman"/>
          <w:b/>
          <w:bCs/>
          <w:sz w:val="24"/>
          <w:szCs w:val="24"/>
          <w:lang w:val="en-US"/>
        </w:rPr>
        <w:t>C.</w:t>
      </w:r>
      <w:r w:rsidRPr="00DF1ED8">
        <w:rPr>
          <w:rFonts w:ascii="Times New Roman" w:eastAsia="Times" w:hAnsi="Times New Roman"/>
          <w:bCs/>
          <w:sz w:val="24"/>
          <w:szCs w:val="24"/>
          <w:lang w:val="en-US"/>
        </w:rPr>
        <w:t xml:space="preserve"> C-S1</w:t>
      </w:r>
    </w:p>
    <w:p w14:paraId="66A8EB1B" w14:textId="77777777" w:rsidR="00592B58" w:rsidRDefault="00592B58" w:rsidP="00FD4465">
      <w:pPr>
        <w:spacing w:line="480" w:lineRule="auto"/>
        <w:rPr>
          <w:rFonts w:ascii="Times New Roman" w:eastAsia="Times" w:hAnsi="Times New Roman"/>
          <w:b/>
          <w:bCs/>
          <w:sz w:val="24"/>
          <w:szCs w:val="24"/>
          <w:lang w:val="en-US"/>
        </w:rPr>
      </w:pPr>
    </w:p>
    <w:p w14:paraId="79504A44"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t>A.</w:t>
      </w:r>
      <w:r>
        <w:rPr>
          <w:rFonts w:ascii="Times New Roman" w:eastAsia="Times" w:hAnsi="Times New Roman"/>
          <w:b/>
          <w:bCs/>
          <w:noProof/>
          <w:sz w:val="24"/>
          <w:szCs w:val="24"/>
          <w:lang w:eastAsia="zh-CN"/>
        </w:rPr>
        <w:drawing>
          <wp:inline distT="0" distB="0" distL="0" distR="0" wp14:anchorId="5A82C54A" wp14:editId="65D77CA0">
            <wp:extent cx="5752465" cy="4944110"/>
            <wp:effectExtent l="0" t="0" r="635" b="8890"/>
            <wp:docPr id="15" name="Picture 15" descr="double_table_C-5F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double_table_C-5FU"/>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1D040716" w14:textId="3F513F13"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B.</w:t>
      </w:r>
      <w:r>
        <w:rPr>
          <w:rFonts w:ascii="Times New Roman" w:eastAsia="Times" w:hAnsi="Times New Roman"/>
          <w:b/>
          <w:bCs/>
          <w:noProof/>
          <w:sz w:val="24"/>
          <w:szCs w:val="24"/>
          <w:lang w:eastAsia="zh-CN"/>
        </w:rPr>
        <w:drawing>
          <wp:inline distT="0" distB="0" distL="0" distR="0" wp14:anchorId="16D4F0AD" wp14:editId="42E0BF1D">
            <wp:extent cx="5524500" cy="4748179"/>
            <wp:effectExtent l="0" t="0" r="0" b="0"/>
            <wp:docPr id="14" name="Picture 14" descr="double_table_C-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ouble_table_C-CAP"/>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526608" cy="4749991"/>
                    </a:xfrm>
                    <a:prstGeom prst="rect">
                      <a:avLst/>
                    </a:prstGeom>
                    <a:noFill/>
                    <a:ln>
                      <a:noFill/>
                    </a:ln>
                  </pic:spPr>
                </pic:pic>
              </a:graphicData>
            </a:graphic>
          </wp:inline>
        </w:drawing>
      </w:r>
      <w:r>
        <w:rPr>
          <w:rFonts w:ascii="Times New Roman" w:eastAsia="Times" w:hAnsi="Times New Roman"/>
          <w:b/>
          <w:bCs/>
          <w:sz w:val="24"/>
          <w:szCs w:val="24"/>
          <w:lang w:val="en-US"/>
        </w:rPr>
        <w:lastRenderedPageBreak/>
        <w:t>C.</w:t>
      </w:r>
      <w:r>
        <w:rPr>
          <w:rFonts w:ascii="Times New Roman" w:eastAsia="Times" w:hAnsi="Times New Roman"/>
          <w:b/>
          <w:bCs/>
          <w:noProof/>
          <w:sz w:val="24"/>
          <w:szCs w:val="24"/>
          <w:lang w:eastAsia="zh-CN"/>
        </w:rPr>
        <w:drawing>
          <wp:inline distT="0" distB="0" distL="0" distR="0" wp14:anchorId="67F0FE6C" wp14:editId="1E14ADAA">
            <wp:extent cx="5452503" cy="4686300"/>
            <wp:effectExtent l="0" t="0" r="0" b="0"/>
            <wp:docPr id="13" name="Picture 13" descr="double_table_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ouble_table_C-S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455935" cy="4689250"/>
                    </a:xfrm>
                    <a:prstGeom prst="rect">
                      <a:avLst/>
                    </a:prstGeom>
                    <a:noFill/>
                    <a:ln>
                      <a:noFill/>
                    </a:ln>
                  </pic:spPr>
                </pic:pic>
              </a:graphicData>
            </a:graphic>
          </wp:inline>
        </w:drawing>
      </w:r>
    </w:p>
    <w:p w14:paraId="3E90A1EC" w14:textId="77777777" w:rsidR="00592B58" w:rsidRDefault="00592B58" w:rsidP="00592B58">
      <w:pPr>
        <w:spacing w:before="240" w:after="0" w:line="480" w:lineRule="auto"/>
        <w:rPr>
          <w:rFonts w:ascii="Times New Roman" w:eastAsia="Times" w:hAnsi="Times New Roman"/>
          <w:b/>
          <w:bCs/>
          <w:sz w:val="24"/>
          <w:szCs w:val="24"/>
          <w:lang w:val="en-US"/>
        </w:rPr>
      </w:pPr>
    </w:p>
    <w:p w14:paraId="4DA0A6C9" w14:textId="77777777" w:rsidR="00592B58" w:rsidRDefault="00592B58" w:rsidP="00592B58">
      <w:pPr>
        <w:spacing w:before="240" w:after="0" w:line="480" w:lineRule="auto"/>
        <w:rPr>
          <w:rFonts w:ascii="Times New Roman" w:eastAsia="Times" w:hAnsi="Times New Roman"/>
          <w:b/>
          <w:bCs/>
          <w:sz w:val="24"/>
          <w:szCs w:val="24"/>
          <w:lang w:val="en-US"/>
        </w:rPr>
      </w:pPr>
    </w:p>
    <w:p w14:paraId="272B54DF" w14:textId="77777777" w:rsidR="00592B58" w:rsidRDefault="00592B58" w:rsidP="00592B58">
      <w:pPr>
        <w:spacing w:before="240" w:after="0" w:line="480" w:lineRule="auto"/>
        <w:rPr>
          <w:rFonts w:ascii="Times New Roman" w:eastAsia="Times" w:hAnsi="Times New Roman"/>
          <w:b/>
          <w:bCs/>
          <w:sz w:val="24"/>
          <w:szCs w:val="24"/>
          <w:lang w:val="en-US"/>
        </w:rPr>
      </w:pPr>
    </w:p>
    <w:p w14:paraId="4463BF69" w14:textId="77777777" w:rsidR="00592B58" w:rsidRDefault="00592B58" w:rsidP="00592B58">
      <w:pPr>
        <w:spacing w:before="240" w:after="0" w:line="480" w:lineRule="auto"/>
        <w:rPr>
          <w:rFonts w:ascii="Times New Roman" w:eastAsia="Times" w:hAnsi="Times New Roman"/>
          <w:b/>
          <w:bCs/>
          <w:sz w:val="24"/>
          <w:szCs w:val="24"/>
          <w:lang w:val="en-US"/>
        </w:rPr>
      </w:pPr>
    </w:p>
    <w:p w14:paraId="41B2F52A" w14:textId="77777777" w:rsidR="00592B58" w:rsidRDefault="00592B58" w:rsidP="00592B58">
      <w:pPr>
        <w:spacing w:before="240" w:after="0" w:line="480" w:lineRule="auto"/>
        <w:rPr>
          <w:rFonts w:ascii="Times New Roman" w:eastAsia="Times" w:hAnsi="Times New Roman"/>
          <w:b/>
          <w:bCs/>
          <w:sz w:val="24"/>
          <w:szCs w:val="24"/>
          <w:lang w:val="en-US"/>
        </w:rPr>
      </w:pPr>
    </w:p>
    <w:p w14:paraId="097413D1" w14:textId="77777777" w:rsidR="00592B58" w:rsidRDefault="00592B58" w:rsidP="00592B58">
      <w:pPr>
        <w:spacing w:before="240" w:after="0" w:line="480" w:lineRule="auto"/>
        <w:rPr>
          <w:rFonts w:ascii="Times New Roman" w:eastAsia="Times" w:hAnsi="Times New Roman"/>
          <w:b/>
          <w:bCs/>
          <w:sz w:val="24"/>
          <w:szCs w:val="24"/>
          <w:lang w:val="en-US"/>
        </w:rPr>
      </w:pPr>
    </w:p>
    <w:p w14:paraId="4528FE4F" w14:textId="77777777" w:rsidR="00592B58" w:rsidRDefault="00592B58" w:rsidP="00592B58">
      <w:pPr>
        <w:spacing w:before="240" w:after="0" w:line="480" w:lineRule="auto"/>
        <w:rPr>
          <w:rFonts w:ascii="Times New Roman" w:eastAsia="Times" w:hAnsi="Times New Roman"/>
          <w:b/>
          <w:bCs/>
          <w:sz w:val="24"/>
          <w:szCs w:val="24"/>
          <w:lang w:val="en-US"/>
        </w:rPr>
      </w:pPr>
    </w:p>
    <w:p w14:paraId="11705401" w14:textId="77777777" w:rsidR="00982DE8" w:rsidRDefault="00982DE8">
      <w:pPr>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50B0FE2E" w14:textId="18AF2021" w:rsidR="00592B58" w:rsidRDefault="00592B58" w:rsidP="00592B58">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Supplementary figure 2</w:t>
      </w:r>
      <w:r w:rsidR="00A73010">
        <w:rPr>
          <w:rFonts w:ascii="Times New Roman" w:eastAsia="Times" w:hAnsi="Times New Roman"/>
          <w:b/>
          <w:bCs/>
          <w:sz w:val="24"/>
          <w:szCs w:val="24"/>
          <w:lang w:val="en-US"/>
        </w:rPr>
        <w:t>2</w:t>
      </w:r>
      <w:r>
        <w:rPr>
          <w:rFonts w:ascii="Times New Roman" w:eastAsia="Times" w:hAnsi="Times New Roman"/>
          <w:b/>
          <w:bCs/>
          <w:sz w:val="24"/>
          <w:szCs w:val="24"/>
          <w:lang w:val="en-US"/>
        </w:rPr>
        <w:t xml:space="preserve">: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birectional</w:t>
      </w:r>
      <w:proofErr w:type="spellEnd"/>
      <w:r>
        <w:rPr>
          <w:rFonts w:ascii="Times New Roman" w:eastAsia="Times" w:hAnsi="Times New Roman"/>
          <w:bCs/>
          <w:sz w:val="24"/>
          <w:szCs w:val="24"/>
          <w:lang w:val="en-US"/>
        </w:rPr>
        <w:t xml:space="preserve"> plot and</w:t>
      </w:r>
      <w:r w:rsidRPr="00DF1ED8">
        <w:rPr>
          <w:rFonts w:ascii="Times New Roman" w:eastAsia="Times" w:hAnsi="Times New Roman"/>
          <w:bCs/>
          <w:sz w:val="24"/>
          <w:szCs w:val="24"/>
          <w:lang w:val="en-US"/>
        </w:rPr>
        <w:t xml:space="preserve"> table, cisplatin (C) + </w:t>
      </w:r>
      <w:proofErr w:type="spellStart"/>
      <w:r w:rsidRPr="00DF1ED8">
        <w:rPr>
          <w:rFonts w:ascii="Times New Roman" w:eastAsia="Times" w:hAnsi="Times New Roman"/>
          <w:bCs/>
          <w:sz w:val="24"/>
          <w:szCs w:val="24"/>
          <w:lang w:val="en-US"/>
        </w:rPr>
        <w:t>taxane</w:t>
      </w:r>
      <w:proofErr w:type="spellEnd"/>
      <w:r w:rsidRPr="00DF1ED8">
        <w:rPr>
          <w:rFonts w:ascii="Times New Roman" w:eastAsia="Times" w:hAnsi="Times New Roman"/>
          <w:bCs/>
          <w:sz w:val="24"/>
          <w:szCs w:val="24"/>
          <w:lang w:val="en-US"/>
        </w:rPr>
        <w:t xml:space="preserve"> (DTX)</w:t>
      </w:r>
    </w:p>
    <w:p w14:paraId="3114109D" w14:textId="77777777" w:rsidR="00FD4465" w:rsidRDefault="00FD4465" w:rsidP="00FD4465">
      <w:pPr>
        <w:spacing w:line="480" w:lineRule="auto"/>
        <w:rPr>
          <w:rFonts w:ascii="Times New Roman" w:eastAsia="Times" w:hAnsi="Times New Roman"/>
          <w:bCs/>
          <w:sz w:val="24"/>
          <w:szCs w:val="24"/>
          <w:lang w:val="en-US"/>
        </w:rPr>
      </w:pPr>
      <w:r>
        <w:rPr>
          <w:rFonts w:ascii="Times New Roman" w:eastAsia="Times" w:hAnsi="Times New Roman"/>
          <w:b/>
          <w:bCs/>
          <w:noProof/>
          <w:sz w:val="24"/>
          <w:szCs w:val="24"/>
          <w:lang w:eastAsia="zh-CN"/>
        </w:rPr>
        <w:drawing>
          <wp:inline distT="0" distB="0" distL="0" distR="0" wp14:anchorId="52B73AA3" wp14:editId="5A51711B">
            <wp:extent cx="5752465" cy="4944110"/>
            <wp:effectExtent l="0" t="0" r="635" b="8890"/>
            <wp:docPr id="12" name="Picture 12" descr="double_table_C-D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ouble_table_C-DTX"/>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69CE3212" w14:textId="77777777" w:rsidR="00FD4465" w:rsidRDefault="00FD4465" w:rsidP="00FD4465">
      <w:pPr>
        <w:spacing w:after="0" w:line="480" w:lineRule="auto"/>
        <w:rPr>
          <w:rFonts w:ascii="Times New Roman" w:eastAsia="Times" w:hAnsi="Times New Roman"/>
          <w:bCs/>
          <w:sz w:val="24"/>
          <w:szCs w:val="24"/>
          <w:lang w:val="en-US"/>
        </w:rPr>
      </w:pPr>
      <w:r>
        <w:rPr>
          <w:rFonts w:ascii="Times New Roman" w:eastAsia="Times" w:hAnsi="Times New Roman"/>
          <w:bCs/>
          <w:sz w:val="24"/>
          <w:szCs w:val="24"/>
          <w:lang w:val="en-US"/>
        </w:rPr>
        <w:br w:type="page"/>
      </w:r>
    </w:p>
    <w:p w14:paraId="2663D0FB" w14:textId="35DC0E73" w:rsidR="00FD4465" w:rsidRPr="00592B58" w:rsidRDefault="00592B58" w:rsidP="00592B58">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Supplementary figure 2</w:t>
      </w:r>
      <w:r w:rsidR="00A73010">
        <w:rPr>
          <w:rFonts w:ascii="Times New Roman" w:eastAsia="Times" w:hAnsi="Times New Roman"/>
          <w:b/>
          <w:bCs/>
          <w:sz w:val="24"/>
          <w:szCs w:val="24"/>
          <w:lang w:val="en-US"/>
        </w:rPr>
        <w:t>3</w:t>
      </w:r>
      <w:r>
        <w:rPr>
          <w:rFonts w:ascii="Times New Roman" w:eastAsia="Times" w:hAnsi="Times New Roman"/>
          <w:b/>
          <w:bCs/>
          <w:sz w:val="24"/>
          <w:szCs w:val="24"/>
          <w:lang w:val="en-US"/>
        </w:rPr>
        <w:t xml:space="preserve">: </w:t>
      </w:r>
      <w:proofErr w:type="spellStart"/>
      <w:r w:rsidRPr="00DF1ED8">
        <w:rPr>
          <w:rFonts w:ascii="Times New Roman" w:eastAsia="Times" w:hAnsi="Times New Roman"/>
          <w:bCs/>
          <w:sz w:val="24"/>
          <w:szCs w:val="24"/>
          <w:lang w:val="en-US"/>
        </w:rPr>
        <w:t>TOXplot</w:t>
      </w:r>
      <w:proofErr w:type="spellEnd"/>
      <w:r w:rsidRPr="00DF1ED8">
        <w:rPr>
          <w:rFonts w:ascii="Times New Roman" w:eastAsia="Times" w:hAnsi="Times New Roman"/>
          <w:bCs/>
          <w:sz w:val="24"/>
          <w:szCs w:val="24"/>
          <w:lang w:val="en-US"/>
        </w:rPr>
        <w:t xml:space="preserve"> </w:t>
      </w:r>
      <w:proofErr w:type="spellStart"/>
      <w:r w:rsidRPr="00DF1ED8">
        <w:rPr>
          <w:rFonts w:ascii="Times New Roman" w:eastAsia="Times" w:hAnsi="Times New Roman"/>
          <w:bCs/>
          <w:sz w:val="24"/>
          <w:szCs w:val="24"/>
          <w:lang w:val="en-US"/>
        </w:rPr>
        <w:t>birectional</w:t>
      </w:r>
      <w:proofErr w:type="spellEnd"/>
      <w:r w:rsidRPr="00DF1ED8">
        <w:rPr>
          <w:rFonts w:ascii="Times New Roman" w:eastAsia="Times" w:hAnsi="Times New Roman"/>
          <w:bCs/>
          <w:sz w:val="24"/>
          <w:szCs w:val="24"/>
          <w:lang w:val="en-US"/>
        </w:rPr>
        <w:t xml:space="preserve"> plot + table, cisplatin (C) + </w:t>
      </w:r>
      <w:r>
        <w:rPr>
          <w:rFonts w:ascii="Times New Roman" w:eastAsia="Times" w:hAnsi="Times New Roman"/>
          <w:bCs/>
          <w:sz w:val="24"/>
          <w:szCs w:val="24"/>
          <w:lang w:val="en-US"/>
        </w:rPr>
        <w:t>irinotecan (I)</w:t>
      </w:r>
    </w:p>
    <w:p w14:paraId="5E54EAFF" w14:textId="77777777" w:rsidR="00FD4465" w:rsidRDefault="00FD4465" w:rsidP="00FD4465">
      <w:pPr>
        <w:spacing w:line="480" w:lineRule="auto"/>
        <w:rPr>
          <w:rFonts w:ascii="Times New Roman" w:eastAsia="Times" w:hAnsi="Times New Roman"/>
          <w:bCs/>
          <w:sz w:val="24"/>
          <w:szCs w:val="24"/>
          <w:lang w:val="en-US"/>
        </w:rPr>
      </w:pPr>
      <w:r>
        <w:rPr>
          <w:rFonts w:ascii="Times New Roman" w:eastAsia="Times" w:hAnsi="Times New Roman"/>
          <w:b/>
          <w:bCs/>
          <w:noProof/>
          <w:sz w:val="24"/>
          <w:szCs w:val="24"/>
          <w:lang w:eastAsia="zh-CN"/>
        </w:rPr>
        <w:drawing>
          <wp:inline distT="0" distB="0" distL="0" distR="0" wp14:anchorId="016CF640" wp14:editId="4C2F95C5">
            <wp:extent cx="5752465" cy="4944110"/>
            <wp:effectExtent l="0" t="0" r="635" b="8890"/>
            <wp:docPr id="11" name="Picture 11" descr="double_table_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ouble_table_CI"/>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7AC83337" w14:textId="77777777" w:rsidR="00FD4465" w:rsidRDefault="00FD4465" w:rsidP="00FD4465">
      <w:pPr>
        <w:spacing w:after="0" w:line="480" w:lineRule="auto"/>
        <w:rPr>
          <w:rFonts w:ascii="Times New Roman" w:eastAsia="Times" w:hAnsi="Times New Roman"/>
          <w:bCs/>
          <w:sz w:val="24"/>
          <w:szCs w:val="24"/>
          <w:lang w:val="en-US"/>
        </w:rPr>
      </w:pPr>
      <w:r>
        <w:rPr>
          <w:rFonts w:ascii="Times New Roman" w:eastAsia="Times" w:hAnsi="Times New Roman"/>
          <w:bCs/>
          <w:sz w:val="24"/>
          <w:szCs w:val="24"/>
          <w:lang w:val="en-US"/>
        </w:rPr>
        <w:br w:type="page"/>
      </w:r>
    </w:p>
    <w:p w14:paraId="6D61CB79" w14:textId="65061F87" w:rsidR="00592B58" w:rsidRDefault="00592B58" w:rsidP="00592B58">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Supplementary figure 2</w:t>
      </w:r>
      <w:r w:rsidR="00A73010">
        <w:rPr>
          <w:rFonts w:ascii="Times New Roman" w:eastAsia="Times" w:hAnsi="Times New Roman"/>
          <w:b/>
          <w:bCs/>
          <w:sz w:val="24"/>
          <w:szCs w:val="24"/>
          <w:lang w:val="en-US"/>
        </w:rPr>
        <w:t>4</w:t>
      </w:r>
      <w:r>
        <w:rPr>
          <w:rFonts w:ascii="Times New Roman" w:eastAsia="Times" w:hAnsi="Times New Roman"/>
          <w:b/>
          <w:bCs/>
          <w:sz w:val="24"/>
          <w:szCs w:val="24"/>
          <w:lang w:val="en-US"/>
        </w:rPr>
        <w:t xml:space="preserve">: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birectional</w:t>
      </w:r>
      <w:proofErr w:type="spellEnd"/>
      <w:r>
        <w:rPr>
          <w:rFonts w:ascii="Times New Roman" w:eastAsia="Times" w:hAnsi="Times New Roman"/>
          <w:bCs/>
          <w:sz w:val="24"/>
          <w:szCs w:val="24"/>
          <w:lang w:val="en-US"/>
        </w:rPr>
        <w:t xml:space="preserve"> plot and</w:t>
      </w:r>
      <w:r w:rsidRPr="00DF1ED8">
        <w:rPr>
          <w:rFonts w:ascii="Times New Roman" w:eastAsia="Times" w:hAnsi="Times New Roman"/>
          <w:bCs/>
          <w:sz w:val="24"/>
          <w:szCs w:val="24"/>
          <w:lang w:val="en-US"/>
        </w:rPr>
        <w:t xml:space="preserve"> table, </w:t>
      </w:r>
      <w:r>
        <w:rPr>
          <w:rFonts w:ascii="Times New Roman" w:eastAsia="Times" w:hAnsi="Times New Roman"/>
          <w:bCs/>
          <w:sz w:val="24"/>
          <w:szCs w:val="24"/>
          <w:lang w:val="en-US"/>
        </w:rPr>
        <w:t>Docetaxel (T) + Cisplatin (C) + 5-Fluoruracil (F) (TCF).</w:t>
      </w:r>
    </w:p>
    <w:p w14:paraId="5BC7E2F5" w14:textId="77777777" w:rsidR="00FD4465" w:rsidRDefault="00FD4465" w:rsidP="00FD4465">
      <w:pPr>
        <w:spacing w:line="480" w:lineRule="auto"/>
        <w:rPr>
          <w:rFonts w:ascii="Times New Roman" w:eastAsia="Times" w:hAnsi="Times New Roman"/>
          <w:b/>
          <w:bCs/>
          <w:sz w:val="24"/>
          <w:szCs w:val="24"/>
          <w:lang w:val="en-US"/>
        </w:rPr>
      </w:pPr>
      <w:r>
        <w:rPr>
          <w:rFonts w:ascii="Times New Roman" w:eastAsia="Times" w:hAnsi="Times New Roman"/>
          <w:bCs/>
          <w:noProof/>
          <w:sz w:val="24"/>
          <w:szCs w:val="24"/>
          <w:lang w:eastAsia="zh-CN"/>
        </w:rPr>
        <w:drawing>
          <wp:inline distT="0" distB="0" distL="0" distR="0" wp14:anchorId="589179F6" wp14:editId="6000BE0A">
            <wp:extent cx="5752465" cy="4944110"/>
            <wp:effectExtent l="0" t="0" r="635" b="8890"/>
            <wp:docPr id="10" name="Picture 10" descr="double_table_T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ouble_table_TCF"/>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1E5AB08A" w14:textId="77777777" w:rsidR="00FD4465"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18336851" w14:textId="5920F0A6" w:rsidR="00592B58" w:rsidRDefault="00592B58" w:rsidP="00592B58">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Supplementary figure 2</w:t>
      </w:r>
      <w:r w:rsidR="00A73010">
        <w:rPr>
          <w:rFonts w:ascii="Times New Roman" w:eastAsia="Times" w:hAnsi="Times New Roman"/>
          <w:b/>
          <w:bCs/>
          <w:sz w:val="24"/>
          <w:szCs w:val="24"/>
          <w:lang w:val="en-US"/>
        </w:rPr>
        <w:t>5</w:t>
      </w:r>
      <w:r>
        <w:rPr>
          <w:rFonts w:ascii="Times New Roman" w:eastAsia="Times" w:hAnsi="Times New Roman"/>
          <w:b/>
          <w:bCs/>
          <w:sz w:val="24"/>
          <w:szCs w:val="24"/>
          <w:lang w:val="en-US"/>
        </w:rPr>
        <w:t xml:space="preserve">A+B: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birectional</w:t>
      </w:r>
      <w:proofErr w:type="spellEnd"/>
      <w:r>
        <w:rPr>
          <w:rFonts w:ascii="Times New Roman" w:eastAsia="Times" w:hAnsi="Times New Roman"/>
          <w:bCs/>
          <w:sz w:val="24"/>
          <w:szCs w:val="24"/>
          <w:lang w:val="en-US"/>
        </w:rPr>
        <w:t xml:space="preserve"> plot and</w:t>
      </w:r>
      <w:r w:rsidRPr="00DF1ED8">
        <w:rPr>
          <w:rFonts w:ascii="Times New Roman" w:eastAsia="Times" w:hAnsi="Times New Roman"/>
          <w:bCs/>
          <w:sz w:val="24"/>
          <w:szCs w:val="24"/>
          <w:lang w:val="en-US"/>
        </w:rPr>
        <w:t xml:space="preserve"> table, </w:t>
      </w:r>
      <w:proofErr w:type="spellStart"/>
      <w:r w:rsidRPr="00DF1ED8">
        <w:rPr>
          <w:rFonts w:ascii="Times New Roman" w:eastAsia="Times" w:hAnsi="Times New Roman"/>
          <w:bCs/>
          <w:sz w:val="24"/>
          <w:szCs w:val="24"/>
          <w:lang w:val="en-US"/>
        </w:rPr>
        <w:t>Anthracyclin</w:t>
      </w:r>
      <w:proofErr w:type="spellEnd"/>
      <w:r w:rsidRPr="00DF1ED8">
        <w:rPr>
          <w:rFonts w:ascii="Times New Roman" w:eastAsia="Times" w:hAnsi="Times New Roman"/>
          <w:bCs/>
          <w:sz w:val="24"/>
          <w:szCs w:val="24"/>
          <w:lang w:val="en-US"/>
        </w:rPr>
        <w:t xml:space="preserve"> (E=</w:t>
      </w:r>
      <w:proofErr w:type="spellStart"/>
      <w:r w:rsidRPr="00DF1ED8">
        <w:rPr>
          <w:rFonts w:ascii="Times New Roman" w:eastAsia="Times" w:hAnsi="Times New Roman"/>
          <w:bCs/>
          <w:sz w:val="24"/>
          <w:szCs w:val="24"/>
          <w:lang w:val="en-US"/>
        </w:rPr>
        <w:t>epirubicin</w:t>
      </w:r>
      <w:proofErr w:type="spellEnd"/>
      <w:r w:rsidRPr="00DF1ED8">
        <w:rPr>
          <w:rFonts w:ascii="Times New Roman" w:eastAsia="Times" w:hAnsi="Times New Roman"/>
          <w:bCs/>
          <w:sz w:val="24"/>
          <w:szCs w:val="24"/>
          <w:lang w:val="en-US"/>
        </w:rPr>
        <w:t xml:space="preserve">) + cisplatin (C) + fluoropyrimidine (F=5FU, X=CAP) </w:t>
      </w:r>
      <w:r>
        <w:rPr>
          <w:rFonts w:ascii="Times New Roman" w:eastAsia="Times" w:hAnsi="Times New Roman"/>
          <w:bCs/>
          <w:sz w:val="24"/>
          <w:szCs w:val="24"/>
          <w:lang w:val="en-US"/>
        </w:rPr>
        <w:br/>
      </w:r>
      <w:r w:rsidRPr="005B0702">
        <w:rPr>
          <w:rFonts w:ascii="Times New Roman" w:eastAsia="Times" w:hAnsi="Times New Roman"/>
          <w:b/>
          <w:bCs/>
          <w:sz w:val="24"/>
          <w:szCs w:val="24"/>
          <w:lang w:val="en-US"/>
        </w:rPr>
        <w:t>A.</w:t>
      </w:r>
      <w:r w:rsidRPr="00DF1ED8">
        <w:rPr>
          <w:rFonts w:ascii="Times New Roman" w:eastAsia="Times" w:hAnsi="Times New Roman"/>
          <w:bCs/>
          <w:sz w:val="24"/>
          <w:szCs w:val="24"/>
          <w:lang w:val="en-US"/>
        </w:rPr>
        <w:t xml:space="preserve"> ECF, </w:t>
      </w:r>
      <w:r w:rsidRPr="005B0702">
        <w:rPr>
          <w:rFonts w:ascii="Times New Roman" w:eastAsia="Times" w:hAnsi="Times New Roman"/>
          <w:b/>
          <w:bCs/>
          <w:sz w:val="24"/>
          <w:szCs w:val="24"/>
          <w:lang w:val="en-US"/>
        </w:rPr>
        <w:t>B.</w:t>
      </w:r>
      <w:r w:rsidRPr="00DF1ED8">
        <w:rPr>
          <w:rFonts w:ascii="Times New Roman" w:eastAsia="Times" w:hAnsi="Times New Roman"/>
          <w:bCs/>
          <w:sz w:val="24"/>
          <w:szCs w:val="24"/>
          <w:lang w:val="en-US"/>
        </w:rPr>
        <w:t xml:space="preserve"> ECX</w:t>
      </w:r>
    </w:p>
    <w:p w14:paraId="07359829" w14:textId="77777777" w:rsidR="00FD4465" w:rsidRDefault="00592B58" w:rsidP="00FD4465">
      <w:pPr>
        <w:spacing w:line="480" w:lineRule="auto"/>
        <w:rPr>
          <w:rFonts w:ascii="Times New Roman" w:eastAsia="Times" w:hAnsi="Times New Roman"/>
          <w:bCs/>
          <w:sz w:val="24"/>
          <w:szCs w:val="24"/>
          <w:lang w:val="en-US"/>
        </w:rPr>
      </w:pPr>
      <w:r>
        <w:rPr>
          <w:rFonts w:ascii="Times New Roman" w:eastAsia="Times" w:hAnsi="Times New Roman"/>
          <w:bCs/>
          <w:sz w:val="24"/>
          <w:szCs w:val="24"/>
          <w:lang w:val="en-US"/>
        </w:rPr>
        <w:br/>
      </w:r>
      <w:r w:rsidR="00FD4465" w:rsidRPr="00592B58">
        <w:rPr>
          <w:rFonts w:ascii="Times New Roman" w:eastAsia="Times" w:hAnsi="Times New Roman"/>
          <w:b/>
          <w:bCs/>
          <w:sz w:val="24"/>
          <w:szCs w:val="24"/>
          <w:lang w:val="en-US"/>
        </w:rPr>
        <w:t>A</w:t>
      </w:r>
      <w:r w:rsidR="00FD4465">
        <w:rPr>
          <w:rFonts w:ascii="Times New Roman" w:eastAsia="Times" w:hAnsi="Times New Roman"/>
          <w:bCs/>
          <w:sz w:val="24"/>
          <w:szCs w:val="24"/>
          <w:lang w:val="en-US"/>
        </w:rPr>
        <w:t>.</w:t>
      </w:r>
      <w:r w:rsidR="00FD4465">
        <w:rPr>
          <w:rFonts w:ascii="Times New Roman" w:eastAsia="Times" w:hAnsi="Times New Roman"/>
          <w:b/>
          <w:bCs/>
          <w:noProof/>
          <w:sz w:val="24"/>
          <w:szCs w:val="24"/>
          <w:lang w:eastAsia="zh-CN"/>
        </w:rPr>
        <w:drawing>
          <wp:inline distT="0" distB="0" distL="0" distR="0" wp14:anchorId="17876026" wp14:editId="3F805577">
            <wp:extent cx="5752465" cy="4944110"/>
            <wp:effectExtent l="0" t="0" r="635" b="8890"/>
            <wp:docPr id="9" name="Picture 9" descr="double_table_E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ouble_table_ECF"/>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2E1B213B" w14:textId="77777777" w:rsidR="00FD4465" w:rsidRDefault="00FD4465" w:rsidP="00FD4465">
      <w:pPr>
        <w:spacing w:line="480" w:lineRule="auto"/>
        <w:rPr>
          <w:rFonts w:ascii="Times New Roman" w:eastAsia="Times" w:hAnsi="Times New Roman"/>
          <w:bCs/>
          <w:sz w:val="24"/>
          <w:szCs w:val="24"/>
          <w:lang w:val="en-US"/>
        </w:rPr>
      </w:pPr>
      <w:r w:rsidRPr="005B0702">
        <w:rPr>
          <w:rFonts w:ascii="Times New Roman" w:eastAsia="Times" w:hAnsi="Times New Roman"/>
          <w:b/>
          <w:bCs/>
          <w:sz w:val="24"/>
          <w:szCs w:val="24"/>
          <w:lang w:val="en-US"/>
        </w:rPr>
        <w:lastRenderedPageBreak/>
        <w:t>B.</w:t>
      </w:r>
      <w:r>
        <w:rPr>
          <w:rFonts w:ascii="Times New Roman" w:eastAsia="Times" w:hAnsi="Times New Roman"/>
          <w:b/>
          <w:bCs/>
          <w:noProof/>
          <w:sz w:val="24"/>
          <w:szCs w:val="24"/>
          <w:lang w:eastAsia="zh-CN"/>
        </w:rPr>
        <w:drawing>
          <wp:inline distT="0" distB="0" distL="0" distR="0" wp14:anchorId="395B90E5" wp14:editId="08D272CB">
            <wp:extent cx="5752465" cy="4944110"/>
            <wp:effectExtent l="0" t="0" r="635" b="8890"/>
            <wp:docPr id="8" name="Picture 8" descr="double_table_EC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ouble_table_ECX"/>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61D6A115" w14:textId="77777777" w:rsidR="00FD4465" w:rsidRDefault="00FD4465" w:rsidP="00FD4465">
      <w:pPr>
        <w:spacing w:after="0" w:line="480" w:lineRule="auto"/>
        <w:rPr>
          <w:rFonts w:ascii="Times New Roman" w:eastAsia="Times" w:hAnsi="Times New Roman"/>
          <w:bCs/>
          <w:sz w:val="24"/>
          <w:szCs w:val="24"/>
          <w:lang w:val="en-US"/>
        </w:rPr>
      </w:pPr>
      <w:r>
        <w:rPr>
          <w:rFonts w:ascii="Times New Roman" w:eastAsia="Times" w:hAnsi="Times New Roman"/>
          <w:bCs/>
          <w:sz w:val="24"/>
          <w:szCs w:val="24"/>
          <w:lang w:val="en-US"/>
        </w:rPr>
        <w:br w:type="page"/>
      </w:r>
    </w:p>
    <w:p w14:paraId="01EE9BDE" w14:textId="6F18CBF8" w:rsidR="008C482D" w:rsidRPr="00493F19" w:rsidRDefault="008C482D" w:rsidP="008C482D">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Supplementary figure 2</w:t>
      </w:r>
      <w:r w:rsidR="00A73010">
        <w:rPr>
          <w:rFonts w:ascii="Times New Roman" w:eastAsia="Times" w:hAnsi="Times New Roman"/>
          <w:b/>
          <w:bCs/>
          <w:sz w:val="24"/>
          <w:szCs w:val="24"/>
          <w:lang w:val="en-US"/>
        </w:rPr>
        <w:t>6</w:t>
      </w:r>
      <w:r>
        <w:rPr>
          <w:rFonts w:ascii="Times New Roman" w:eastAsia="Times" w:hAnsi="Times New Roman"/>
          <w:b/>
          <w:bCs/>
          <w:sz w:val="24"/>
          <w:szCs w:val="24"/>
          <w:lang w:val="en-US"/>
        </w:rPr>
        <w:t xml:space="preserve">A+B: </w:t>
      </w:r>
      <w:proofErr w:type="spellStart"/>
      <w:r>
        <w:rPr>
          <w:rFonts w:ascii="Times New Roman" w:eastAsia="Times" w:hAnsi="Times New Roman"/>
          <w:bCs/>
          <w:sz w:val="24"/>
          <w:szCs w:val="24"/>
          <w:lang w:val="en-US"/>
        </w:rPr>
        <w:t>TOXplot</w:t>
      </w:r>
      <w:proofErr w:type="spellEnd"/>
      <w:r>
        <w:rPr>
          <w:rFonts w:ascii="Times New Roman" w:eastAsia="Times" w:hAnsi="Times New Roman"/>
          <w:bCs/>
          <w:sz w:val="24"/>
          <w:szCs w:val="24"/>
          <w:lang w:val="en-US"/>
        </w:rPr>
        <w:t xml:space="preserve"> </w:t>
      </w:r>
      <w:proofErr w:type="spellStart"/>
      <w:r>
        <w:rPr>
          <w:rFonts w:ascii="Times New Roman" w:eastAsia="Times" w:hAnsi="Times New Roman"/>
          <w:bCs/>
          <w:sz w:val="24"/>
          <w:szCs w:val="24"/>
          <w:lang w:val="en-US"/>
        </w:rPr>
        <w:t>birectional</w:t>
      </w:r>
      <w:proofErr w:type="spellEnd"/>
      <w:r>
        <w:rPr>
          <w:rFonts w:ascii="Times New Roman" w:eastAsia="Times" w:hAnsi="Times New Roman"/>
          <w:bCs/>
          <w:sz w:val="24"/>
          <w:szCs w:val="24"/>
          <w:lang w:val="en-US"/>
        </w:rPr>
        <w:t xml:space="preserve"> plot and</w:t>
      </w:r>
      <w:r w:rsidRPr="00DF1ED8">
        <w:rPr>
          <w:rFonts w:ascii="Times New Roman" w:eastAsia="Times" w:hAnsi="Times New Roman"/>
          <w:bCs/>
          <w:sz w:val="24"/>
          <w:szCs w:val="24"/>
          <w:lang w:val="en-US"/>
        </w:rPr>
        <w:t xml:space="preserve"> table, </w:t>
      </w:r>
      <w:proofErr w:type="spellStart"/>
      <w:r w:rsidRPr="00DF1ED8">
        <w:rPr>
          <w:rFonts w:ascii="Times New Roman" w:eastAsia="Times" w:hAnsi="Times New Roman"/>
          <w:bCs/>
          <w:sz w:val="24"/>
          <w:szCs w:val="24"/>
          <w:lang w:val="en-US"/>
        </w:rPr>
        <w:t>Anthracyclin</w:t>
      </w:r>
      <w:proofErr w:type="spellEnd"/>
      <w:r w:rsidRPr="00DF1ED8">
        <w:rPr>
          <w:rFonts w:ascii="Times New Roman" w:eastAsia="Times" w:hAnsi="Times New Roman"/>
          <w:bCs/>
          <w:sz w:val="24"/>
          <w:szCs w:val="24"/>
          <w:lang w:val="en-US"/>
        </w:rPr>
        <w:t xml:space="preserve"> (E=</w:t>
      </w:r>
      <w:proofErr w:type="spellStart"/>
      <w:r w:rsidRPr="00DF1ED8">
        <w:rPr>
          <w:rFonts w:ascii="Times New Roman" w:eastAsia="Times" w:hAnsi="Times New Roman"/>
          <w:bCs/>
          <w:sz w:val="24"/>
          <w:szCs w:val="24"/>
          <w:lang w:val="en-US"/>
        </w:rPr>
        <w:t>epirubicin</w:t>
      </w:r>
      <w:proofErr w:type="spellEnd"/>
      <w:r w:rsidRPr="00DF1ED8">
        <w:rPr>
          <w:rFonts w:ascii="Times New Roman" w:eastAsia="Times" w:hAnsi="Times New Roman"/>
          <w:bCs/>
          <w:sz w:val="24"/>
          <w:szCs w:val="24"/>
          <w:lang w:val="en-US"/>
        </w:rPr>
        <w:t xml:space="preserve">) + oxaliplatin (Ox) + fluoropyrimidine (F=5FU, X=CAP) </w:t>
      </w:r>
      <w:r w:rsidRPr="005B0702">
        <w:rPr>
          <w:rFonts w:ascii="Times New Roman" w:eastAsia="Times" w:hAnsi="Times New Roman"/>
          <w:b/>
          <w:bCs/>
          <w:sz w:val="24"/>
          <w:szCs w:val="24"/>
          <w:lang w:val="en-US"/>
        </w:rPr>
        <w:t>A.</w:t>
      </w:r>
      <w:r w:rsidRPr="00DF1ED8">
        <w:rPr>
          <w:rFonts w:ascii="Times New Roman" w:eastAsia="Times" w:hAnsi="Times New Roman"/>
          <w:bCs/>
          <w:sz w:val="24"/>
          <w:szCs w:val="24"/>
          <w:lang w:val="en-US"/>
        </w:rPr>
        <w:t xml:space="preserve"> EOF, </w:t>
      </w:r>
      <w:r w:rsidRPr="005B0702">
        <w:rPr>
          <w:rFonts w:ascii="Times New Roman" w:eastAsia="Times" w:hAnsi="Times New Roman"/>
          <w:b/>
          <w:bCs/>
          <w:sz w:val="24"/>
          <w:szCs w:val="24"/>
          <w:lang w:val="en-US"/>
        </w:rPr>
        <w:t>B.</w:t>
      </w:r>
      <w:r w:rsidRPr="00DF1ED8">
        <w:rPr>
          <w:rFonts w:ascii="Times New Roman" w:eastAsia="Times" w:hAnsi="Times New Roman"/>
          <w:bCs/>
          <w:sz w:val="24"/>
          <w:szCs w:val="24"/>
          <w:lang w:val="en-US"/>
        </w:rPr>
        <w:t xml:space="preserve"> EOX</w:t>
      </w:r>
    </w:p>
    <w:p w14:paraId="39DE4314" w14:textId="77777777" w:rsidR="00FD4465" w:rsidRDefault="008C482D" w:rsidP="00FD4465">
      <w:pPr>
        <w:spacing w:line="480" w:lineRule="auto"/>
        <w:rPr>
          <w:rFonts w:ascii="Times New Roman" w:eastAsia="Times" w:hAnsi="Times New Roman"/>
          <w:bCs/>
          <w:sz w:val="24"/>
          <w:szCs w:val="24"/>
          <w:lang w:val="en-US"/>
        </w:rPr>
      </w:pPr>
      <w:r>
        <w:rPr>
          <w:rFonts w:ascii="Times New Roman" w:eastAsia="Times" w:hAnsi="Times New Roman"/>
          <w:bCs/>
          <w:sz w:val="24"/>
          <w:szCs w:val="24"/>
          <w:lang w:val="en-US"/>
        </w:rPr>
        <w:br/>
      </w:r>
      <w:r w:rsidR="00FD4465" w:rsidRPr="005B0702">
        <w:rPr>
          <w:rFonts w:ascii="Times New Roman" w:eastAsia="Times" w:hAnsi="Times New Roman"/>
          <w:b/>
          <w:bCs/>
          <w:sz w:val="24"/>
          <w:szCs w:val="24"/>
          <w:lang w:val="en-US"/>
        </w:rPr>
        <w:t>A.</w:t>
      </w:r>
      <w:r w:rsidR="00FD4465">
        <w:rPr>
          <w:rFonts w:ascii="Times New Roman" w:eastAsia="Times" w:hAnsi="Times New Roman"/>
          <w:b/>
          <w:bCs/>
          <w:noProof/>
          <w:sz w:val="24"/>
          <w:szCs w:val="24"/>
          <w:lang w:eastAsia="zh-CN"/>
        </w:rPr>
        <w:drawing>
          <wp:inline distT="0" distB="0" distL="0" distR="0" wp14:anchorId="0C8A81CF" wp14:editId="38A28E2F">
            <wp:extent cx="5752465" cy="4944110"/>
            <wp:effectExtent l="0" t="0" r="635" b="8890"/>
            <wp:docPr id="7" name="Picture 7" descr="double_table_E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ouble_table_EOF"/>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1EC02F49" w14:textId="77777777" w:rsidR="00FD4465" w:rsidRDefault="00FD4465" w:rsidP="00FD4465">
      <w:pPr>
        <w:spacing w:line="480" w:lineRule="auto"/>
        <w:rPr>
          <w:rFonts w:ascii="Times New Roman" w:eastAsia="Times" w:hAnsi="Times New Roman"/>
          <w:bCs/>
          <w:sz w:val="24"/>
          <w:szCs w:val="24"/>
          <w:lang w:val="en-US"/>
        </w:rPr>
      </w:pPr>
      <w:r w:rsidRPr="005B0702">
        <w:rPr>
          <w:rFonts w:ascii="Times New Roman" w:eastAsia="Times" w:hAnsi="Times New Roman"/>
          <w:b/>
          <w:bCs/>
          <w:sz w:val="24"/>
          <w:szCs w:val="24"/>
          <w:lang w:val="en-US"/>
        </w:rPr>
        <w:lastRenderedPageBreak/>
        <w:t>B.</w:t>
      </w:r>
      <w:r>
        <w:rPr>
          <w:rFonts w:ascii="Times New Roman" w:eastAsia="Times" w:hAnsi="Times New Roman"/>
          <w:b/>
          <w:bCs/>
          <w:noProof/>
          <w:sz w:val="24"/>
          <w:szCs w:val="24"/>
          <w:lang w:eastAsia="zh-CN"/>
        </w:rPr>
        <w:drawing>
          <wp:inline distT="0" distB="0" distL="0" distR="0" wp14:anchorId="4F356C74" wp14:editId="4F8E6DA4">
            <wp:extent cx="5752465" cy="4944110"/>
            <wp:effectExtent l="0" t="0" r="635" b="8890"/>
            <wp:docPr id="6" name="Picture 6" descr="double_table_E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double_table_EOX"/>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4DE2C5E8" w14:textId="77777777" w:rsidR="00FD4465" w:rsidRDefault="00FD4465" w:rsidP="00FD4465">
      <w:pPr>
        <w:spacing w:after="0" w:line="480" w:lineRule="auto"/>
        <w:rPr>
          <w:rFonts w:ascii="Times New Roman" w:eastAsia="Times" w:hAnsi="Times New Roman"/>
          <w:bCs/>
          <w:sz w:val="24"/>
          <w:szCs w:val="24"/>
          <w:lang w:val="en-US"/>
        </w:rPr>
      </w:pPr>
      <w:r>
        <w:rPr>
          <w:rFonts w:ascii="Times New Roman" w:eastAsia="Times" w:hAnsi="Times New Roman"/>
          <w:bCs/>
          <w:sz w:val="24"/>
          <w:szCs w:val="24"/>
          <w:lang w:val="en-US"/>
        </w:rPr>
        <w:br w:type="page"/>
      </w:r>
    </w:p>
    <w:p w14:paraId="19EDCE55" w14:textId="2B13DB91" w:rsidR="00FD4465" w:rsidRDefault="008C482D" w:rsidP="00A73010">
      <w:pPr>
        <w:spacing w:before="240" w:after="0" w:line="480" w:lineRule="auto"/>
        <w:rPr>
          <w:rFonts w:ascii="Times New Roman" w:eastAsia="Times" w:hAnsi="Times New Roman"/>
          <w:bCs/>
          <w:sz w:val="24"/>
          <w:szCs w:val="24"/>
          <w:lang w:val="en-US"/>
        </w:rPr>
      </w:pPr>
      <w:r>
        <w:rPr>
          <w:rFonts w:ascii="Times New Roman" w:eastAsia="Times" w:hAnsi="Times New Roman"/>
          <w:b/>
          <w:bCs/>
          <w:sz w:val="24"/>
          <w:szCs w:val="24"/>
          <w:lang w:val="en-US"/>
        </w:rPr>
        <w:lastRenderedPageBreak/>
        <w:t>Supplementary figure 2</w:t>
      </w:r>
      <w:r w:rsidR="00A73010">
        <w:rPr>
          <w:rFonts w:ascii="Times New Roman" w:eastAsia="Times" w:hAnsi="Times New Roman"/>
          <w:b/>
          <w:bCs/>
          <w:sz w:val="24"/>
          <w:szCs w:val="24"/>
          <w:lang w:val="en-US"/>
        </w:rPr>
        <w:t>7</w:t>
      </w:r>
      <w:r>
        <w:rPr>
          <w:rFonts w:ascii="Times New Roman" w:eastAsia="Times" w:hAnsi="Times New Roman"/>
          <w:b/>
          <w:bCs/>
          <w:sz w:val="24"/>
          <w:szCs w:val="24"/>
          <w:lang w:val="en-US"/>
        </w:rPr>
        <w:t>A-C</w:t>
      </w:r>
      <w:r w:rsidRPr="000F4B12">
        <w:rPr>
          <w:rFonts w:ascii="Times New Roman" w:eastAsia="Times" w:hAnsi="Times New Roman"/>
          <w:b/>
          <w:bCs/>
          <w:sz w:val="24"/>
          <w:szCs w:val="24"/>
          <w:lang w:val="en-US"/>
        </w:rPr>
        <w:t xml:space="preserve">: </w:t>
      </w:r>
      <w:proofErr w:type="spellStart"/>
      <w:r w:rsidRPr="00DF1ED8">
        <w:rPr>
          <w:rFonts w:ascii="Times New Roman" w:eastAsia="Times" w:hAnsi="Times New Roman"/>
          <w:bCs/>
          <w:sz w:val="24"/>
          <w:szCs w:val="24"/>
          <w:lang w:val="en-US"/>
        </w:rPr>
        <w:t>TOXplot</w:t>
      </w:r>
      <w:proofErr w:type="spellEnd"/>
      <w:r w:rsidRPr="00DF1ED8">
        <w:rPr>
          <w:rFonts w:ascii="Times New Roman" w:eastAsia="Times" w:hAnsi="Times New Roman"/>
          <w:bCs/>
          <w:sz w:val="24"/>
          <w:szCs w:val="24"/>
          <w:lang w:val="en-US"/>
        </w:rPr>
        <w:t xml:space="preserve"> </w:t>
      </w:r>
      <w:proofErr w:type="spellStart"/>
      <w:r w:rsidRPr="00DF1ED8">
        <w:rPr>
          <w:rFonts w:ascii="Times New Roman" w:eastAsia="Times" w:hAnsi="Times New Roman"/>
          <w:bCs/>
          <w:sz w:val="24"/>
          <w:szCs w:val="24"/>
          <w:lang w:val="en-US"/>
        </w:rPr>
        <w:t>birectional</w:t>
      </w:r>
      <w:proofErr w:type="spellEnd"/>
      <w:r w:rsidRPr="00DF1ED8">
        <w:rPr>
          <w:rFonts w:ascii="Times New Roman" w:eastAsia="Times" w:hAnsi="Times New Roman"/>
          <w:bCs/>
          <w:sz w:val="24"/>
          <w:szCs w:val="24"/>
          <w:lang w:val="en-US"/>
        </w:rPr>
        <w:t xml:space="preserve"> plot + table, fluoropyrimidine (F=5FU, CAP=capecitabine), oxaliplatin (Ox), </w:t>
      </w:r>
      <w:proofErr w:type="spellStart"/>
      <w:r w:rsidRPr="00DF1ED8">
        <w:rPr>
          <w:rFonts w:ascii="Times New Roman" w:eastAsia="Times" w:hAnsi="Times New Roman"/>
          <w:bCs/>
          <w:sz w:val="24"/>
          <w:szCs w:val="24"/>
          <w:lang w:val="en-US"/>
        </w:rPr>
        <w:t>taxane</w:t>
      </w:r>
      <w:proofErr w:type="spellEnd"/>
      <w:r w:rsidRPr="00DF1ED8">
        <w:rPr>
          <w:rFonts w:ascii="Times New Roman" w:eastAsia="Times" w:hAnsi="Times New Roman"/>
          <w:bCs/>
          <w:sz w:val="24"/>
          <w:szCs w:val="24"/>
          <w:lang w:val="en-US"/>
        </w:rPr>
        <w:t xml:space="preserve"> (DTX/D=docetaxel, P=paclitaxel) </w:t>
      </w:r>
      <w:r w:rsidRPr="005B0702">
        <w:rPr>
          <w:rFonts w:ascii="Times New Roman" w:eastAsia="Times" w:hAnsi="Times New Roman"/>
          <w:b/>
          <w:bCs/>
          <w:sz w:val="24"/>
          <w:szCs w:val="24"/>
          <w:lang w:val="en-US"/>
        </w:rPr>
        <w:t xml:space="preserve">A. </w:t>
      </w:r>
      <w:r w:rsidRPr="00DF1ED8">
        <w:rPr>
          <w:rFonts w:ascii="Times New Roman" w:eastAsia="Times" w:hAnsi="Times New Roman"/>
          <w:bCs/>
          <w:sz w:val="24"/>
          <w:szCs w:val="24"/>
          <w:lang w:val="en-US"/>
        </w:rPr>
        <w:t xml:space="preserve">CAPOXDTX, </w:t>
      </w:r>
      <w:r w:rsidRPr="005B0702">
        <w:rPr>
          <w:rFonts w:ascii="Times New Roman" w:eastAsia="Times" w:hAnsi="Times New Roman"/>
          <w:b/>
          <w:bCs/>
          <w:sz w:val="24"/>
          <w:szCs w:val="24"/>
          <w:lang w:val="en-US"/>
        </w:rPr>
        <w:t>B.</w:t>
      </w:r>
      <w:r w:rsidRPr="00DF1ED8">
        <w:rPr>
          <w:rFonts w:ascii="Times New Roman" w:eastAsia="Times" w:hAnsi="Times New Roman"/>
          <w:bCs/>
          <w:sz w:val="24"/>
          <w:szCs w:val="24"/>
          <w:lang w:val="en-US"/>
        </w:rPr>
        <w:t xml:space="preserve"> FOXP, </w:t>
      </w:r>
      <w:r w:rsidRPr="005B0702">
        <w:rPr>
          <w:rFonts w:ascii="Times New Roman" w:eastAsia="Times" w:hAnsi="Times New Roman"/>
          <w:b/>
          <w:bCs/>
          <w:sz w:val="24"/>
          <w:szCs w:val="24"/>
          <w:lang w:val="en-US"/>
        </w:rPr>
        <w:t>C.</w:t>
      </w:r>
      <w:r w:rsidRPr="00DF1ED8">
        <w:rPr>
          <w:rFonts w:ascii="Times New Roman" w:eastAsia="Times" w:hAnsi="Times New Roman"/>
          <w:bCs/>
          <w:sz w:val="24"/>
          <w:szCs w:val="24"/>
          <w:lang w:val="en-US"/>
        </w:rPr>
        <w:t xml:space="preserve"> FOXD</w:t>
      </w:r>
      <w:r>
        <w:rPr>
          <w:rFonts w:ascii="Times New Roman" w:eastAsia="Times" w:hAnsi="Times New Roman"/>
          <w:bCs/>
          <w:sz w:val="24"/>
          <w:szCs w:val="24"/>
          <w:lang w:val="en-US"/>
        </w:rPr>
        <w:br/>
      </w:r>
      <w:r w:rsidR="00FD4465" w:rsidRPr="005B0702">
        <w:rPr>
          <w:rFonts w:ascii="Times New Roman" w:eastAsia="Times" w:hAnsi="Times New Roman"/>
          <w:b/>
          <w:bCs/>
          <w:sz w:val="24"/>
          <w:szCs w:val="24"/>
          <w:lang w:val="en-US"/>
        </w:rPr>
        <w:t>A.</w:t>
      </w:r>
      <w:r w:rsidR="00FD4465">
        <w:rPr>
          <w:rFonts w:ascii="Times New Roman" w:eastAsia="Times" w:hAnsi="Times New Roman"/>
          <w:b/>
          <w:bCs/>
          <w:noProof/>
          <w:sz w:val="24"/>
          <w:szCs w:val="24"/>
          <w:lang w:eastAsia="zh-CN"/>
        </w:rPr>
        <w:drawing>
          <wp:inline distT="0" distB="0" distL="0" distR="0" wp14:anchorId="2610FBB4" wp14:editId="7A0200EB">
            <wp:extent cx="5752465" cy="4944110"/>
            <wp:effectExtent l="0" t="0" r="635" b="8890"/>
            <wp:docPr id="5" name="Picture 5" descr="double_table_CAPOXD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ouble_table_CAPOXDTX"/>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53115EEE" w14:textId="77777777" w:rsidR="00FD4465" w:rsidRDefault="00FD4465" w:rsidP="00FD4465">
      <w:pPr>
        <w:spacing w:after="0" w:line="480" w:lineRule="auto"/>
        <w:rPr>
          <w:rFonts w:ascii="Times New Roman" w:eastAsia="Times" w:hAnsi="Times New Roman"/>
          <w:bCs/>
          <w:sz w:val="24"/>
          <w:szCs w:val="24"/>
          <w:lang w:val="en-US"/>
        </w:rPr>
      </w:pPr>
      <w:r>
        <w:rPr>
          <w:rFonts w:ascii="Times New Roman" w:eastAsia="Times" w:hAnsi="Times New Roman"/>
          <w:bCs/>
          <w:sz w:val="24"/>
          <w:szCs w:val="24"/>
          <w:lang w:val="en-US"/>
        </w:rPr>
        <w:br w:type="page"/>
      </w:r>
    </w:p>
    <w:p w14:paraId="5C73B84F" w14:textId="77777777" w:rsidR="00FD4465" w:rsidRDefault="00FD4465" w:rsidP="00FD4465">
      <w:pPr>
        <w:spacing w:line="480" w:lineRule="auto"/>
        <w:rPr>
          <w:rFonts w:ascii="Times New Roman" w:eastAsia="Times" w:hAnsi="Times New Roman"/>
          <w:bCs/>
          <w:sz w:val="24"/>
          <w:szCs w:val="24"/>
          <w:lang w:val="en-US"/>
        </w:rPr>
      </w:pPr>
      <w:r w:rsidRPr="005B0702">
        <w:rPr>
          <w:rFonts w:ascii="Times New Roman" w:eastAsia="Times" w:hAnsi="Times New Roman"/>
          <w:b/>
          <w:bCs/>
          <w:sz w:val="24"/>
          <w:szCs w:val="24"/>
          <w:lang w:val="en-US"/>
        </w:rPr>
        <w:lastRenderedPageBreak/>
        <w:t>B.</w:t>
      </w:r>
      <w:r>
        <w:rPr>
          <w:rFonts w:ascii="Times New Roman" w:eastAsia="Times" w:hAnsi="Times New Roman"/>
          <w:bCs/>
          <w:sz w:val="24"/>
          <w:szCs w:val="24"/>
          <w:lang w:val="en-US"/>
        </w:rPr>
        <w:t xml:space="preserve"> </w:t>
      </w:r>
      <w:r>
        <w:rPr>
          <w:rFonts w:ascii="Times New Roman" w:eastAsia="Times" w:hAnsi="Times New Roman"/>
          <w:b/>
          <w:bCs/>
          <w:noProof/>
          <w:sz w:val="24"/>
          <w:szCs w:val="24"/>
          <w:lang w:eastAsia="zh-CN"/>
        </w:rPr>
        <w:drawing>
          <wp:inline distT="0" distB="0" distL="0" distR="0" wp14:anchorId="126F6F86" wp14:editId="581626D8">
            <wp:extent cx="5752465" cy="4944110"/>
            <wp:effectExtent l="0" t="0" r="635" b="8890"/>
            <wp:docPr id="4" name="Picture 4" descr="double_table_FOx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double_table_FOx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5E72A576" w14:textId="77777777" w:rsidR="00FD4465" w:rsidRDefault="00FD4465" w:rsidP="00FD4465">
      <w:pPr>
        <w:spacing w:after="0" w:line="480" w:lineRule="auto"/>
        <w:rPr>
          <w:rFonts w:ascii="Times New Roman" w:eastAsia="Times" w:hAnsi="Times New Roman"/>
          <w:bCs/>
          <w:sz w:val="24"/>
          <w:szCs w:val="24"/>
          <w:lang w:val="en-US"/>
        </w:rPr>
      </w:pPr>
      <w:r>
        <w:rPr>
          <w:rFonts w:ascii="Times New Roman" w:eastAsia="Times" w:hAnsi="Times New Roman"/>
          <w:bCs/>
          <w:sz w:val="24"/>
          <w:szCs w:val="24"/>
          <w:lang w:val="en-US"/>
        </w:rPr>
        <w:br w:type="page"/>
      </w:r>
    </w:p>
    <w:p w14:paraId="6F4275E2" w14:textId="77777777" w:rsidR="00FD4465" w:rsidRPr="005B0702" w:rsidRDefault="00FD4465" w:rsidP="00FD4465">
      <w:pPr>
        <w:spacing w:line="480" w:lineRule="auto"/>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pPr>
      <w:r w:rsidRPr="005B0702">
        <w:rPr>
          <w:rFonts w:ascii="Times New Roman" w:eastAsia="Times" w:hAnsi="Times New Roman"/>
          <w:b/>
          <w:bCs/>
          <w:sz w:val="24"/>
          <w:szCs w:val="24"/>
          <w:lang w:val="en-US"/>
        </w:rPr>
        <w:lastRenderedPageBreak/>
        <w:t>C.</w:t>
      </w:r>
      <w:r w:rsidRPr="005B0702">
        <w:rPr>
          <w:rFonts w:ascii="Times New Roman" w:eastAsia="Times New Roman" w:hAnsi="Times New Roman"/>
          <w:b/>
          <w:snapToGrid w:val="0"/>
          <w:color w:val="000000"/>
          <w:w w:val="0"/>
          <w:sz w:val="0"/>
          <w:szCs w:val="0"/>
          <w:u w:color="000000"/>
          <w:bdr w:val="none" w:sz="0" w:space="0" w:color="000000"/>
          <w:shd w:val="clear" w:color="000000" w:fill="000000"/>
          <w:lang w:val="x-none" w:eastAsia="x-none" w:bidi="x-none"/>
        </w:rPr>
        <w:t xml:space="preserve"> </w:t>
      </w:r>
    </w:p>
    <w:p w14:paraId="63B14D05" w14:textId="77777777" w:rsidR="00FD4465"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noProof/>
          <w:sz w:val="24"/>
          <w:szCs w:val="24"/>
          <w:lang w:eastAsia="zh-CN"/>
        </w:rPr>
        <w:drawing>
          <wp:inline distT="0" distB="0" distL="0" distR="0" wp14:anchorId="64DD0B07" wp14:editId="0EFCEE3A">
            <wp:extent cx="5752465" cy="4944110"/>
            <wp:effectExtent l="0" t="0" r="635" b="8890"/>
            <wp:docPr id="3" name="Picture 3" descr="double_table_FOx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double_table_FOxP"/>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23E4A4A4" w14:textId="77777777" w:rsidR="00FD4465" w:rsidRPr="003C7B5C"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158CE9AB" w14:textId="0EBEFD4E" w:rsidR="008C482D" w:rsidRPr="0082491D" w:rsidRDefault="008C482D" w:rsidP="008C482D">
      <w:pPr>
        <w:spacing w:before="240"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lastRenderedPageBreak/>
        <w:t>Supplementary figure 2</w:t>
      </w:r>
      <w:r w:rsidR="00A73010">
        <w:rPr>
          <w:rFonts w:ascii="Times New Roman" w:eastAsia="Times" w:hAnsi="Times New Roman"/>
          <w:b/>
          <w:bCs/>
          <w:sz w:val="24"/>
          <w:szCs w:val="24"/>
          <w:lang w:val="en-US"/>
        </w:rPr>
        <w:t>8</w:t>
      </w:r>
      <w:r w:rsidRPr="000F4B12">
        <w:rPr>
          <w:rFonts w:ascii="Times New Roman" w:eastAsia="Times" w:hAnsi="Times New Roman"/>
          <w:b/>
          <w:bCs/>
          <w:sz w:val="24"/>
          <w:szCs w:val="24"/>
          <w:lang w:val="en-US"/>
        </w:rPr>
        <w:t xml:space="preserve">: </w:t>
      </w:r>
      <w:proofErr w:type="spellStart"/>
      <w:r w:rsidRPr="00DF1ED8">
        <w:rPr>
          <w:rFonts w:ascii="Times New Roman" w:eastAsia="Times" w:hAnsi="Times New Roman"/>
          <w:bCs/>
          <w:sz w:val="24"/>
          <w:szCs w:val="24"/>
          <w:lang w:val="en-US"/>
        </w:rPr>
        <w:t>TOXplot</w:t>
      </w:r>
      <w:proofErr w:type="spellEnd"/>
      <w:r w:rsidRPr="00DF1ED8">
        <w:rPr>
          <w:rFonts w:ascii="Times New Roman" w:eastAsia="Times" w:hAnsi="Times New Roman"/>
          <w:bCs/>
          <w:sz w:val="24"/>
          <w:szCs w:val="24"/>
          <w:lang w:val="en-US"/>
        </w:rPr>
        <w:t xml:space="preserve"> </w:t>
      </w:r>
      <w:proofErr w:type="spellStart"/>
      <w:r w:rsidRPr="00DF1ED8">
        <w:rPr>
          <w:rFonts w:ascii="Times New Roman" w:eastAsia="Times" w:hAnsi="Times New Roman"/>
          <w:bCs/>
          <w:sz w:val="24"/>
          <w:szCs w:val="24"/>
          <w:lang w:val="en-US"/>
        </w:rPr>
        <w:t>birectional</w:t>
      </w:r>
      <w:proofErr w:type="spellEnd"/>
      <w:r w:rsidRPr="00DF1ED8">
        <w:rPr>
          <w:rFonts w:ascii="Times New Roman" w:eastAsia="Times" w:hAnsi="Times New Roman"/>
          <w:bCs/>
          <w:sz w:val="24"/>
          <w:szCs w:val="24"/>
          <w:lang w:val="en-US"/>
        </w:rPr>
        <w:t xml:space="preserve"> plot + table, </w:t>
      </w:r>
      <w:proofErr w:type="spellStart"/>
      <w:r>
        <w:rPr>
          <w:rFonts w:ascii="Times New Roman" w:eastAsia="Times" w:hAnsi="Times New Roman"/>
          <w:bCs/>
          <w:sz w:val="24"/>
          <w:szCs w:val="24"/>
          <w:lang w:val="en-US"/>
        </w:rPr>
        <w:t>OxT</w:t>
      </w:r>
      <w:proofErr w:type="spellEnd"/>
      <w:r>
        <w:rPr>
          <w:rFonts w:ascii="Times New Roman" w:eastAsia="Times" w:hAnsi="Times New Roman"/>
          <w:bCs/>
          <w:sz w:val="24"/>
          <w:szCs w:val="24"/>
          <w:lang w:val="en-US"/>
        </w:rPr>
        <w:t xml:space="preserve"> (Ox = oxaliplatin + T = </w:t>
      </w:r>
      <w:proofErr w:type="spellStart"/>
      <w:r>
        <w:rPr>
          <w:rFonts w:ascii="Times New Roman" w:eastAsia="Times" w:hAnsi="Times New Roman"/>
          <w:bCs/>
          <w:sz w:val="24"/>
          <w:szCs w:val="24"/>
          <w:lang w:val="en-US"/>
        </w:rPr>
        <w:t>taxane</w:t>
      </w:r>
      <w:proofErr w:type="spellEnd"/>
      <w:r>
        <w:rPr>
          <w:rFonts w:ascii="Times New Roman" w:eastAsia="Times" w:hAnsi="Times New Roman"/>
          <w:bCs/>
          <w:sz w:val="24"/>
          <w:szCs w:val="24"/>
          <w:lang w:val="en-US"/>
        </w:rPr>
        <w:t>)</w:t>
      </w:r>
      <w:r w:rsidRPr="007F163E">
        <w:rPr>
          <w:rFonts w:ascii="Times New Roman" w:eastAsia="Times" w:hAnsi="Times New Roman"/>
          <w:bCs/>
          <w:sz w:val="24"/>
          <w:szCs w:val="24"/>
          <w:lang w:val="en-US"/>
        </w:rPr>
        <w:t xml:space="preserve"> </w:t>
      </w:r>
    </w:p>
    <w:p w14:paraId="59ED008A" w14:textId="77777777" w:rsidR="00FD4465" w:rsidRDefault="00FD4465" w:rsidP="00FD4465">
      <w:pPr>
        <w:spacing w:line="480" w:lineRule="auto"/>
        <w:rPr>
          <w:rFonts w:ascii="Times New Roman" w:eastAsia="Times" w:hAnsi="Times New Roman"/>
          <w:bCs/>
          <w:sz w:val="24"/>
          <w:szCs w:val="24"/>
          <w:lang w:val="en-US"/>
        </w:rPr>
      </w:pPr>
      <w:r>
        <w:rPr>
          <w:rFonts w:ascii="Times New Roman" w:eastAsia="Times" w:hAnsi="Times New Roman"/>
          <w:bCs/>
          <w:noProof/>
          <w:sz w:val="24"/>
          <w:szCs w:val="24"/>
          <w:lang w:eastAsia="zh-CN"/>
        </w:rPr>
        <mc:AlternateContent>
          <mc:Choice Requires="wps">
            <w:drawing>
              <wp:anchor distT="0" distB="0" distL="114300" distR="114300" simplePos="0" relativeHeight="251639808" behindDoc="0" locked="0" layoutInCell="1" allowOverlap="1" wp14:anchorId="184BE304" wp14:editId="3250CFEB">
                <wp:simplePos x="0" y="0"/>
                <wp:positionH relativeFrom="column">
                  <wp:posOffset>2157730</wp:posOffset>
                </wp:positionH>
                <wp:positionV relativeFrom="paragraph">
                  <wp:posOffset>71755</wp:posOffset>
                </wp:positionV>
                <wp:extent cx="838200" cy="200025"/>
                <wp:effectExtent l="0" t="0" r="0" b="9525"/>
                <wp:wrapNone/>
                <wp:docPr id="2" name="Rectangle 2"/>
                <wp:cNvGraphicFramePr/>
                <a:graphic xmlns:a="http://schemas.openxmlformats.org/drawingml/2006/main">
                  <a:graphicData uri="http://schemas.microsoft.com/office/word/2010/wordprocessingShape">
                    <wps:wsp>
                      <wps:cNvSpPr/>
                      <wps:spPr>
                        <a:xfrm>
                          <a:off x="0" y="0"/>
                          <a:ext cx="838200" cy="2000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FEB860" id="Rectangle 2" o:spid="_x0000_s1026" style="position:absolute;margin-left:169.9pt;margin-top:5.65pt;width:66pt;height:15.7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" fillcolor="white [3212]" stroked="f" strokeweight="2pt"/>
            </w:pict>
          </mc:Fallback>
        </mc:AlternateContent>
      </w:r>
      <w:r>
        <w:rPr>
          <w:rFonts w:ascii="Times New Roman" w:eastAsia="Times" w:hAnsi="Times New Roman"/>
          <w:bCs/>
          <w:noProof/>
          <w:sz w:val="24"/>
          <w:szCs w:val="24"/>
          <w:lang w:eastAsia="zh-CN"/>
        </w:rPr>
        <w:drawing>
          <wp:inline distT="0" distB="0" distL="0" distR="0" wp14:anchorId="61453E70" wp14:editId="3879473F">
            <wp:extent cx="5752465" cy="4944110"/>
            <wp:effectExtent l="0" t="0" r="635" b="8890"/>
            <wp:docPr id="1" name="Picture 1" descr="double_table_O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ouble_table_Ox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743A898B" w14:textId="77777777" w:rsidR="00FD4465" w:rsidRDefault="00FD4465" w:rsidP="00FD4465">
      <w:pPr>
        <w:spacing w:line="480" w:lineRule="auto"/>
        <w:rPr>
          <w:rFonts w:ascii="Times New Roman" w:eastAsia="Times" w:hAnsi="Times New Roman"/>
          <w:bCs/>
          <w:sz w:val="24"/>
          <w:szCs w:val="24"/>
          <w:lang w:val="en-US"/>
        </w:rPr>
      </w:pPr>
      <w:r>
        <w:rPr>
          <w:rFonts w:ascii="Times New Roman" w:eastAsia="Times" w:hAnsi="Times New Roman"/>
          <w:bCs/>
          <w:noProof/>
          <w:sz w:val="24"/>
          <w:szCs w:val="24"/>
          <w:lang w:eastAsia="zh-CN"/>
        </w:rPr>
        <mc:AlternateContent>
          <mc:Choice Requires="wps">
            <w:drawing>
              <wp:anchor distT="0" distB="0" distL="114300" distR="114300" simplePos="0" relativeHeight="251657728" behindDoc="0" locked="0" layoutInCell="1" allowOverlap="1" wp14:anchorId="1FAF1FB2" wp14:editId="1C5FA10B">
                <wp:simplePos x="0" y="0"/>
                <wp:positionH relativeFrom="column">
                  <wp:posOffset>2043430</wp:posOffset>
                </wp:positionH>
                <wp:positionV relativeFrom="paragraph">
                  <wp:posOffset>43180</wp:posOffset>
                </wp:positionV>
                <wp:extent cx="1038225" cy="219075"/>
                <wp:effectExtent l="0" t="0" r="9525" b="9525"/>
                <wp:wrapNone/>
                <wp:docPr id="59" name="Rectangle 59"/>
                <wp:cNvGraphicFramePr/>
                <a:graphic xmlns:a="http://schemas.openxmlformats.org/drawingml/2006/main">
                  <a:graphicData uri="http://schemas.microsoft.com/office/word/2010/wordprocessingShape">
                    <wps:wsp>
                      <wps:cNvSpPr/>
                      <wps:spPr>
                        <a:xfrm>
                          <a:off x="0" y="0"/>
                          <a:ext cx="1038225" cy="2190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81B8F7" id="Rectangle 59" o:spid="_x0000_s1026" style="position:absolute;margin-left:160.9pt;margin-top:3.4pt;width:81.75pt;height:17.2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" fillcolor="white [3212]" stroked="f" strokeweight="2pt"/>
            </w:pict>
          </mc:Fallback>
        </mc:AlternateContent>
      </w:r>
    </w:p>
    <w:p w14:paraId="04BB8A6B" w14:textId="77777777" w:rsidR="00FD4465" w:rsidRDefault="00FD4465" w:rsidP="00FD4465">
      <w:pPr>
        <w:spacing w:after="0" w:line="480" w:lineRule="auto"/>
        <w:rPr>
          <w:rFonts w:ascii="Times New Roman" w:eastAsia="Times" w:hAnsi="Times New Roman"/>
          <w:b/>
          <w:bCs/>
          <w:sz w:val="24"/>
          <w:szCs w:val="24"/>
          <w:lang w:val="en-US"/>
        </w:rPr>
      </w:pPr>
      <w:r>
        <w:rPr>
          <w:rFonts w:ascii="Times New Roman" w:eastAsia="Times" w:hAnsi="Times New Roman"/>
          <w:b/>
          <w:bCs/>
          <w:sz w:val="24"/>
          <w:szCs w:val="24"/>
          <w:lang w:val="en-US"/>
        </w:rPr>
        <w:br w:type="page"/>
      </w:r>
    </w:p>
    <w:p w14:paraId="29B9D429" w14:textId="6BE47D4C" w:rsidR="00317182" w:rsidRPr="00F72E17" w:rsidRDefault="00317182" w:rsidP="00317182">
      <w:pPr>
        <w:spacing w:before="240" w:after="0" w:line="480" w:lineRule="auto"/>
        <w:jc w:val="both"/>
        <w:rPr>
          <w:lang w:val="en-US"/>
        </w:rPr>
      </w:pPr>
      <w:r>
        <w:rPr>
          <w:rFonts w:ascii="Times New Roman" w:eastAsia="Times" w:hAnsi="Times New Roman"/>
          <w:b/>
          <w:bCs/>
          <w:sz w:val="24"/>
          <w:szCs w:val="24"/>
          <w:lang w:val="en-US"/>
        </w:rPr>
        <w:lastRenderedPageBreak/>
        <w:t>Supplementary figure 2</w:t>
      </w:r>
      <w:r w:rsidR="00A73010">
        <w:rPr>
          <w:rFonts w:ascii="Times New Roman" w:eastAsia="Times" w:hAnsi="Times New Roman"/>
          <w:b/>
          <w:bCs/>
          <w:sz w:val="24"/>
          <w:szCs w:val="24"/>
          <w:lang w:val="en-US"/>
        </w:rPr>
        <w:t>9</w:t>
      </w:r>
      <w:r w:rsidRPr="000F4B12">
        <w:rPr>
          <w:rFonts w:ascii="Times New Roman" w:eastAsia="Times" w:hAnsi="Times New Roman"/>
          <w:b/>
          <w:bCs/>
          <w:sz w:val="24"/>
          <w:szCs w:val="24"/>
          <w:lang w:val="en-US"/>
        </w:rPr>
        <w:t xml:space="preserve">: </w:t>
      </w:r>
      <w:proofErr w:type="spellStart"/>
      <w:r w:rsidRPr="00DF1ED8">
        <w:rPr>
          <w:rFonts w:ascii="Times New Roman" w:eastAsia="Times" w:hAnsi="Times New Roman"/>
          <w:bCs/>
          <w:sz w:val="24"/>
          <w:szCs w:val="24"/>
          <w:lang w:val="en-US"/>
        </w:rPr>
        <w:t>TOXplot</w:t>
      </w:r>
      <w:proofErr w:type="spellEnd"/>
      <w:r w:rsidRPr="00DF1ED8">
        <w:rPr>
          <w:rFonts w:ascii="Times New Roman" w:eastAsia="Times" w:hAnsi="Times New Roman"/>
          <w:bCs/>
          <w:sz w:val="24"/>
          <w:szCs w:val="24"/>
          <w:lang w:val="en-US"/>
        </w:rPr>
        <w:t xml:space="preserve"> </w:t>
      </w:r>
      <w:proofErr w:type="spellStart"/>
      <w:r w:rsidRPr="00DF1ED8">
        <w:rPr>
          <w:rFonts w:ascii="Times New Roman" w:eastAsia="Times" w:hAnsi="Times New Roman"/>
          <w:bCs/>
          <w:sz w:val="24"/>
          <w:szCs w:val="24"/>
          <w:lang w:val="en-US"/>
        </w:rPr>
        <w:t>birectional</w:t>
      </w:r>
      <w:proofErr w:type="spellEnd"/>
      <w:r w:rsidRPr="00DF1ED8">
        <w:rPr>
          <w:rFonts w:ascii="Times New Roman" w:eastAsia="Times" w:hAnsi="Times New Roman"/>
          <w:bCs/>
          <w:sz w:val="24"/>
          <w:szCs w:val="24"/>
          <w:lang w:val="en-US"/>
        </w:rPr>
        <w:t xml:space="preserve"> plot + table, </w:t>
      </w:r>
      <w:r>
        <w:rPr>
          <w:rFonts w:ascii="Times New Roman" w:eastAsia="Times" w:hAnsi="Times New Roman"/>
          <w:bCs/>
          <w:sz w:val="24"/>
          <w:szCs w:val="24"/>
          <w:lang w:val="en-US"/>
        </w:rPr>
        <w:t>IT, I= irinotecan</w:t>
      </w:r>
    </w:p>
    <w:p w14:paraId="590CDF97" w14:textId="77777777" w:rsidR="00FD4465" w:rsidRDefault="00FD4465" w:rsidP="00FD4465">
      <w:pPr>
        <w:spacing w:line="480" w:lineRule="auto"/>
        <w:rPr>
          <w:rFonts w:ascii="Times New Roman" w:eastAsia="Times" w:hAnsi="Times New Roman"/>
          <w:bCs/>
          <w:sz w:val="24"/>
          <w:szCs w:val="24"/>
          <w:lang w:val="en-US"/>
        </w:rPr>
      </w:pPr>
      <w:r>
        <w:rPr>
          <w:rFonts w:ascii="Times New Roman" w:eastAsia="Times" w:hAnsi="Times New Roman"/>
          <w:bCs/>
          <w:noProof/>
          <w:sz w:val="24"/>
          <w:szCs w:val="24"/>
          <w:lang w:eastAsia="zh-CN"/>
        </w:rPr>
        <w:drawing>
          <wp:inline distT="0" distB="0" distL="0" distR="0" wp14:anchorId="1BB1F160" wp14:editId="1485A334">
            <wp:extent cx="5752465" cy="4944110"/>
            <wp:effectExtent l="0" t="0" r="635" b="8890"/>
            <wp:docPr id="67" name="Picture 67" descr="C:\Users\Loklam\AppData\Local\Microsoft\Windows\INetCache\Content.Word\double_table_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Loklam\AppData\Local\Microsoft\Windows\INetCache\Content.Word\double_table_IT.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52465" cy="4944110"/>
                    </a:xfrm>
                    <a:prstGeom prst="rect">
                      <a:avLst/>
                    </a:prstGeom>
                    <a:noFill/>
                    <a:ln>
                      <a:noFill/>
                    </a:ln>
                  </pic:spPr>
                </pic:pic>
              </a:graphicData>
            </a:graphic>
          </wp:inline>
        </w:drawing>
      </w:r>
    </w:p>
    <w:p w14:paraId="5DEA949F" w14:textId="77777777" w:rsidR="00317182" w:rsidRPr="005B0702" w:rsidRDefault="00D933FC">
      <w:pPr>
        <w:spacing w:before="240" w:after="0" w:line="480" w:lineRule="auto"/>
        <w:jc w:val="both"/>
        <w:rPr>
          <w:rFonts w:ascii="Cambria" w:hAnsi="Cambria"/>
          <w:b/>
          <w:sz w:val="24"/>
          <w:lang w:val="en-US"/>
        </w:rPr>
      </w:pPr>
      <w:r>
        <w:rPr>
          <w:lang w:val="en-US"/>
        </w:rPr>
        <w:br w:type="column"/>
      </w:r>
      <w:r w:rsidRPr="005B0702">
        <w:rPr>
          <w:rFonts w:ascii="Cambria" w:hAnsi="Cambria"/>
          <w:b/>
          <w:sz w:val="24"/>
          <w:lang w:val="en-US"/>
        </w:rPr>
        <w:lastRenderedPageBreak/>
        <w:t>References</w:t>
      </w:r>
    </w:p>
    <w:p w14:paraId="0E556722" w14:textId="50FA7FB2" w:rsidR="00244B6B" w:rsidRPr="00A81E9D" w:rsidRDefault="00D933FC" w:rsidP="00244B6B">
      <w:pPr>
        <w:widowControl w:val="0"/>
        <w:autoSpaceDE w:val="0"/>
        <w:autoSpaceDN w:val="0"/>
        <w:adjustRightInd w:val="0"/>
        <w:spacing w:before="240" w:after="0" w:line="480" w:lineRule="auto"/>
        <w:ind w:left="640" w:hanging="640"/>
        <w:rPr>
          <w:rFonts w:ascii="Cambria" w:hAnsi="Cambria"/>
          <w:noProof/>
          <w:szCs w:val="24"/>
          <w:lang w:val="en-US"/>
        </w:rPr>
      </w:pPr>
      <w:r>
        <w:rPr>
          <w:rFonts w:ascii="Cambria" w:hAnsi="Cambria"/>
          <w:lang w:val="en-US"/>
        </w:rPr>
        <w:fldChar w:fldCharType="begin" w:fldLock="1"/>
      </w:r>
      <w:r>
        <w:rPr>
          <w:rFonts w:ascii="Cambria" w:hAnsi="Cambria"/>
          <w:lang w:val="en-US"/>
        </w:rPr>
        <w:instrText xml:space="preserve">ADDIN Mendeley Bibliography CSL_BIBLIOGRAPHY </w:instrText>
      </w:r>
      <w:r>
        <w:rPr>
          <w:rFonts w:ascii="Cambria" w:hAnsi="Cambria"/>
          <w:lang w:val="en-US"/>
        </w:rPr>
        <w:fldChar w:fldCharType="separate"/>
      </w:r>
      <w:r w:rsidR="00244B6B" w:rsidRPr="00A81E9D">
        <w:rPr>
          <w:rFonts w:ascii="Cambria" w:hAnsi="Cambria"/>
          <w:noProof/>
          <w:szCs w:val="24"/>
          <w:lang w:val="en-US"/>
        </w:rPr>
        <w:t xml:space="preserve">[1] </w:t>
      </w:r>
      <w:r w:rsidR="00244B6B" w:rsidRPr="00A81E9D">
        <w:rPr>
          <w:rFonts w:ascii="Cambria" w:hAnsi="Cambria"/>
          <w:noProof/>
          <w:szCs w:val="24"/>
          <w:lang w:val="en-US"/>
        </w:rPr>
        <w:tab/>
        <w:t>Coombes RC, Chilvers CE, Amadori D, et al. Randomised trial of epirubicin versus fluorouracil in advanced gastric cancer. An International Collaborative Cancer Group (ICCG) study. Ann. Oncol.  Off. J. Eur. Soc. Med. Oncol. 1994;5:33–36.</w:t>
      </w:r>
    </w:p>
    <w:p w14:paraId="7D623720"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[2] </w:t>
      </w:r>
      <w:r w:rsidRPr="00A81E9D">
        <w:rPr>
          <w:rFonts w:ascii="Cambria" w:hAnsi="Cambria"/>
          <w:noProof/>
          <w:szCs w:val="24"/>
          <w:lang w:val="en-US"/>
        </w:rPr>
        <w:tab/>
        <w:t>Loehrer PJ, Harry D, Chlebowski RT. 5-Fluorouracil vs. epirubicin vs. 5-fluorouracil plus epirubicin in advanced gastric carcinoma. Invest. New Drugs. 1994;12:57–63.</w:t>
      </w:r>
    </w:p>
    <w:p w14:paraId="3BE9B42C"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[3] </w:t>
      </w:r>
      <w:r w:rsidRPr="00A81E9D">
        <w:rPr>
          <w:rFonts w:ascii="Cambria" w:hAnsi="Cambria"/>
          <w:noProof/>
          <w:szCs w:val="24"/>
          <w:lang w:val="en-US"/>
        </w:rPr>
        <w:tab/>
        <w:t>Colucci G, Giotta F, Maiello E, et al. Efficacy of the association of folinic acid and 5-fluorouracil alone versus folinic acid and 5-fluorouracil plus 4-epidoxorubicin in the treatment of advanced gastric carcinoma. Am. J. Clin. Oncol. Cancer Clin. Trials. 1995;18:519–524.</w:t>
      </w:r>
    </w:p>
    <w:p w14:paraId="0FB1C50B"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[4] </w:t>
      </w:r>
      <w:r w:rsidRPr="00A81E9D">
        <w:rPr>
          <w:rFonts w:ascii="Cambria" w:hAnsi="Cambria"/>
          <w:noProof/>
          <w:szCs w:val="24"/>
          <w:lang w:val="en-US"/>
        </w:rPr>
        <w:tab/>
        <w:t>Bouché O, Raoul JL, Bonnetain F, et al. Randomized multicenter phase II trial of a biweekly regimen of fluorouracil and leucovorin (LV5FU2), LV5FU2 plus cisplatin, or LV5FU2 plus irinotecan in patients with previously untreated metastatic gastric cancer: A Fédération Francophone de Cancérologie. J. Clin. Oncol. 2004;22:4319–4328.</w:t>
      </w:r>
    </w:p>
    <w:p w14:paraId="31E0EE4B"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[5] </w:t>
      </w:r>
      <w:r w:rsidRPr="00A81E9D">
        <w:rPr>
          <w:rFonts w:ascii="Cambria" w:hAnsi="Cambria"/>
          <w:noProof/>
          <w:szCs w:val="24"/>
          <w:lang w:val="en-US"/>
        </w:rPr>
        <w:tab/>
        <w:t xml:space="preserve">Boku N, Yamamoto S, Fukuda H, et al. Fluorouracil versus combination of irinotecan plus cisplatin versus S-1 in metastatic gastric cancer: a randomised phase 3 study. </w:t>
      </w:r>
      <w:r w:rsidRPr="00244B6B">
        <w:rPr>
          <w:rFonts w:ascii="Cambria" w:hAnsi="Cambria"/>
          <w:noProof/>
          <w:szCs w:val="24"/>
        </w:rPr>
        <w:t>Lancet. Oncol. 2009;10:1063–1069.</w:t>
      </w:r>
    </w:p>
    <w:p w14:paraId="1D228F09"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[6] </w:t>
      </w:r>
      <w:r w:rsidRPr="00244B6B">
        <w:rPr>
          <w:rFonts w:ascii="Cambria" w:hAnsi="Cambria"/>
          <w:noProof/>
          <w:szCs w:val="24"/>
        </w:rPr>
        <w:tab/>
        <w:t xml:space="preserve">Lutz MP, Wilke H, Wagener DJT, et al. </w:t>
      </w:r>
      <w:r w:rsidRPr="00A81E9D">
        <w:rPr>
          <w:rFonts w:ascii="Cambria" w:hAnsi="Cambria"/>
          <w:noProof/>
          <w:szCs w:val="24"/>
          <w:lang w:val="en-US"/>
        </w:rPr>
        <w:t>Weekly infusional high-dose fluorouracil (HD-FU), HD-FU plus folinic acid (HD-FU/FA), or HD-FU/FA plus biweekly cisplatin in advanced gastric cancer: Randomized phase II trial 40953 of the European organisation for research and treatment of cancer gastroi. J. Clin. Oncol. 2007;25:2580–2585.</w:t>
      </w:r>
    </w:p>
    <w:p w14:paraId="51D6134D"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[7] </w:t>
      </w:r>
      <w:r w:rsidRPr="00A81E9D">
        <w:rPr>
          <w:rFonts w:ascii="Cambria" w:hAnsi="Cambria"/>
          <w:noProof/>
          <w:szCs w:val="24"/>
          <w:lang w:val="en-US"/>
        </w:rPr>
        <w:tab/>
        <w:t xml:space="preserve">Ohtsu A, Shimada Y, Shirao K, et al. Randomized phase III trial of fluorouracil alone versus fluorouracil plus cisplatin versus uracil and tegafur plus mitomycin in patients with unresectable, advanced gastric cancer: The Japan clinical oncology group study </w:t>
      </w:r>
      <w:r w:rsidRPr="00A81E9D">
        <w:rPr>
          <w:rFonts w:ascii="Cambria" w:hAnsi="Cambria"/>
          <w:noProof/>
          <w:szCs w:val="24"/>
          <w:lang w:val="en-US"/>
        </w:rPr>
        <w:lastRenderedPageBreak/>
        <w:t>(JCOG9205). J. Clin. Oncol. 2003;21:54–59.</w:t>
      </w:r>
    </w:p>
    <w:p w14:paraId="1CAF524F"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[8] </w:t>
      </w:r>
      <w:r w:rsidRPr="00A81E9D">
        <w:rPr>
          <w:rFonts w:ascii="Cambria" w:hAnsi="Cambria"/>
          <w:noProof/>
          <w:szCs w:val="24"/>
          <w:lang w:val="en-US"/>
        </w:rPr>
        <w:tab/>
        <w:t>Sawaki  a., Yamaguchi K, Nabeya Y, et al. 5-FU/l-LV (RPMI) versus S-1 as first-line therapy in patients with advanced gastric cancer: a randomized phase III non-inferiority trial. (ISO-5FU10 Study Group trial). Eur. J. Cancer Suppl. 2009;7:364.</w:t>
      </w:r>
    </w:p>
    <w:p w14:paraId="0CF5524E"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[9] </w:t>
      </w:r>
      <w:r w:rsidRPr="00A81E9D">
        <w:rPr>
          <w:rFonts w:ascii="Cambria" w:hAnsi="Cambria"/>
          <w:noProof/>
          <w:szCs w:val="24"/>
          <w:lang w:val="en-US"/>
        </w:rPr>
        <w:tab/>
        <w:t>Kondo K, Sakamoto J, Nakazato H, et al. A phase III randomized study comparing doxifluridine and 5-fluorouracil as supportive chemotherapy in advanced and recurrent gastric cancer. Oncol Rep. 2000;7:485–490.</w:t>
      </w:r>
    </w:p>
    <w:p w14:paraId="3A633741"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[10] </w:t>
      </w:r>
      <w:r w:rsidRPr="00A81E9D">
        <w:rPr>
          <w:rFonts w:ascii="Cambria" w:hAnsi="Cambria"/>
          <w:noProof/>
          <w:szCs w:val="24"/>
          <w:lang w:val="en-US"/>
        </w:rPr>
        <w:tab/>
        <w:t>Tebbutt NC, Norman A, Cunningham D, et al. A muticentre, randomised phase III trial comparing protracted venous infusion (PVI) 5-fluorouracil (5-FU) with PVI 5-FU plus mitomycin C in patients with inoperable oesophago-gastric cancer. Ann. Oncol. 2002;13:1568–1575.</w:t>
      </w:r>
    </w:p>
    <w:p w14:paraId="0B4B85F1"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[11] </w:t>
      </w:r>
      <w:r w:rsidRPr="00A81E9D">
        <w:rPr>
          <w:rFonts w:ascii="Cambria" w:hAnsi="Cambria"/>
          <w:noProof/>
          <w:szCs w:val="24"/>
          <w:lang w:val="en-US"/>
        </w:rPr>
        <w:tab/>
        <w:t xml:space="preserve">Shirao K, Boku N, Yamada Y, et al. Randomized phase iii study of 5-fluorouracil continuous infusion vs. sequential methotrexate and 5-fluorouracil therapy in far advanced gastric cancer with peritoneal metastasis (jcog0106). </w:t>
      </w:r>
      <w:r w:rsidRPr="00244B6B">
        <w:rPr>
          <w:rFonts w:ascii="Cambria" w:hAnsi="Cambria"/>
          <w:noProof/>
          <w:szCs w:val="24"/>
        </w:rPr>
        <w:t>Jpn. J. Clin. Oncol. 2013;43:972–980.</w:t>
      </w:r>
    </w:p>
    <w:p w14:paraId="6B5E3368"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244B6B">
        <w:rPr>
          <w:rFonts w:ascii="Cambria" w:hAnsi="Cambria"/>
          <w:noProof/>
          <w:szCs w:val="24"/>
        </w:rPr>
        <w:t xml:space="preserve">[12] </w:t>
      </w:r>
      <w:r w:rsidRPr="00244B6B">
        <w:rPr>
          <w:rFonts w:ascii="Cambria" w:hAnsi="Cambria"/>
          <w:noProof/>
          <w:szCs w:val="24"/>
        </w:rPr>
        <w:tab/>
        <w:t xml:space="preserve">Hwang IG, Ji JH, Kang JH, et al. </w:t>
      </w:r>
      <w:r w:rsidRPr="00A81E9D">
        <w:rPr>
          <w:rFonts w:ascii="Cambria" w:hAnsi="Cambria"/>
          <w:noProof/>
          <w:szCs w:val="24"/>
          <w:lang w:val="en-US"/>
        </w:rPr>
        <w:t xml:space="preserve">A multi-center, open-label, randomized phase III trial of first-line chemotherapy with capecitabine monotherapy versus capecitabine plus oxaliplatin in elderly patients with advanced gastric cancer. </w:t>
      </w:r>
      <w:r w:rsidRPr="00244B6B">
        <w:rPr>
          <w:rFonts w:ascii="Cambria" w:hAnsi="Cambria"/>
          <w:noProof/>
          <w:szCs w:val="24"/>
        </w:rPr>
        <w:t>J. Geriatr. Oncol. 2017;8:170–175.</w:t>
      </w:r>
    </w:p>
    <w:p w14:paraId="17E71A37"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[13] </w:t>
      </w:r>
      <w:r w:rsidRPr="00244B6B">
        <w:rPr>
          <w:rFonts w:ascii="Cambria" w:hAnsi="Cambria"/>
          <w:noProof/>
          <w:szCs w:val="24"/>
        </w:rPr>
        <w:tab/>
        <w:t xml:space="preserve">Lee JL, Kang YK, Kang HJ, et al. </w:t>
      </w:r>
      <w:r w:rsidRPr="00A81E9D">
        <w:rPr>
          <w:rFonts w:ascii="Cambria" w:hAnsi="Cambria"/>
          <w:noProof/>
          <w:szCs w:val="24"/>
          <w:lang w:val="en-US"/>
        </w:rPr>
        <w:t>A randomised multicentre phase II trial of capecitabine vs S-1 as first-line treatment in elderly patients with metastatic or recurrent unresectable gastric cancer. Br. J. Cancer. 2008;99:584–590.</w:t>
      </w:r>
    </w:p>
    <w:p w14:paraId="17E56628"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[14] </w:t>
      </w:r>
      <w:r w:rsidRPr="00A81E9D">
        <w:rPr>
          <w:rFonts w:ascii="Cambria" w:hAnsi="Cambria"/>
          <w:noProof/>
          <w:szCs w:val="24"/>
          <w:lang w:val="en-US"/>
        </w:rPr>
        <w:tab/>
        <w:t xml:space="preserve">Hall PS, Lord SR, Collinson M, et al. A randomised phase II trial and feasibility study of palliative chemotherapy in frail or elderly patients with advanced gastroesophageal </w:t>
      </w:r>
      <w:r w:rsidRPr="00A81E9D">
        <w:rPr>
          <w:rFonts w:ascii="Cambria" w:hAnsi="Cambria"/>
          <w:noProof/>
          <w:szCs w:val="24"/>
          <w:lang w:val="en-US"/>
        </w:rPr>
        <w:lastRenderedPageBreak/>
        <w:t>cancer (321GO). Br. J. Cancer. 2017;116:472–478.</w:t>
      </w:r>
    </w:p>
    <w:p w14:paraId="568CCC85"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[15] </w:t>
      </w:r>
      <w:r w:rsidRPr="00A81E9D">
        <w:rPr>
          <w:rFonts w:ascii="Cambria" w:hAnsi="Cambria"/>
          <w:noProof/>
          <w:szCs w:val="24"/>
          <w:lang w:val="en-US"/>
        </w:rPr>
        <w:tab/>
        <w:t>Jin M, Lu H, Li J, et al. Ramdomized 3-armed phase III study of S-1 monotherapy versus S-1/CDDP (SP) versus 5-FU/CDDP (FP) in patients (pts) with advanced gastric cancer (AGC): SC-101 study. J. Clin. Oncol. 2008;26:4533.</w:t>
      </w:r>
    </w:p>
    <w:p w14:paraId="728EE8CC"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[16] </w:t>
      </w:r>
      <w:r w:rsidRPr="00A81E9D">
        <w:rPr>
          <w:rFonts w:ascii="Cambria" w:hAnsi="Cambria"/>
          <w:noProof/>
          <w:szCs w:val="24"/>
          <w:lang w:val="en-US"/>
        </w:rPr>
        <w:tab/>
        <w:t>Koizumi W, Narahara H, Hara T, et al. S-1 plus cisplatin versus S-1 alone for first-line treatment of advanced gastric cancer (SPIRITS trial): a phase III trial. Lancet Oncol. 2008;9:215–221.</w:t>
      </w:r>
    </w:p>
    <w:p w14:paraId="6F85DC2F"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[17] </w:t>
      </w:r>
      <w:r w:rsidRPr="00A81E9D">
        <w:rPr>
          <w:rFonts w:ascii="Cambria" w:hAnsi="Cambria"/>
          <w:noProof/>
          <w:szCs w:val="24"/>
          <w:lang w:val="en-US"/>
        </w:rPr>
        <w:tab/>
        <w:t>Lu Y, Liu Z, Zhang J. S-1 plus oxaliplatin vs. S-1 as first-line treatment in patients with previously untreated advanced gastric cancer: a randomized phase II study. J. Chemother. 2014;26:159–164.</w:t>
      </w:r>
    </w:p>
    <w:p w14:paraId="7D5CDD7F"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[18] </w:t>
      </w:r>
      <w:r w:rsidRPr="00A81E9D">
        <w:rPr>
          <w:rFonts w:ascii="Cambria" w:hAnsi="Cambria"/>
          <w:noProof/>
          <w:szCs w:val="24"/>
          <w:lang w:val="en-US"/>
        </w:rPr>
        <w:tab/>
        <w:t xml:space="preserve">Koizumi W, Yamaguchi K, Hosaka H, et al. Erratum: Randomised phase II study of S-1/cisplatin plus TSU-68 vs S-1/cisplatin in patients with advanced gastric cancer (British Journal of Cancer (2013) 109 (2079-2086) DOI: 10.1038/bjc.2013.555). </w:t>
      </w:r>
      <w:r w:rsidRPr="00244B6B">
        <w:rPr>
          <w:rFonts w:ascii="Cambria" w:hAnsi="Cambria"/>
          <w:noProof/>
          <w:szCs w:val="24"/>
        </w:rPr>
        <w:t>Br. J. Cancer. 2014;111:2382.</w:t>
      </w:r>
    </w:p>
    <w:p w14:paraId="6EAA5D06"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[19] </w:t>
      </w:r>
      <w:r w:rsidRPr="00244B6B">
        <w:rPr>
          <w:rFonts w:ascii="Cambria" w:hAnsi="Cambria"/>
          <w:noProof/>
          <w:szCs w:val="24"/>
        </w:rPr>
        <w:tab/>
        <w:t xml:space="preserve">Wang X, Wang ML, Zhou LY, et al. </w:t>
      </w:r>
      <w:r w:rsidRPr="00A81E9D">
        <w:rPr>
          <w:rFonts w:ascii="Cambria" w:hAnsi="Cambria"/>
          <w:noProof/>
          <w:szCs w:val="24"/>
          <w:lang w:val="en-US"/>
        </w:rPr>
        <w:t>Randomized phase II study comparing paclitaxel with S-1 vs. S-1 as first-line treatment in patients with advanced gastric cancer. Clin. Transl. Oncol. 2013;15:836–842.</w:t>
      </w:r>
    </w:p>
    <w:p w14:paraId="18BFB42E"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[20] </w:t>
      </w:r>
      <w:r w:rsidRPr="00A81E9D">
        <w:rPr>
          <w:rFonts w:ascii="Cambria" w:hAnsi="Cambria"/>
          <w:noProof/>
          <w:szCs w:val="24"/>
          <w:lang w:val="en-US"/>
        </w:rPr>
        <w:tab/>
        <w:t>Yoshino S, Nishikawa K, Morita S, et al. Randomised phase III study of S-1 alone versus S-1 plus lentinan for unresectable or recurrent gastric cancer (JFMC36-0701). Eur. J. Cancer. 2016;65:164–171.</w:t>
      </w:r>
    </w:p>
    <w:p w14:paraId="0D700C13"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[21] </w:t>
      </w:r>
      <w:r w:rsidRPr="00A81E9D">
        <w:rPr>
          <w:rFonts w:ascii="Cambria" w:hAnsi="Cambria"/>
          <w:noProof/>
          <w:szCs w:val="24"/>
          <w:lang w:val="en-US"/>
        </w:rPr>
        <w:tab/>
        <w:t>Hironaka S, Sugimoto N, Yamaguchi K, et al. S-1 plus leucovorin versus S-1 plus leucovorin and oxaliplatin versus S-1 plus cisplatin in patients with advanced gastric cancer: A randomised, multicentre, open-label, phase 2 trial. Lancet Oncol. 2016;17:99–108.</w:t>
      </w:r>
    </w:p>
    <w:p w14:paraId="1E8BF3B2"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lastRenderedPageBreak/>
        <w:t xml:space="preserve">[22] </w:t>
      </w:r>
      <w:r w:rsidRPr="00A81E9D">
        <w:rPr>
          <w:rFonts w:ascii="Cambria" w:hAnsi="Cambria"/>
          <w:noProof/>
          <w:szCs w:val="24"/>
          <w:lang w:val="en-US"/>
        </w:rPr>
        <w:tab/>
        <w:t>Komatsu Y, Takahashi Y, Kimura Y, et al. Randomized phase II trial of first-line treatment with tailored irinotecan and S-1 therapy versus S-1 monotherapy for advanced or recurrent gastric carcinoma (JFMC31-0301). Anticancer. Drugs. 2011;22:576–583.</w:t>
      </w:r>
    </w:p>
    <w:p w14:paraId="7A10AF61"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[23] </w:t>
      </w:r>
      <w:r w:rsidRPr="00A81E9D">
        <w:rPr>
          <w:rFonts w:ascii="Cambria" w:hAnsi="Cambria"/>
          <w:noProof/>
          <w:szCs w:val="24"/>
          <w:lang w:val="en-US"/>
        </w:rPr>
        <w:tab/>
        <w:t>Nio Y. A randomized, comparative study of combination chemotherapies in advanced gastric cancer: 5-Fluorouracil and cisplatin (FP) versus 5-Fluorouracil, cisplatin, and 4’-Epirubicin (FPEPIR). Anticancer Res. 1992;12:1983–1988.</w:t>
      </w:r>
    </w:p>
    <w:p w14:paraId="6D251386"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[24] </w:t>
      </w:r>
      <w:r w:rsidRPr="00A81E9D">
        <w:rPr>
          <w:rFonts w:ascii="Cambria" w:hAnsi="Cambria"/>
          <w:noProof/>
          <w:szCs w:val="24"/>
          <w:lang w:val="en-US"/>
        </w:rPr>
        <w:tab/>
        <w:t xml:space="preserve">Van Cutsem E, Moiseyenko VM, Tjulandin S, et al. Phase III Study of Docetaxel and Cisplatin Plus Fluorouracil Compared With Cisplatin and Fluorouracil As First-Line Therapy for Advanced Gastric Cancer: A Report of the V325 Study Group. </w:t>
      </w:r>
      <w:r w:rsidRPr="00244B6B">
        <w:rPr>
          <w:rFonts w:ascii="Cambria" w:hAnsi="Cambria"/>
          <w:noProof/>
          <w:szCs w:val="24"/>
        </w:rPr>
        <w:t>J. Clin. Oncol. 2006;24:4991–4997.</w:t>
      </w:r>
    </w:p>
    <w:p w14:paraId="426ADC1D"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[25] </w:t>
      </w:r>
      <w:r w:rsidRPr="00244B6B">
        <w:rPr>
          <w:rFonts w:ascii="Cambria" w:hAnsi="Cambria"/>
          <w:noProof/>
          <w:szCs w:val="24"/>
        </w:rPr>
        <w:tab/>
        <w:t xml:space="preserve">Wang J, Xu R, Li J, et al. </w:t>
      </w:r>
      <w:r w:rsidRPr="00A81E9D">
        <w:rPr>
          <w:rFonts w:ascii="Cambria" w:hAnsi="Cambria"/>
          <w:noProof/>
          <w:szCs w:val="24"/>
          <w:lang w:val="en-US"/>
        </w:rPr>
        <w:t>Randomized multicenter phase III study of a modified docetaxel and cisplatin plus fluorouracil regimen compared with cisplatin and fluorouracil as first-line therapy for advanced or locally recurrent gastric cancer. Gastric Cancer. 2015;19:234–244.</w:t>
      </w:r>
    </w:p>
    <w:p w14:paraId="188B15AF"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[26] </w:t>
      </w:r>
      <w:r w:rsidRPr="00A81E9D">
        <w:rPr>
          <w:rFonts w:ascii="Cambria" w:hAnsi="Cambria"/>
          <w:noProof/>
          <w:szCs w:val="24"/>
          <w:lang w:val="en-US"/>
        </w:rPr>
        <w:tab/>
        <w:t>Dank M, Zaluski J, Barone C, et al. Randomized phase III study comparing irinotecan combined with 5-fluorouracil and folinic acid to cisplatin combined with 5-fluorouracil in chemotherapy naive patients with advanced adenocarcinoma of the stomach or esophagogastric junction. Ann. Oncol. 2008;19:1450–1457.</w:t>
      </w:r>
    </w:p>
    <w:p w14:paraId="2ACBA98D"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[27] </w:t>
      </w:r>
      <w:r w:rsidRPr="00A81E9D">
        <w:rPr>
          <w:rFonts w:ascii="Cambria" w:hAnsi="Cambria"/>
          <w:noProof/>
          <w:szCs w:val="24"/>
          <w:lang w:val="en-US"/>
        </w:rPr>
        <w:tab/>
        <w:t>Al-Batran S-E, Hartmann JT, Probst S, et al. Phase III Trial in Metastatic Gastroesophageal Adenocarcinoma with Fluorouracil, Leucovorin Plus Either Oxaliplatin or Cisplatin: A Study of the Arbeitsgemeinschaft Internistische Onkologie. J. Clin. Oncol. 2008;26:1435–1442.</w:t>
      </w:r>
    </w:p>
    <w:p w14:paraId="62344AEE"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[28] </w:t>
      </w:r>
      <w:r w:rsidRPr="00A81E9D">
        <w:rPr>
          <w:rFonts w:ascii="Cambria" w:hAnsi="Cambria"/>
          <w:noProof/>
          <w:szCs w:val="24"/>
          <w:lang w:val="en-US"/>
        </w:rPr>
        <w:tab/>
        <w:t xml:space="preserve">Ikeda R, Yoshida K, Satou Y, et al. Randomized phase II/III study of docetaxel/S-1 (DS-1) versus CDDP/5FU (FUP) in advanced or recurrent gastric cancer: Updated phase II </w:t>
      </w:r>
      <w:r w:rsidRPr="00A81E9D">
        <w:rPr>
          <w:rFonts w:ascii="Cambria" w:hAnsi="Cambria"/>
          <w:noProof/>
          <w:szCs w:val="24"/>
          <w:lang w:val="en-US"/>
        </w:rPr>
        <w:lastRenderedPageBreak/>
        <w:t xml:space="preserve">results. </w:t>
      </w:r>
      <w:r w:rsidRPr="00244B6B">
        <w:rPr>
          <w:rFonts w:ascii="Cambria" w:hAnsi="Cambria"/>
          <w:noProof/>
          <w:szCs w:val="24"/>
        </w:rPr>
        <w:t>J. Clin. Oncol. 2009;27:4595.</w:t>
      </w:r>
    </w:p>
    <w:p w14:paraId="0B2B7BF5"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[29] </w:t>
      </w:r>
      <w:r w:rsidRPr="00244B6B">
        <w:rPr>
          <w:rFonts w:ascii="Cambria" w:hAnsi="Cambria"/>
          <w:noProof/>
          <w:szCs w:val="24"/>
        </w:rPr>
        <w:tab/>
        <w:t xml:space="preserve">Vanhoefer U, Rougier P, Wilke H, et al. </w:t>
      </w:r>
      <w:r w:rsidRPr="00A81E9D">
        <w:rPr>
          <w:rFonts w:ascii="Cambria" w:hAnsi="Cambria"/>
          <w:noProof/>
          <w:szCs w:val="24"/>
          <w:lang w:val="en-US"/>
        </w:rPr>
        <w:t>Final results of a randomized phase III trial of sequential high-dose methotrexate, fluorouracil, and doxorubicin versus etoposide, leucovorin, and fluorouracil versus infusional fluorouracil and cisplatin in advanced gastric cancer: A trial of the Europe. J. Clin. Oncol. 2000;18:2648–2657.</w:t>
      </w:r>
    </w:p>
    <w:p w14:paraId="1E3F2446"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[30] </w:t>
      </w:r>
      <w:r w:rsidRPr="00A81E9D">
        <w:rPr>
          <w:rFonts w:ascii="Cambria" w:hAnsi="Cambria"/>
          <w:noProof/>
          <w:szCs w:val="24"/>
          <w:lang w:val="en-US"/>
        </w:rPr>
        <w:tab/>
        <w:t>Ridwelski K, Fahlke J, Kettner E, et al. Docetaxel-cisplatin (DC) versus 5-fluorouracil-leucovorin-cisplatin (FLC) as first-line treatment for locally advanced or metastatic gastric cancer: Preliminary results of a phase III study. J. Clin. Oncol. 2008;26:4512.</w:t>
      </w:r>
    </w:p>
    <w:p w14:paraId="775F42BB"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[31] </w:t>
      </w:r>
      <w:r w:rsidRPr="00A81E9D">
        <w:rPr>
          <w:rFonts w:ascii="Cambria" w:hAnsi="Cambria"/>
          <w:noProof/>
          <w:szCs w:val="24"/>
          <w:lang w:val="en-US"/>
        </w:rPr>
        <w:tab/>
        <w:t>Ajani JA, Rodriguez W, Bodoky G, et al. Multicenter phase III comparison of cisplatin/S-1 with cisplatin/infusional fluorouracil in advanced gastric or gastroesophageal adenocarcinoma study: The FLAGS trial. J. Clin. Oncol. 2010;28:1547–1553.</w:t>
      </w:r>
    </w:p>
    <w:p w14:paraId="1C8FEDB5"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[32] </w:t>
      </w:r>
      <w:r w:rsidRPr="00A81E9D">
        <w:rPr>
          <w:rFonts w:ascii="Cambria" w:hAnsi="Cambria"/>
          <w:noProof/>
          <w:szCs w:val="24"/>
          <w:lang w:val="en-US"/>
        </w:rPr>
        <w:tab/>
        <w:t xml:space="preserve">Ajani JA, Abramov M, Bondarenko I, et al. A phase III trial comparing oral S-1/cisplatin and intravenous 5-fluorouracil/cisplatin in patients with untreated diffuse gastric cancer. </w:t>
      </w:r>
      <w:r w:rsidRPr="00244B6B">
        <w:rPr>
          <w:rFonts w:ascii="Cambria" w:hAnsi="Cambria"/>
          <w:noProof/>
          <w:szCs w:val="24"/>
        </w:rPr>
        <w:t>Ann. Oncol. 2017;28:2142–2148.</w:t>
      </w:r>
    </w:p>
    <w:p w14:paraId="589EF046"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[33] </w:t>
      </w:r>
      <w:r w:rsidRPr="00244B6B">
        <w:rPr>
          <w:rFonts w:ascii="Cambria" w:hAnsi="Cambria"/>
          <w:noProof/>
          <w:szCs w:val="24"/>
        </w:rPr>
        <w:tab/>
        <w:t xml:space="preserve">Lee KH, Hyun MS, Kim H-K, et al. </w:t>
      </w:r>
      <w:r w:rsidRPr="00A81E9D">
        <w:rPr>
          <w:rFonts w:ascii="Cambria" w:hAnsi="Cambria"/>
          <w:noProof/>
          <w:szCs w:val="24"/>
          <w:lang w:val="en-US"/>
        </w:rPr>
        <w:t>Randomized, Multicenter, Phase III Trial of Heptaplatin 1-hour Infusion and 5-Fluorouracil Combination Chemotherapy Comparing with Cisplatin and 5-Fluorouracil Combination Chemotherapy in Patients with Advanced Gastric Cancer. Cancer Res. Treat. 2009;41:12.</w:t>
      </w:r>
    </w:p>
    <w:p w14:paraId="64749E1F"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[34] </w:t>
      </w:r>
      <w:r w:rsidRPr="00A81E9D">
        <w:rPr>
          <w:rFonts w:ascii="Cambria" w:hAnsi="Cambria"/>
          <w:noProof/>
          <w:szCs w:val="24"/>
          <w:lang w:val="en-US"/>
        </w:rPr>
        <w:tab/>
        <w:t xml:space="preserve">Kang YK, Kang WK, Shin DB, et al. Capecitabine/cisplatin versus 5-fluorouracil/cisplatin as first-line therapy in patients with advanced gastric cancer: A randomised phase III noninferiority trial. </w:t>
      </w:r>
      <w:r w:rsidRPr="00244B6B">
        <w:rPr>
          <w:rFonts w:ascii="Cambria" w:hAnsi="Cambria"/>
          <w:noProof/>
          <w:szCs w:val="24"/>
        </w:rPr>
        <w:t>Ann. Oncol. 2009;20:666–673.</w:t>
      </w:r>
    </w:p>
    <w:p w14:paraId="68E2EC4B"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[35] </w:t>
      </w:r>
      <w:r w:rsidRPr="00244B6B">
        <w:rPr>
          <w:rFonts w:ascii="Cambria" w:hAnsi="Cambria"/>
          <w:noProof/>
          <w:szCs w:val="24"/>
        </w:rPr>
        <w:tab/>
        <w:t xml:space="preserve">Li Y, Qiu M, Xu J, et al. </w:t>
      </w:r>
      <w:r w:rsidRPr="00A81E9D">
        <w:rPr>
          <w:rFonts w:ascii="Cambria" w:hAnsi="Cambria"/>
          <w:noProof/>
          <w:szCs w:val="24"/>
          <w:lang w:val="en-US"/>
        </w:rPr>
        <w:t>S-1 plus Cisplatin versus fluorouracil plus cisplatin in advanced gastric or gastro-esophageal junction adenocarcinoma patients: a pilot study. Oncotarget. 2015;</w:t>
      </w:r>
    </w:p>
    <w:p w14:paraId="648FDBB3"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lastRenderedPageBreak/>
        <w:t xml:space="preserve">[36] </w:t>
      </w:r>
      <w:r w:rsidRPr="00A81E9D">
        <w:rPr>
          <w:rFonts w:ascii="Cambria" w:hAnsi="Cambria"/>
          <w:noProof/>
          <w:szCs w:val="24"/>
          <w:lang w:val="en-US"/>
        </w:rPr>
        <w:tab/>
        <w:t xml:space="preserve">Yamada Y, Higuchi K, Nishikawa K, et al. Phase III study comparing oxaliplatin plus S-1 with cisplatin plus S-1 in chemotherapy-naïve patients with advanced gastric cancer. </w:t>
      </w:r>
      <w:r w:rsidRPr="00244B6B">
        <w:rPr>
          <w:rFonts w:ascii="Cambria" w:hAnsi="Cambria"/>
          <w:noProof/>
          <w:szCs w:val="24"/>
        </w:rPr>
        <w:t>Ann. Oncol. 2014;26:141–148.</w:t>
      </w:r>
    </w:p>
    <w:p w14:paraId="7DEC55CA"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[37] </w:t>
      </w:r>
      <w:r w:rsidRPr="00244B6B">
        <w:rPr>
          <w:rFonts w:ascii="Cambria" w:hAnsi="Cambria"/>
          <w:noProof/>
          <w:szCs w:val="24"/>
        </w:rPr>
        <w:tab/>
        <w:t xml:space="preserve">Mochiki E, Ogata K, Ohno T, et al. </w:t>
      </w:r>
      <w:r w:rsidRPr="00A81E9D">
        <w:rPr>
          <w:rFonts w:ascii="Cambria" w:hAnsi="Cambria"/>
          <w:noProof/>
          <w:szCs w:val="24"/>
          <w:lang w:val="en-US"/>
        </w:rPr>
        <w:t>Phase II multi-institutional prospective randomised trial comparing S-1paclitaxel with S-1cisplatin in patients with unresectable and/or recurrent advanced gastric cancer. Br. J. Cancer. 2012;107:31–36.</w:t>
      </w:r>
    </w:p>
    <w:p w14:paraId="6EA41892"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[38] </w:t>
      </w:r>
      <w:r w:rsidRPr="00A81E9D">
        <w:rPr>
          <w:rFonts w:ascii="Cambria" w:hAnsi="Cambria"/>
          <w:noProof/>
          <w:szCs w:val="24"/>
          <w:lang w:val="en-US"/>
        </w:rPr>
        <w:tab/>
        <w:t>Du F, Zheng Z, Shi S, et al. S-1 and Cisplatin With or Without Nimotuzumab for Patients With Untreated Unresectable or Metastatic Gastric Cancer. Medicine (Baltimore). 2015;94:e958.</w:t>
      </w:r>
    </w:p>
    <w:p w14:paraId="284F925A"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[39] </w:t>
      </w:r>
      <w:r w:rsidRPr="00A81E9D">
        <w:rPr>
          <w:rFonts w:ascii="Cambria" w:hAnsi="Cambria"/>
          <w:noProof/>
          <w:szCs w:val="24"/>
          <w:lang w:val="en-US"/>
        </w:rPr>
        <w:tab/>
        <w:t>Ryu MH, Baba E, Lee KH, et al. Comparison of two different S-1 plus cisplatin dosing schedules as first-line chemotherapy for metastatic and/or recurrent gastric cancer: A multicenter, randomized phase III trial (SOS). Ann. Oncol. 2015;26:2097–2101.</w:t>
      </w:r>
    </w:p>
    <w:p w14:paraId="0FAE3D2C"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[40] </w:t>
      </w:r>
      <w:r w:rsidRPr="00A81E9D">
        <w:rPr>
          <w:rFonts w:ascii="Cambria" w:hAnsi="Cambria"/>
          <w:noProof/>
          <w:szCs w:val="24"/>
          <w:lang w:val="en-US"/>
        </w:rPr>
        <w:tab/>
        <w:t>Bando H, Yamada Y, Tanabe S, et al. Efficacy and safety of S-1 and oxaliplatin combination therapy in elderly patients with advanced gastric cancer. Gastric Cancer. 2016;19:919–926.</w:t>
      </w:r>
    </w:p>
    <w:p w14:paraId="2A6D767C"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[41] </w:t>
      </w:r>
      <w:r w:rsidRPr="00A81E9D">
        <w:rPr>
          <w:rFonts w:ascii="Cambria" w:hAnsi="Cambria"/>
          <w:noProof/>
          <w:szCs w:val="24"/>
          <w:lang w:val="en-US"/>
        </w:rPr>
        <w:tab/>
        <w:t>Kobayashi M, Tsuburaya A, Nishikawa K, et al. A randomized phase II trial of capecitabine plus cisplatin (XP) versus S-1 plus cisplatin (SP) as a first-line treatment for advanced gastric cancer: XP ascertainment versus SP randomized PII trial (XParTS II). J. Clin. Oncol. 2015;33:105.</w:t>
      </w:r>
    </w:p>
    <w:p w14:paraId="4467410C"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[42] </w:t>
      </w:r>
      <w:r w:rsidRPr="00A81E9D">
        <w:rPr>
          <w:rFonts w:ascii="Cambria" w:hAnsi="Cambria"/>
          <w:noProof/>
          <w:szCs w:val="24"/>
          <w:lang w:val="en-US"/>
        </w:rPr>
        <w:tab/>
        <w:t xml:space="preserve">Fujitani K, Yang H-K, Mizusawa J, et al. Gastrectomy plus chemotherapy versus chemotherapy alone for advanced gastric cancer with a single non-curable factor (REGATTA): a phase 3, randomised controlled trial. </w:t>
      </w:r>
      <w:r w:rsidRPr="00244B6B">
        <w:rPr>
          <w:rFonts w:ascii="Cambria" w:hAnsi="Cambria"/>
          <w:noProof/>
          <w:szCs w:val="24"/>
        </w:rPr>
        <w:t>Lancet Oncol. 2016;17:309–318.</w:t>
      </w:r>
    </w:p>
    <w:p w14:paraId="48374692"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[43] </w:t>
      </w:r>
      <w:r w:rsidRPr="00244B6B">
        <w:rPr>
          <w:rFonts w:ascii="Cambria" w:hAnsi="Cambria"/>
          <w:noProof/>
          <w:szCs w:val="24"/>
        </w:rPr>
        <w:tab/>
        <w:t xml:space="preserve">Wu D, Li X, Tong J, et al. </w:t>
      </w:r>
      <w:r w:rsidRPr="00A81E9D">
        <w:rPr>
          <w:rFonts w:ascii="Cambria" w:hAnsi="Cambria"/>
          <w:noProof/>
          <w:szCs w:val="24"/>
          <w:lang w:val="en-US"/>
        </w:rPr>
        <w:t xml:space="preserve">S-1 combined with cisplatin versus cisplatin alone for the treatment of advanced gastric cancer: A pilot randomized-controlled trial. Anticancer. </w:t>
      </w:r>
      <w:r w:rsidRPr="00A81E9D">
        <w:rPr>
          <w:rFonts w:ascii="Cambria" w:hAnsi="Cambria"/>
          <w:noProof/>
          <w:szCs w:val="24"/>
          <w:lang w:val="en-US"/>
        </w:rPr>
        <w:lastRenderedPageBreak/>
        <w:t>Drugs. 2015;26:774–778.</w:t>
      </w:r>
    </w:p>
    <w:p w14:paraId="0B9B2762"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[44] </w:t>
      </w:r>
      <w:r w:rsidRPr="00A81E9D">
        <w:rPr>
          <w:rFonts w:ascii="Cambria" w:hAnsi="Cambria"/>
          <w:noProof/>
          <w:szCs w:val="24"/>
          <w:lang w:val="en-US"/>
        </w:rPr>
        <w:tab/>
        <w:t xml:space="preserve">Ryu M-H, Park YI, Chung I-J, et al. Phase III trial of s-1 plus oxaliplatin (SOX) vs s-1 plus cisplatin (SP) combination chemotherapy for first-line treatment of advanced gastric cancer (AGC): SOPP study. </w:t>
      </w:r>
      <w:r w:rsidRPr="00244B6B">
        <w:rPr>
          <w:rFonts w:ascii="Cambria" w:hAnsi="Cambria"/>
          <w:noProof/>
          <w:szCs w:val="24"/>
        </w:rPr>
        <w:t>J. Clin. Oncol. 2016;34:4015.</w:t>
      </w:r>
    </w:p>
    <w:p w14:paraId="5A4293FF"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[45] </w:t>
      </w:r>
      <w:r w:rsidRPr="00244B6B">
        <w:rPr>
          <w:rFonts w:ascii="Cambria" w:hAnsi="Cambria"/>
          <w:noProof/>
          <w:szCs w:val="24"/>
        </w:rPr>
        <w:tab/>
        <w:t xml:space="preserve">Moehler M, Kanzler S, Geissler M, et al. </w:t>
      </w:r>
      <w:r w:rsidRPr="00A81E9D">
        <w:rPr>
          <w:rFonts w:ascii="Cambria" w:hAnsi="Cambria"/>
          <w:noProof/>
          <w:szCs w:val="24"/>
          <w:lang w:val="en-US"/>
        </w:rPr>
        <w:t>A randomized multicenter phase II study comparing capecitabine with irinotecan or cisplatin in metastatic adenocarcinoma of the stomach or esophagogastric junction. Ann. Oncol. 2010;21:71–77.</w:t>
      </w:r>
    </w:p>
    <w:p w14:paraId="47347CB8"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[46] </w:t>
      </w:r>
      <w:r w:rsidRPr="00A81E9D">
        <w:rPr>
          <w:rFonts w:ascii="Cambria" w:hAnsi="Cambria"/>
          <w:noProof/>
          <w:szCs w:val="24"/>
          <w:lang w:val="en-US"/>
        </w:rPr>
        <w:tab/>
        <w:t>Eatock MM, Tebbutt NC, Bampton CL, et al. Phase II randomized, double-blind, placebo-controlled study of AMG 386 (trebananib) in combination with cisplatin and capecitabine in patients with metastatic gastro-oesophageal cancer. Ann. Oncol. 2013;24:710–718.</w:t>
      </w:r>
    </w:p>
    <w:p w14:paraId="43A18BF0"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[47] </w:t>
      </w:r>
      <w:r w:rsidRPr="00A81E9D">
        <w:rPr>
          <w:rFonts w:ascii="Cambria" w:hAnsi="Cambria"/>
          <w:noProof/>
          <w:szCs w:val="24"/>
          <w:lang w:val="en-US"/>
        </w:rPr>
        <w:tab/>
        <w:t xml:space="preserve">Lordick F, Kang YK, Chung HC, et al. Capecitabine and cisplatin with or without cetuximab for patients with previously untreated advanced gastric cancer (EXPAND): A randomised, open-label phase 3 trial. </w:t>
      </w:r>
      <w:r w:rsidRPr="00244B6B">
        <w:rPr>
          <w:rFonts w:ascii="Cambria" w:hAnsi="Cambria"/>
          <w:noProof/>
          <w:szCs w:val="24"/>
        </w:rPr>
        <w:t>Lancet Oncol. 2013;14:490–499.</w:t>
      </w:r>
    </w:p>
    <w:p w14:paraId="27826203"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[48] </w:t>
      </w:r>
      <w:r w:rsidRPr="00244B6B">
        <w:rPr>
          <w:rFonts w:ascii="Cambria" w:hAnsi="Cambria"/>
          <w:noProof/>
          <w:szCs w:val="24"/>
        </w:rPr>
        <w:tab/>
        <w:t xml:space="preserve">Kim ST, Kang JH, Lee J, et al. </w:t>
      </w:r>
      <w:r w:rsidRPr="00A81E9D">
        <w:rPr>
          <w:rFonts w:ascii="Cambria" w:hAnsi="Cambria"/>
          <w:noProof/>
          <w:szCs w:val="24"/>
          <w:lang w:val="en-US"/>
        </w:rPr>
        <w:t>Simvastatin plus capecitabine-cisplatin versus placebo plus capecitabine-cisplatin in patients with previously untreated advanced gastric cancer: A double-blind randomised phase 3 study. Eur. J. Cancer. 2014;50:2822–2830.</w:t>
      </w:r>
    </w:p>
    <w:p w14:paraId="4FF6CF2D"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[49] </w:t>
      </w:r>
      <w:r w:rsidRPr="00A81E9D">
        <w:rPr>
          <w:rFonts w:ascii="Cambria" w:hAnsi="Cambria"/>
          <w:noProof/>
          <w:szCs w:val="24"/>
          <w:lang w:val="en-US"/>
        </w:rPr>
        <w:tab/>
        <w:t>Ohtsu A, Shah MA, Van Cutsem E, et al. Bevacizumab in combination with chemotherapy as first-line therapy in advanced gastric cancer: A randomized, double-blind, placebo-controlled phase III study. J. Clin. Oncol. 2011;29:3968–3976.</w:t>
      </w:r>
    </w:p>
    <w:p w14:paraId="4A76D321"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[50] </w:t>
      </w:r>
      <w:r w:rsidRPr="00A81E9D">
        <w:rPr>
          <w:rFonts w:ascii="Cambria" w:hAnsi="Cambria"/>
          <w:noProof/>
          <w:szCs w:val="24"/>
          <w:lang w:val="en-US"/>
        </w:rPr>
        <w:tab/>
        <w:t>Shen L, Li J, Xu J, et al. Bevacizumab plus capecitabine and cisplatin in Chinese patients with inoperable locally advanced or metastatic gastric or gastroesophageal junction cancer: randomized, double-blind, phase III study (AVATAR study). Gastric Cancer. 2014;18:168–176.</w:t>
      </w:r>
    </w:p>
    <w:p w14:paraId="4B8E7467"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lastRenderedPageBreak/>
        <w:t xml:space="preserve">[51] </w:t>
      </w:r>
      <w:r w:rsidRPr="00A81E9D">
        <w:rPr>
          <w:rFonts w:ascii="Cambria" w:hAnsi="Cambria"/>
          <w:noProof/>
          <w:szCs w:val="24"/>
          <w:lang w:val="en-US"/>
        </w:rPr>
        <w:tab/>
        <w:t>Yun J, Lee J, Park SH, et al. A randomised phase II study of combination chemotherapy with epirubicin, cisplatin and capecitabine (ECX) or cisplatin and capecitabine (CX) in advanced gastric cancer. Eur. J. Cancer. 2010;46:885–891.</w:t>
      </w:r>
    </w:p>
    <w:p w14:paraId="33145DF9"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[52] </w:t>
      </w:r>
      <w:r w:rsidRPr="00A81E9D">
        <w:rPr>
          <w:rFonts w:ascii="Cambria" w:hAnsi="Cambria"/>
          <w:noProof/>
          <w:szCs w:val="24"/>
          <w:lang w:val="en-US"/>
        </w:rPr>
        <w:tab/>
        <w:t>Bang YJ, Van Cutsem E, Feyereislova A, et al. Trastuzumab in combination with chemotherapy versus chemotherapy alone for treatment of HER2-positive advanced gastric or gastro-oesophageal junction cancer (ToGA): A phase 3, open-label, randomised controlled trial. Lancet. 2010;376:687–697.</w:t>
      </w:r>
    </w:p>
    <w:p w14:paraId="2F65E908"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[53] </w:t>
      </w:r>
      <w:r w:rsidRPr="00A81E9D">
        <w:rPr>
          <w:rFonts w:ascii="Cambria" w:hAnsi="Cambria"/>
          <w:noProof/>
          <w:szCs w:val="24"/>
          <w:lang w:val="en-US"/>
        </w:rPr>
        <w:tab/>
        <w:t>Pozzo C, Barone C, Szanto J, et al. Irinotecan in combination with 5-fluorouracil and folinic acid or with cisplatin in patients with advanced gastric or esophageal-gastric junction adenocarcinoma: Results of a randomized phase II study. Ann. Oncol. 2004;15:1773–1781.</w:t>
      </w:r>
    </w:p>
    <w:p w14:paraId="73A9ADFF"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[54] </w:t>
      </w:r>
      <w:r w:rsidRPr="00A81E9D">
        <w:rPr>
          <w:rFonts w:ascii="Cambria" w:hAnsi="Cambria"/>
          <w:noProof/>
          <w:szCs w:val="24"/>
          <w:lang w:val="en-US"/>
        </w:rPr>
        <w:tab/>
        <w:t>Ajani J a, Fodor MB, Tjulandin S a, et al. Phase II multi-institutional randomized trial of docetaxel plus cisplatin with or without fluorouracil in patients with untreated, advanced gastric, or gastroesophageal adenocarcinoma. J. Clin. Oncol. 2005;23:5660–5667.</w:t>
      </w:r>
    </w:p>
    <w:p w14:paraId="4F850486"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[55] </w:t>
      </w:r>
      <w:r w:rsidRPr="00A81E9D">
        <w:rPr>
          <w:rFonts w:ascii="Cambria" w:hAnsi="Cambria"/>
          <w:noProof/>
          <w:szCs w:val="24"/>
          <w:lang w:val="en-US"/>
        </w:rPr>
        <w:tab/>
        <w:t>Roth AD, Fazio N, Stupp R, et al. Docetaxel, cisplatin, and fluorouracil; docetaxel and cisplatin; and epirubicin, cisplatin, and fluorouracil as systemic treatment for advanced gastric carcinoma: A randomized phase II trial of the Swiss group for clinical cancer research. J. Clin. Oncol. 2007;25:3217–3223.</w:t>
      </w:r>
    </w:p>
    <w:p w14:paraId="3D0B704E"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[56] </w:t>
      </w:r>
      <w:r w:rsidRPr="00A81E9D">
        <w:rPr>
          <w:rFonts w:ascii="Cambria" w:hAnsi="Cambria"/>
          <w:noProof/>
          <w:szCs w:val="24"/>
          <w:lang w:val="en-US"/>
        </w:rPr>
        <w:tab/>
        <w:t>Jeung H-C, Rha SY, Im CK, et al. A randomized phase 2 study of docetaxel and S-1 versus docetaxel and cisplatin in advanced gastric cancer with an evaluation of SPARC expression for personalized therapy. Cancer. 2011;117:2050–2057.</w:t>
      </w:r>
    </w:p>
    <w:p w14:paraId="7AE04230"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[57] </w:t>
      </w:r>
      <w:r w:rsidRPr="00A81E9D">
        <w:rPr>
          <w:rFonts w:ascii="Cambria" w:hAnsi="Cambria"/>
          <w:noProof/>
          <w:szCs w:val="24"/>
          <w:lang w:val="en-US"/>
        </w:rPr>
        <w:tab/>
        <w:t xml:space="preserve">Sym SJ, Hong J, Park J, et al. A randomized phase II study of biweekly irinotecan monotherapy or a combination of irinotecan plus 5-fluorouracil/leucovorin (mFOLFIRI) in patients with metastatic gastric adenocarcinoma refractory to or progressive after </w:t>
      </w:r>
      <w:r w:rsidRPr="00A81E9D">
        <w:rPr>
          <w:rFonts w:ascii="Cambria" w:hAnsi="Cambria"/>
          <w:noProof/>
          <w:szCs w:val="24"/>
          <w:lang w:val="en-US"/>
        </w:rPr>
        <w:lastRenderedPageBreak/>
        <w:t>first-line chemotherapy. Cancer Chemother. Pharmacol. 2013;71:481–488.</w:t>
      </w:r>
    </w:p>
    <w:p w14:paraId="0858342F"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[58] </w:t>
      </w:r>
      <w:r w:rsidRPr="00A81E9D">
        <w:rPr>
          <w:rFonts w:ascii="Cambria" w:hAnsi="Cambria"/>
          <w:noProof/>
          <w:szCs w:val="24"/>
          <w:lang w:val="en-US"/>
        </w:rPr>
        <w:tab/>
        <w:t>Guimbaud R, Louvet C, Ries P, et al. Prospective, randomized, multicenter, phase III study of fluorouracil, leucovorin, and irinotecan versus epirubicin, cisplatin, and capecitabine in advanced gastric adenocarcinoma: A French intergroup (Fédération Francophone de Cancérologie Digestive, Féd. J. Clin. Oncol. 2014;32:3520–3526.</w:t>
      </w:r>
    </w:p>
    <w:p w14:paraId="3AD6B595"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[59] </w:t>
      </w:r>
      <w:r w:rsidRPr="00A81E9D">
        <w:rPr>
          <w:rFonts w:ascii="Cambria" w:hAnsi="Cambria"/>
          <w:noProof/>
          <w:szCs w:val="24"/>
          <w:lang w:val="en-US"/>
        </w:rPr>
        <w:tab/>
        <w:t>Park SH, Nam E, Park J, et al. Randomized phase II study of irinotecan, leucovorin and 5-fluorouracil (ILF) versus cisplatin plus ILF (PILF) combination chemotherapy for advanced gastric cancer. Ann. Oncol. 2008;19:729–733.</w:t>
      </w:r>
    </w:p>
    <w:p w14:paraId="5A00EC0B"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[60] </w:t>
      </w:r>
      <w:r w:rsidRPr="00A81E9D">
        <w:rPr>
          <w:rFonts w:ascii="Cambria" w:hAnsi="Cambria"/>
          <w:noProof/>
          <w:szCs w:val="24"/>
          <w:lang w:val="en-US"/>
        </w:rPr>
        <w:tab/>
        <w:t>Moehler M, Eimermacher A, Siebler J, et al. Randomised phase II evaluation of irinotecan plus high-dose 5-fluorouracil and leucovorin (ILF) vs 5-fluorouracil, leucovorin, and etoposide (ELF) in untreated metastatic gastric cancer. Br. J. Cancer. 2005;92:2122–2128.</w:t>
      </w:r>
    </w:p>
    <w:p w14:paraId="706C56CF"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[61] </w:t>
      </w:r>
      <w:r w:rsidRPr="00A81E9D">
        <w:rPr>
          <w:rFonts w:ascii="Cambria" w:hAnsi="Cambria"/>
          <w:noProof/>
          <w:szCs w:val="24"/>
          <w:lang w:val="en-US"/>
        </w:rPr>
        <w:tab/>
        <w:t>Narahara H, Iishi H, Imamura H, et al. Randomized phase III study comparing the efficacy and safety of irinotecan plus S-1 with S-1 alone as first-line treatment for advanced gastric cancer (study GC0301/TOP-002). Gastric Cancer. 2011;14:72–80.</w:t>
      </w:r>
    </w:p>
    <w:p w14:paraId="074B23DC"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[62] </w:t>
      </w:r>
      <w:r w:rsidRPr="00A81E9D">
        <w:rPr>
          <w:rFonts w:ascii="Cambria" w:hAnsi="Cambria"/>
          <w:noProof/>
          <w:szCs w:val="24"/>
          <w:lang w:val="en-US"/>
        </w:rPr>
        <w:tab/>
        <w:t>Sugimoto N, Fujitani K, Imamura H, et al. Randomized Phase II Trial of S-1 plus Irinotecan Versus S-1 plus Paclitaxel as First-line Treatment for Advanced Gastric Cancer (OGSG0402). Anticancer Res. 2014;34:851–857.</w:t>
      </w:r>
    </w:p>
    <w:p w14:paraId="68AB6EAF"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[63] </w:t>
      </w:r>
      <w:r w:rsidRPr="00A81E9D">
        <w:rPr>
          <w:rFonts w:ascii="Cambria" w:hAnsi="Cambria"/>
          <w:noProof/>
          <w:szCs w:val="24"/>
          <w:lang w:val="en-US"/>
        </w:rPr>
        <w:tab/>
        <w:t>Al-Batran S-E, Pauligk C, Homann N, et al. The feasibility of triple-drug chemotherapy combination in older adult patients with oesophagogastric cancer: a randomised trial of the Arbeitsgemeinschaft Internistische Onkologie (FLOT65+). Eur. J. Cancer. 2013;49:835–842.</w:t>
      </w:r>
    </w:p>
    <w:p w14:paraId="13C21F85"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[64] </w:t>
      </w:r>
      <w:r w:rsidRPr="00A81E9D">
        <w:rPr>
          <w:rFonts w:ascii="Cambria" w:hAnsi="Cambria"/>
          <w:noProof/>
          <w:szCs w:val="24"/>
          <w:lang w:val="en-US"/>
        </w:rPr>
        <w:tab/>
        <w:t>Yoon HH, Bendell JC, Braiteh FS, et al. Ramucirumab combined with FOLFOX as front-line therapy for advanced esophageal, gastroesophageal junction, or gastric adenocarcinoma: a randomized, double-blind, multicenter Phase II trial. Ann. Oncol. 2016;27:2196–2203.</w:t>
      </w:r>
    </w:p>
    <w:p w14:paraId="193FF308"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lastRenderedPageBreak/>
        <w:t xml:space="preserve">[65] </w:t>
      </w:r>
      <w:r w:rsidRPr="00A81E9D">
        <w:rPr>
          <w:rFonts w:ascii="Cambria" w:hAnsi="Cambria"/>
          <w:noProof/>
          <w:szCs w:val="24"/>
          <w:lang w:val="en-US"/>
        </w:rPr>
        <w:tab/>
        <w:t xml:space="preserve">Kim GM, Jeung H-C, Rha SY, et al. A randomized phase II trial of S-1-oxaliplatin versus capecitabine-oxaliplatin in advanced gastric cancer. </w:t>
      </w:r>
      <w:r w:rsidRPr="00244B6B">
        <w:rPr>
          <w:rFonts w:ascii="Cambria" w:hAnsi="Cambria"/>
          <w:noProof/>
          <w:szCs w:val="24"/>
        </w:rPr>
        <w:t>Eur. J. Cancer. 2012;48:518–526.</w:t>
      </w:r>
    </w:p>
    <w:p w14:paraId="455B38D9"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[66] </w:t>
      </w:r>
      <w:r w:rsidRPr="00244B6B">
        <w:rPr>
          <w:rFonts w:ascii="Cambria" w:hAnsi="Cambria"/>
          <w:noProof/>
          <w:szCs w:val="24"/>
        </w:rPr>
        <w:tab/>
        <w:t xml:space="preserve">Zhang ZD, Kong Y, Yang W, et al. </w:t>
      </w:r>
      <w:r w:rsidRPr="00A81E9D">
        <w:rPr>
          <w:rFonts w:ascii="Cambria" w:hAnsi="Cambria"/>
          <w:noProof/>
          <w:szCs w:val="24"/>
          <w:lang w:val="en-US"/>
        </w:rPr>
        <w:t>Clinical evaluation of cetuximab combined with an S-1 and oxaliplatin regimen for Chinese patients with advanced gastric cancer. World J. Surg. Oncol. 2014;12:1–6.</w:t>
      </w:r>
    </w:p>
    <w:p w14:paraId="57A0A67C"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[67] </w:t>
      </w:r>
      <w:r w:rsidRPr="00A81E9D">
        <w:rPr>
          <w:rFonts w:ascii="Cambria" w:hAnsi="Cambria"/>
          <w:noProof/>
          <w:szCs w:val="24"/>
          <w:lang w:val="en-US"/>
        </w:rPr>
        <w:tab/>
        <w:t>Dai X, Zhang X, Wang C, et al. Paclitaxel/oxaliplatin/fluorouracil (TOF) regimen versus S-1/oxaliplatin (SOX) regimen for metastatic gastric cancer patients. Oncotarget. 2017;8:30495–30501.</w:t>
      </w:r>
    </w:p>
    <w:p w14:paraId="491FD217"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[68] </w:t>
      </w:r>
      <w:r w:rsidRPr="00A81E9D">
        <w:rPr>
          <w:rFonts w:ascii="Cambria" w:hAnsi="Cambria"/>
          <w:noProof/>
          <w:szCs w:val="24"/>
          <w:lang w:val="en-US"/>
        </w:rPr>
        <w:tab/>
        <w:t>Hecht JR, Bang YJ, Qin SK, et al. Lapatinib in combination with capecitabine plus oxaliplatin in human epidermal growth factor receptor 2-positive advanced or metastatic gastric, esophageal, or gastroesophageal adenocarcinoma: TRIO-013/LOGiC - A randomized phase III trial. J. Clin. Oncol. 2016;34:443–451.</w:t>
      </w:r>
    </w:p>
    <w:p w14:paraId="64CB9D89"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[69] </w:t>
      </w:r>
      <w:r w:rsidRPr="00A81E9D">
        <w:rPr>
          <w:rFonts w:ascii="Cambria" w:hAnsi="Cambria"/>
          <w:noProof/>
          <w:szCs w:val="24"/>
          <w:lang w:val="en-US"/>
        </w:rPr>
        <w:tab/>
        <w:t>Thuss-Patience PC, Kretzschmar A, Repp M, et al. Docetaxel and continuous-infusion fluorouracil versus epirubicin, cisplatin, and fluorouracil for advanced gastric adenocarcinoma: a randomized phase II study. J. Clin. Oncol. 2005;23:494–501.</w:t>
      </w:r>
    </w:p>
    <w:p w14:paraId="72678129"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[70] </w:t>
      </w:r>
      <w:r w:rsidRPr="00A81E9D">
        <w:rPr>
          <w:rFonts w:ascii="Cambria" w:hAnsi="Cambria"/>
          <w:noProof/>
          <w:szCs w:val="24"/>
          <w:lang w:val="en-US"/>
        </w:rPr>
        <w:tab/>
        <w:t>Roy A, Cunningham D, Hawkins R, et al. Docetaxel combined with irinotecan or 5-fluorouracil in patients with advanced oesophago-gastric cancer: A randomised phase II study. Br. J. Cancer. 2012;107:435–441.</w:t>
      </w:r>
    </w:p>
    <w:p w14:paraId="07D2ED6C"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[71] </w:t>
      </w:r>
      <w:r w:rsidRPr="00A81E9D">
        <w:rPr>
          <w:rFonts w:ascii="Cambria" w:hAnsi="Cambria"/>
          <w:noProof/>
          <w:szCs w:val="24"/>
          <w:lang w:val="en-US"/>
        </w:rPr>
        <w:tab/>
        <w:t>Park SH, Lee WK, Chung M, et al. Paclitaxel versus docetaxel for advanced gastric cancer: a randomized phase II trial in combination with infusional 5-fluorouracil. Anticancer. Drugs. 2006;17:225–229.</w:t>
      </w:r>
    </w:p>
    <w:p w14:paraId="41EAEE86"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[72] </w:t>
      </w:r>
      <w:r w:rsidRPr="00A81E9D">
        <w:rPr>
          <w:rFonts w:ascii="Cambria" w:hAnsi="Cambria"/>
          <w:noProof/>
          <w:szCs w:val="24"/>
          <w:lang w:val="en-US"/>
        </w:rPr>
        <w:tab/>
        <w:t>Huang D, Ba Y, Xiong J, et al. A multicentre randomised trial comparing weekly paclitaxel + S-1 with weekly paclitaxel + 5-fluorouracil for patients with advanced gastric cancer. Eur. J. Cancer. 2013;49:2995–3002.</w:t>
      </w:r>
    </w:p>
    <w:p w14:paraId="6CCD5D8C"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lastRenderedPageBreak/>
        <w:t xml:space="preserve">[73] </w:t>
      </w:r>
      <w:r w:rsidRPr="00A81E9D">
        <w:rPr>
          <w:rFonts w:ascii="Cambria" w:hAnsi="Cambria"/>
          <w:noProof/>
          <w:szCs w:val="24"/>
          <w:lang w:val="en-US"/>
        </w:rPr>
        <w:tab/>
        <w:t xml:space="preserve">Nishikawa K, Morita S, Matsui T, et al. A randomized phase-II trial comparing sequential and concurrent paclitaxel with oral or parenteral fluorinated pyrimidines for advanced or metastatic gastric cancer. </w:t>
      </w:r>
      <w:r w:rsidRPr="00244B6B">
        <w:rPr>
          <w:rFonts w:ascii="Cambria" w:hAnsi="Cambria"/>
          <w:noProof/>
          <w:szCs w:val="24"/>
        </w:rPr>
        <w:t>Gastric Cancer. 2012;15:363–369.</w:t>
      </w:r>
    </w:p>
    <w:p w14:paraId="1D8AC005"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[74] </w:t>
      </w:r>
      <w:r w:rsidRPr="00244B6B">
        <w:rPr>
          <w:rFonts w:ascii="Cambria" w:hAnsi="Cambria"/>
          <w:noProof/>
          <w:szCs w:val="24"/>
        </w:rPr>
        <w:tab/>
        <w:t xml:space="preserve">Tesselaar ME, Luelmo S, Polee M, et al. </w:t>
      </w:r>
      <w:r w:rsidRPr="00A81E9D">
        <w:rPr>
          <w:rFonts w:ascii="Cambria" w:hAnsi="Cambria"/>
          <w:noProof/>
          <w:szCs w:val="24"/>
          <w:lang w:val="en-US"/>
        </w:rPr>
        <w:t>Randomized, phase II study comparing cisplatin and high-dose 5-fluorouracil/leucovorin with paclitaxel and high-dose 5-fluorouracil/leucovorin in patients with advanced gastric cancer and adenocarcinomas of the gastroesophageal junction. J. Clin. Oncol. 2008;26:4567.</w:t>
      </w:r>
    </w:p>
    <w:p w14:paraId="6EF5328A"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[75] </w:t>
      </w:r>
      <w:r w:rsidRPr="00A81E9D">
        <w:rPr>
          <w:rFonts w:ascii="Cambria" w:hAnsi="Cambria"/>
          <w:noProof/>
          <w:szCs w:val="24"/>
          <w:lang w:val="en-US"/>
        </w:rPr>
        <w:tab/>
        <w:t>Roth A, Kolarix K, Zupanc D, et al. High doses of 5-fluorouracil and epirubicin with or without cisplatin in advanced gastric cancer: a randomized study. Tumori. 1999;85:234–238.</w:t>
      </w:r>
    </w:p>
    <w:p w14:paraId="4FA0D736"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[76] </w:t>
      </w:r>
      <w:r w:rsidRPr="00A81E9D">
        <w:rPr>
          <w:rFonts w:ascii="Cambria" w:hAnsi="Cambria"/>
          <w:noProof/>
          <w:szCs w:val="24"/>
          <w:lang w:val="en-US"/>
        </w:rPr>
        <w:tab/>
        <w:t>Cocconi G, Carlini P, Gamboni A, et al. Cisplatin, epirubicin, leucovorin and 5-fluorouracil (PELF) is more active than 5-fluorouracil* Doxorubicin and methotrexate (FAMTX) in advanced gastric carcinoma. Ann. Oncol. 2003;14:1258–1263.</w:t>
      </w:r>
    </w:p>
    <w:p w14:paraId="686D0EDA"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[77] </w:t>
      </w:r>
      <w:r w:rsidRPr="00A81E9D">
        <w:rPr>
          <w:rFonts w:ascii="Cambria" w:hAnsi="Cambria"/>
          <w:noProof/>
          <w:szCs w:val="24"/>
          <w:lang w:val="en-US"/>
        </w:rPr>
        <w:tab/>
        <w:t>Webb A, Cunningham D, Scarffe JH, et al. Randomized trial comparing epirubicin, cisplatin, and fluorouracil versus fluorouracil, doxorubicin, and methotrexate in advanced esophagogastric cancer. J. Clin. Oncol. 1997;15:261–267.</w:t>
      </w:r>
    </w:p>
    <w:p w14:paraId="3ADFB20A"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[78] </w:t>
      </w:r>
      <w:r w:rsidRPr="00A81E9D">
        <w:rPr>
          <w:rFonts w:ascii="Cambria" w:hAnsi="Cambria"/>
          <w:noProof/>
          <w:szCs w:val="24"/>
          <w:lang w:val="en-US"/>
        </w:rPr>
        <w:tab/>
        <w:t>Cunningham D, Starling N, Rao S, et al. Capecitabine and Oxaliplatin for Advanced Esophagogastric Cancer. N. Engl. J. Med. 2008;358:36–46.</w:t>
      </w:r>
    </w:p>
    <w:p w14:paraId="32BDF23D"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[79] </w:t>
      </w:r>
      <w:r w:rsidRPr="00A81E9D">
        <w:rPr>
          <w:rFonts w:ascii="Cambria" w:hAnsi="Cambria"/>
          <w:noProof/>
          <w:szCs w:val="24"/>
          <w:lang w:val="en-US"/>
        </w:rPr>
        <w:tab/>
        <w:t>Cocconi G, Bella M, Zironi S, et al. Fluorouracil, doxorubicin, and mitomycin combination versus PELF chemotherapy in advanced gastric cancer: a prospective randomized trial of the Italian Oncology Group for Clinical Research. J. Clin. Oncol. 1994;12:2687–2693.</w:t>
      </w:r>
    </w:p>
    <w:p w14:paraId="3C02E860"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[80] </w:t>
      </w:r>
      <w:r w:rsidRPr="00A81E9D">
        <w:rPr>
          <w:rFonts w:ascii="Cambria" w:hAnsi="Cambria"/>
          <w:noProof/>
          <w:szCs w:val="24"/>
          <w:lang w:val="en-US"/>
        </w:rPr>
        <w:tab/>
        <w:t>Icli F, Celik I, Aykan F, et al. A randomized Phase III trial of etoposide, epirubicin, and cisplatin versus 5-fluorouracil, epirubicin, and cisplatin in the treatment of patients with advanced gastric carcinoma. Turkish Oncology Group. Cancer. 1998;83:2475–2480.</w:t>
      </w:r>
    </w:p>
    <w:p w14:paraId="56997906"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lastRenderedPageBreak/>
        <w:t xml:space="preserve">[81] </w:t>
      </w:r>
      <w:r w:rsidRPr="00A81E9D">
        <w:rPr>
          <w:rFonts w:ascii="Cambria" w:hAnsi="Cambria"/>
          <w:noProof/>
          <w:szCs w:val="24"/>
          <w:lang w:val="en-US"/>
        </w:rPr>
        <w:tab/>
        <w:t>Ross P, Nicolson M, Cunningham D, et al. Prospective randomized trial comparing mitomycin, cisplatin, and protracted venous-infusion fluorouracil (PVI 5-FU) with epirubicin, cisplatin, and PVI 5-FU in advanced esophagogastric cancer. J. Clin. Oncol. 2002;20:1996–2004.</w:t>
      </w:r>
    </w:p>
    <w:p w14:paraId="58C4C653"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A81E9D">
        <w:rPr>
          <w:rFonts w:ascii="Cambria" w:hAnsi="Cambria"/>
          <w:noProof/>
          <w:szCs w:val="24"/>
          <w:lang w:val="en-US"/>
        </w:rPr>
        <w:t xml:space="preserve">[82] </w:t>
      </w:r>
      <w:r w:rsidRPr="00A81E9D">
        <w:rPr>
          <w:rFonts w:ascii="Cambria" w:hAnsi="Cambria"/>
          <w:noProof/>
          <w:szCs w:val="24"/>
          <w:lang w:val="en-US"/>
        </w:rPr>
        <w:tab/>
        <w:t>Ocvirk J, Reberšek M, Skof E, et al. Randomized prospective phase II study to compare the combination chemotherapy regimen epirubicin, cisplatin, and 5-fluorouracil with epirubicin, cisplatin, and capecitabine in patients with advanced or metastatic gastric cancer. Am. J. Clin. Oncol. 2012;35:237–241.</w:t>
      </w:r>
    </w:p>
    <w:p w14:paraId="0FF9549E"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[83] </w:t>
      </w:r>
      <w:r w:rsidRPr="00A81E9D">
        <w:rPr>
          <w:rFonts w:ascii="Cambria" w:hAnsi="Cambria"/>
          <w:noProof/>
          <w:szCs w:val="24"/>
          <w:lang w:val="en-US"/>
        </w:rPr>
        <w:tab/>
        <w:t xml:space="preserve">Iveson T, Donehower RC, Davidenko I, et al. Rilotumumab in combination with epirubicin, cisplatin, and capecitabine as first-line treatment for gastric or oesophagogastric junction adenocarcinoma: An open-label, dose de-escalation phase 1b study and a double-blind, randomised phase 2 study. </w:t>
      </w:r>
      <w:r w:rsidRPr="00244B6B">
        <w:rPr>
          <w:rFonts w:ascii="Cambria" w:hAnsi="Cambria"/>
          <w:noProof/>
          <w:szCs w:val="24"/>
        </w:rPr>
        <w:t>Lancet Oncol. 2014;15:1007–1018.</w:t>
      </w:r>
    </w:p>
    <w:p w14:paraId="6B2FEB8A"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[84] </w:t>
      </w:r>
      <w:r w:rsidRPr="00244B6B">
        <w:rPr>
          <w:rFonts w:ascii="Cambria" w:hAnsi="Cambria"/>
          <w:noProof/>
          <w:szCs w:val="24"/>
        </w:rPr>
        <w:tab/>
        <w:t xml:space="preserve">Konings IRHM, Van Der Gaast A, Van Der Wijk LJ, et al. </w:t>
      </w:r>
      <w:r w:rsidRPr="00A81E9D">
        <w:rPr>
          <w:rFonts w:ascii="Cambria" w:hAnsi="Cambria"/>
          <w:noProof/>
          <w:szCs w:val="24"/>
          <w:lang w:val="en-US"/>
        </w:rPr>
        <w:t>The addition of pravastatin to chemotherapy in advanced gastric carcinoma: A randomised phase II trial. Eur. J. Cancer. 2010;46:3200–3204.</w:t>
      </w:r>
    </w:p>
    <w:p w14:paraId="286C0B8A"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[85] </w:t>
      </w:r>
      <w:r w:rsidRPr="00A81E9D">
        <w:rPr>
          <w:rFonts w:ascii="Cambria" w:hAnsi="Cambria"/>
          <w:noProof/>
          <w:szCs w:val="24"/>
          <w:lang w:val="en-US"/>
        </w:rPr>
        <w:tab/>
        <w:t xml:space="preserve">Rao S, Starling N, Cunningham D, et al. Matuzumab plus epirubicin, cisplatin and capecitabine (ECX) compared with epirubicin, cisplatin and capecitabine alone as first-line treatment in patients with advanced oesophago-gastric cancer: A randomised, multicentre open-label phase II study. </w:t>
      </w:r>
      <w:r w:rsidRPr="00244B6B">
        <w:rPr>
          <w:rFonts w:ascii="Cambria" w:hAnsi="Cambria"/>
          <w:noProof/>
          <w:szCs w:val="24"/>
        </w:rPr>
        <w:t>Ann. Oncol. 2010;21:2213–2219.</w:t>
      </w:r>
    </w:p>
    <w:p w14:paraId="54037118"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244B6B">
        <w:rPr>
          <w:rFonts w:ascii="Cambria" w:hAnsi="Cambria"/>
          <w:noProof/>
          <w:szCs w:val="24"/>
        </w:rPr>
        <w:t xml:space="preserve">[86] </w:t>
      </w:r>
      <w:r w:rsidRPr="00244B6B">
        <w:rPr>
          <w:rFonts w:ascii="Cambria" w:hAnsi="Cambria"/>
          <w:noProof/>
          <w:szCs w:val="24"/>
        </w:rPr>
        <w:tab/>
        <w:t xml:space="preserve">Ochenduszko S, Puskulluoglu M, Konopka K, et al. </w:t>
      </w:r>
      <w:r w:rsidRPr="00A81E9D">
        <w:rPr>
          <w:rFonts w:ascii="Cambria" w:hAnsi="Cambria"/>
          <w:noProof/>
          <w:szCs w:val="24"/>
          <w:lang w:val="en-US"/>
        </w:rPr>
        <w:t xml:space="preserve">Comparison of efficacy and safety of first-line palliative chemotherapy with EOX and mDCF regimens in patients with locally advanced inoperable or metastatic HER2-negative gastric or gastroesophageal junction adenocarcinoma: a randomized phase 3 trial. </w:t>
      </w:r>
      <w:r w:rsidRPr="00244B6B">
        <w:rPr>
          <w:rFonts w:ascii="Cambria" w:hAnsi="Cambria"/>
          <w:noProof/>
          <w:szCs w:val="24"/>
        </w:rPr>
        <w:t>Med. Oncol. 2015;32:1–8.</w:t>
      </w:r>
    </w:p>
    <w:p w14:paraId="231675E5"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[87] </w:t>
      </w:r>
      <w:r w:rsidRPr="00244B6B">
        <w:rPr>
          <w:rFonts w:ascii="Cambria" w:hAnsi="Cambria"/>
          <w:noProof/>
          <w:szCs w:val="24"/>
        </w:rPr>
        <w:tab/>
        <w:t xml:space="preserve">Al-Batran S-E, Schuler MH, Zvirbule Z, et al. </w:t>
      </w:r>
      <w:r w:rsidRPr="00A81E9D">
        <w:rPr>
          <w:rFonts w:ascii="Cambria" w:hAnsi="Cambria"/>
          <w:noProof/>
          <w:szCs w:val="24"/>
          <w:lang w:val="en-US"/>
        </w:rPr>
        <w:t xml:space="preserve">FAST: An international, multicenter, </w:t>
      </w:r>
      <w:r w:rsidRPr="00A81E9D">
        <w:rPr>
          <w:rFonts w:ascii="Cambria" w:hAnsi="Cambria"/>
          <w:noProof/>
          <w:szCs w:val="24"/>
          <w:lang w:val="en-US"/>
        </w:rPr>
        <w:lastRenderedPageBreak/>
        <w:t>randomized, phase II trial of epirubicin, oxaliplatin, and capecitabine (EOX) with or without IMAB362, a first-in-class anti-CLDN18.2 antibody, as first-line therapy in patients with advanced CLDN18.2+ gastric and gast. J. Clin. Oncol. 2016;34:LBA4001-LBA4001.</w:t>
      </w:r>
    </w:p>
    <w:p w14:paraId="2FB5934E"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[88] </w:t>
      </w:r>
      <w:r w:rsidRPr="00A81E9D">
        <w:rPr>
          <w:rFonts w:ascii="Cambria" w:hAnsi="Cambria"/>
          <w:noProof/>
          <w:szCs w:val="24"/>
          <w:lang w:val="en-US"/>
        </w:rPr>
        <w:tab/>
        <w:t xml:space="preserve">Waddell T, Chau I, Cunningham D, et al. Epirubicin, oxaliplatin, and capecitabine with or without panitumumab for patients with previously untreated advanced oesophagogastric cancer (REAL3): A randomised, open-label phase 3 trial. </w:t>
      </w:r>
      <w:r w:rsidRPr="00244B6B">
        <w:rPr>
          <w:rFonts w:ascii="Cambria" w:hAnsi="Cambria"/>
          <w:noProof/>
          <w:szCs w:val="24"/>
        </w:rPr>
        <w:t>Lancet Oncol. 2013;14:481–489.</w:t>
      </w:r>
    </w:p>
    <w:p w14:paraId="63E0EB41"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[89] </w:t>
      </w:r>
      <w:r w:rsidRPr="00244B6B">
        <w:rPr>
          <w:rFonts w:ascii="Cambria" w:hAnsi="Cambria"/>
          <w:noProof/>
          <w:szCs w:val="24"/>
        </w:rPr>
        <w:tab/>
        <w:t xml:space="preserve">Van Cutsem E, Boni C, Tabernero J, et al. </w:t>
      </w:r>
      <w:r w:rsidRPr="00A81E9D">
        <w:rPr>
          <w:rFonts w:ascii="Cambria" w:hAnsi="Cambria"/>
          <w:noProof/>
          <w:szCs w:val="24"/>
          <w:lang w:val="en-US"/>
        </w:rPr>
        <w:t>Docetaxel plus oxaliplatin with or without fluorouracil or capecitabine in metastatic or locally recurrent gastric cancer: a randomized phase II study. Ann. Oncol. 2015;26:149–156.</w:t>
      </w:r>
    </w:p>
    <w:p w14:paraId="46AE073C"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szCs w:val="24"/>
        </w:rPr>
      </w:pPr>
      <w:r w:rsidRPr="00A81E9D">
        <w:rPr>
          <w:rFonts w:ascii="Cambria" w:hAnsi="Cambria"/>
          <w:noProof/>
          <w:szCs w:val="24"/>
          <w:lang w:val="en-US"/>
        </w:rPr>
        <w:t xml:space="preserve">[90] </w:t>
      </w:r>
      <w:r w:rsidRPr="00A81E9D">
        <w:rPr>
          <w:rFonts w:ascii="Cambria" w:hAnsi="Cambria"/>
          <w:noProof/>
          <w:szCs w:val="24"/>
          <w:lang w:val="en-US"/>
        </w:rPr>
        <w:tab/>
        <w:t xml:space="preserve">Shah MA, Janjigian YY, Stoller R, et al. Randomized multicenter phase II study of modified docetaxel, cisplatin, and fluorouracil (DCF) versus DCF plus growth factor support in patients with metastatic gastric adenocarcinoma: A study of the US gastric cancer consortium. </w:t>
      </w:r>
      <w:r w:rsidRPr="00244B6B">
        <w:rPr>
          <w:rFonts w:ascii="Cambria" w:hAnsi="Cambria"/>
          <w:noProof/>
          <w:szCs w:val="24"/>
        </w:rPr>
        <w:t>J. Clin. Oncol. 2015;33:3874–3879.</w:t>
      </w:r>
    </w:p>
    <w:p w14:paraId="1D5874D9" w14:textId="77777777" w:rsidR="00244B6B" w:rsidRPr="00A81E9D" w:rsidRDefault="00244B6B" w:rsidP="00244B6B">
      <w:pPr>
        <w:widowControl w:val="0"/>
        <w:autoSpaceDE w:val="0"/>
        <w:autoSpaceDN w:val="0"/>
        <w:adjustRightInd w:val="0"/>
        <w:spacing w:before="240" w:after="0" w:line="480" w:lineRule="auto"/>
        <w:ind w:left="640" w:hanging="640"/>
        <w:rPr>
          <w:rFonts w:ascii="Cambria" w:hAnsi="Cambria"/>
          <w:noProof/>
          <w:szCs w:val="24"/>
          <w:lang w:val="en-US"/>
        </w:rPr>
      </w:pPr>
      <w:r w:rsidRPr="00244B6B">
        <w:rPr>
          <w:rFonts w:ascii="Cambria" w:hAnsi="Cambria"/>
          <w:noProof/>
          <w:szCs w:val="24"/>
        </w:rPr>
        <w:t xml:space="preserve">[91] </w:t>
      </w:r>
      <w:r w:rsidRPr="00244B6B">
        <w:rPr>
          <w:rFonts w:ascii="Cambria" w:hAnsi="Cambria"/>
          <w:noProof/>
          <w:szCs w:val="24"/>
        </w:rPr>
        <w:tab/>
        <w:t xml:space="preserve">Li X-D, Shen H, Jiang J-T, et al. </w:t>
      </w:r>
      <w:r w:rsidRPr="00A81E9D">
        <w:rPr>
          <w:rFonts w:ascii="Cambria" w:hAnsi="Cambria"/>
          <w:noProof/>
          <w:szCs w:val="24"/>
          <w:lang w:val="en-US"/>
        </w:rPr>
        <w:t>Paclitaxel based vs oxaliplatin based regimens for advanced gastric cancer. World J. Gastroenterol. 2011;17:1082–1087.</w:t>
      </w:r>
    </w:p>
    <w:p w14:paraId="65875975" w14:textId="77777777" w:rsidR="00244B6B" w:rsidRPr="00244B6B" w:rsidRDefault="00244B6B" w:rsidP="00244B6B">
      <w:pPr>
        <w:widowControl w:val="0"/>
        <w:autoSpaceDE w:val="0"/>
        <w:autoSpaceDN w:val="0"/>
        <w:adjustRightInd w:val="0"/>
        <w:spacing w:before="240" w:after="0" w:line="480" w:lineRule="auto"/>
        <w:ind w:left="640" w:hanging="640"/>
        <w:rPr>
          <w:rFonts w:ascii="Cambria" w:hAnsi="Cambria"/>
          <w:noProof/>
        </w:rPr>
      </w:pPr>
      <w:r w:rsidRPr="00A81E9D">
        <w:rPr>
          <w:rFonts w:ascii="Cambria" w:hAnsi="Cambria"/>
          <w:noProof/>
          <w:szCs w:val="24"/>
          <w:lang w:val="en-US"/>
        </w:rPr>
        <w:t xml:space="preserve">[92] </w:t>
      </w:r>
      <w:r w:rsidRPr="00A81E9D">
        <w:rPr>
          <w:rFonts w:ascii="Cambria" w:hAnsi="Cambria"/>
          <w:noProof/>
          <w:szCs w:val="24"/>
          <w:lang w:val="en-US"/>
        </w:rPr>
        <w:tab/>
        <w:t xml:space="preserve">Richards D, Kocs DM, Spira AI, et al. Results of docetaxel plus oxaliplatin (DOCOX) ± cetuximab in patients with metastatic gastric and/or gastroesophageal junction adenocarcinoma: Results of a randomised Phase 2 study. </w:t>
      </w:r>
      <w:r w:rsidRPr="00244B6B">
        <w:rPr>
          <w:rFonts w:ascii="Cambria" w:hAnsi="Cambria"/>
          <w:noProof/>
          <w:szCs w:val="24"/>
        </w:rPr>
        <w:t>Eur. J. Cancer. 2013;49:2823–2831.</w:t>
      </w:r>
    </w:p>
    <w:p w14:paraId="37AC63B1" w14:textId="77777777" w:rsidR="00D933FC" w:rsidRPr="00D933FC" w:rsidRDefault="00D933FC" w:rsidP="00D933FC">
      <w:pPr>
        <w:widowControl w:val="0"/>
        <w:autoSpaceDE w:val="0"/>
        <w:autoSpaceDN w:val="0"/>
        <w:adjustRightInd w:val="0"/>
        <w:spacing w:before="240" w:after="0" w:line="480" w:lineRule="auto"/>
        <w:ind w:left="640" w:hanging="640"/>
        <w:rPr>
          <w:rFonts w:ascii="Cambria" w:hAnsi="Cambria"/>
          <w:lang w:val="en-US"/>
        </w:rPr>
      </w:pPr>
      <w:r>
        <w:rPr>
          <w:rFonts w:ascii="Cambria" w:hAnsi="Cambria"/>
          <w:lang w:val="en-US"/>
        </w:rPr>
        <w:fldChar w:fldCharType="end"/>
      </w:r>
    </w:p>
    <w:sectPr w:rsidR="00D933FC" w:rsidRPr="00D933FC" w:rsidSect="00C7454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EAA87F" w14:textId="77777777" w:rsidR="00DF4D7C" w:rsidRDefault="00DF4D7C">
      <w:pPr>
        <w:spacing w:after="0" w:line="240" w:lineRule="auto"/>
      </w:pPr>
      <w:r>
        <w:separator/>
      </w:r>
    </w:p>
  </w:endnote>
  <w:endnote w:type="continuationSeparator" w:id="0">
    <w:p w14:paraId="511D5F69" w14:textId="77777777" w:rsidR="00DF4D7C" w:rsidRDefault="00DF4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MT">
    <w:altName w:val="MS Mincho"/>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2D412" w14:textId="77777777" w:rsidR="00DF4D7C" w:rsidRDefault="00DF4D7C" w:rsidP="004530F1">
    <w:pPr>
      <w:pStyle w:val="Footer"/>
    </w:pPr>
  </w:p>
  <w:p w14:paraId="632EA20F" w14:textId="77777777" w:rsidR="00DF4D7C" w:rsidRDefault="00DF4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7D3BF" w14:textId="77777777" w:rsidR="00DF4D7C" w:rsidRDefault="00DF4D7C">
      <w:pPr>
        <w:spacing w:after="0" w:line="240" w:lineRule="auto"/>
      </w:pPr>
      <w:r>
        <w:separator/>
      </w:r>
    </w:p>
  </w:footnote>
  <w:footnote w:type="continuationSeparator" w:id="0">
    <w:p w14:paraId="1A3AFC77" w14:textId="77777777" w:rsidR="00DF4D7C" w:rsidRDefault="00DF4D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6417190"/>
      <w:docPartObj>
        <w:docPartGallery w:val="Page Numbers (Top of Page)"/>
        <w:docPartUnique/>
      </w:docPartObj>
    </w:sdtPr>
    <w:sdtEndPr>
      <w:rPr>
        <w:noProof/>
      </w:rPr>
    </w:sdtEndPr>
    <w:sdtContent>
      <w:p w14:paraId="781B7E22" w14:textId="77777777" w:rsidR="00DF4D7C" w:rsidRDefault="00DF4D7C">
        <w:pPr>
          <w:pStyle w:val="Header"/>
        </w:pPr>
        <w:r>
          <w:fldChar w:fldCharType="begin"/>
        </w:r>
        <w:r>
          <w:instrText xml:space="preserve"> PAGE   \* MERGEFORMAT </w:instrText>
        </w:r>
        <w:r>
          <w:fldChar w:fldCharType="separate"/>
        </w:r>
        <w:r>
          <w:rPr>
            <w:noProof/>
          </w:rPr>
          <w:t>22</w:t>
        </w:r>
        <w:r>
          <w:rPr>
            <w:noProof/>
          </w:rPr>
          <w:fldChar w:fldCharType="end"/>
        </w:r>
      </w:p>
    </w:sdtContent>
  </w:sdt>
  <w:p w14:paraId="51C2CE38" w14:textId="77777777" w:rsidR="00DF4D7C" w:rsidRDefault="00DF4D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5409A4"/>
    <w:multiLevelType w:val="hybridMultilevel"/>
    <w:tmpl w:val="8D08E5CC"/>
    <w:lvl w:ilvl="0" w:tplc="FE24576E">
      <w:numFmt w:val="bullet"/>
      <w:lvlText w:val="-"/>
      <w:lvlJc w:val="left"/>
      <w:pPr>
        <w:ind w:left="720" w:hanging="360"/>
      </w:pPr>
      <w:rPr>
        <w:rFonts w:ascii="Calibri" w:eastAsia="Times New Roman"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7DF2DBB"/>
    <w:multiLevelType w:val="hybridMultilevel"/>
    <w:tmpl w:val="4DF4F0C4"/>
    <w:lvl w:ilvl="0" w:tplc="411C30B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3B0E3EC7"/>
    <w:multiLevelType w:val="hybridMultilevel"/>
    <w:tmpl w:val="56FA2652"/>
    <w:lvl w:ilvl="0" w:tplc="EE584F02">
      <w:numFmt w:val="bullet"/>
      <w:lvlText w:val="-"/>
      <w:lvlJc w:val="left"/>
      <w:pPr>
        <w:ind w:left="720" w:hanging="360"/>
      </w:pPr>
      <w:rPr>
        <w:rFonts w:ascii="Calibri" w:eastAsia="Times New Roman"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CMC_Guid" w:val="ae0ab457-6a6b-4969-9d0d-2e24da0be24a"/>
  </w:docVars>
  <w:rsids>
    <w:rsidRoot w:val="00F72E17"/>
    <w:rsid w:val="0008560D"/>
    <w:rsid w:val="000C43B0"/>
    <w:rsid w:val="001055DF"/>
    <w:rsid w:val="001A6F97"/>
    <w:rsid w:val="001B12BA"/>
    <w:rsid w:val="001F5CE9"/>
    <w:rsid w:val="001F70C0"/>
    <w:rsid w:val="0022327E"/>
    <w:rsid w:val="00244B6B"/>
    <w:rsid w:val="002514C4"/>
    <w:rsid w:val="002E55FE"/>
    <w:rsid w:val="00316060"/>
    <w:rsid w:val="00317182"/>
    <w:rsid w:val="003509C9"/>
    <w:rsid w:val="00362F44"/>
    <w:rsid w:val="004530F1"/>
    <w:rsid w:val="00491BB6"/>
    <w:rsid w:val="004A38BD"/>
    <w:rsid w:val="004B49C5"/>
    <w:rsid w:val="005449E3"/>
    <w:rsid w:val="00591562"/>
    <w:rsid w:val="00592B58"/>
    <w:rsid w:val="005937CE"/>
    <w:rsid w:val="005B0702"/>
    <w:rsid w:val="00634B4E"/>
    <w:rsid w:val="006739B2"/>
    <w:rsid w:val="00676FEF"/>
    <w:rsid w:val="006E14F9"/>
    <w:rsid w:val="0074359A"/>
    <w:rsid w:val="007E1703"/>
    <w:rsid w:val="00852F7F"/>
    <w:rsid w:val="008C482D"/>
    <w:rsid w:val="00982DE8"/>
    <w:rsid w:val="00A73010"/>
    <w:rsid w:val="00A81E9D"/>
    <w:rsid w:val="00B2783B"/>
    <w:rsid w:val="00B61A3A"/>
    <w:rsid w:val="00BA62DB"/>
    <w:rsid w:val="00C7428D"/>
    <w:rsid w:val="00C74544"/>
    <w:rsid w:val="00C941C9"/>
    <w:rsid w:val="00C9460E"/>
    <w:rsid w:val="00CD6753"/>
    <w:rsid w:val="00D933FC"/>
    <w:rsid w:val="00DB6B18"/>
    <w:rsid w:val="00DE11E0"/>
    <w:rsid w:val="00DE2F9D"/>
    <w:rsid w:val="00DF146C"/>
    <w:rsid w:val="00DF4D7C"/>
    <w:rsid w:val="00E517B7"/>
    <w:rsid w:val="00EA1698"/>
    <w:rsid w:val="00F72E17"/>
    <w:rsid w:val="00FD4465"/>
    <w:rsid w:val="00FE24F8"/>
    <w:rsid w:val="00FE5A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C930B3"/>
  <w15:docId w15:val="{6826CB69-5DD5-4829-A39B-6CD7A2ED3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72E17"/>
    <w:rPr>
      <w:rFonts w:ascii="Calibri" w:hAnsi="Calibri" w:cs="Times New Roman"/>
      <w:lang w:val="nl-NL"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F72E17"/>
    <w:pPr>
      <w:spacing w:line="240" w:lineRule="auto"/>
    </w:pPr>
    <w:rPr>
      <w:rFonts w:eastAsia="Times New Roman"/>
      <w:sz w:val="20"/>
      <w:szCs w:val="20"/>
      <w:lang w:eastAsia="nl-NL"/>
    </w:rPr>
  </w:style>
  <w:style w:type="character" w:customStyle="1" w:styleId="CommentTextChar">
    <w:name w:val="Comment Text Char"/>
    <w:basedOn w:val="DefaultParagraphFont"/>
    <w:link w:val="CommentText"/>
    <w:uiPriority w:val="99"/>
    <w:rsid w:val="00F72E17"/>
    <w:rPr>
      <w:rFonts w:ascii="Calibri" w:eastAsia="Times New Roman" w:hAnsi="Calibri" w:cs="Times New Roman"/>
      <w:sz w:val="20"/>
      <w:szCs w:val="20"/>
      <w:lang w:val="nl-NL" w:eastAsia="nl-NL"/>
    </w:rPr>
  </w:style>
  <w:style w:type="table" w:styleId="TableGrid">
    <w:name w:val="Table Grid"/>
    <w:basedOn w:val="TableNormal"/>
    <w:uiPriority w:val="59"/>
    <w:rsid w:val="00F72E17"/>
    <w:pPr>
      <w:spacing w:after="0" w:line="240" w:lineRule="auto"/>
    </w:pPr>
    <w:rPr>
      <w:rFonts w:ascii="Calibri" w:eastAsia="Times New Roman" w:hAnsi="Calibri" w:cs="Times New Roman"/>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F72E17"/>
    <w:rPr>
      <w:rFonts w:ascii="Tahoma" w:hAnsi="Tahoma" w:cs="Tahoma"/>
      <w:sz w:val="16"/>
      <w:szCs w:val="16"/>
      <w:lang w:val="nl-NL" w:eastAsia="en-US"/>
    </w:rPr>
  </w:style>
  <w:style w:type="paragraph" w:styleId="BalloonText">
    <w:name w:val="Balloon Text"/>
    <w:basedOn w:val="Normal"/>
    <w:link w:val="BalloonTextChar"/>
    <w:uiPriority w:val="99"/>
    <w:semiHidden/>
    <w:unhideWhenUsed/>
    <w:rsid w:val="00F72E17"/>
    <w:pPr>
      <w:spacing w:after="0" w:line="240" w:lineRule="auto"/>
    </w:pPr>
    <w:rPr>
      <w:rFonts w:ascii="Tahoma" w:hAnsi="Tahoma" w:cs="Tahoma"/>
      <w:sz w:val="16"/>
      <w:szCs w:val="16"/>
    </w:rPr>
  </w:style>
  <w:style w:type="character" w:customStyle="1" w:styleId="CommentSubjectChar">
    <w:name w:val="Comment Subject Char"/>
    <w:basedOn w:val="CommentTextChar"/>
    <w:link w:val="CommentSubject"/>
    <w:uiPriority w:val="99"/>
    <w:semiHidden/>
    <w:rsid w:val="00F72E17"/>
    <w:rPr>
      <w:rFonts w:ascii="Calibri" w:eastAsia="Calibri" w:hAnsi="Calibri" w:cs="Times New Roman"/>
      <w:b/>
      <w:bCs/>
      <w:sz w:val="20"/>
      <w:szCs w:val="20"/>
      <w:lang w:val="nl-NL" w:eastAsia="en-US"/>
    </w:rPr>
  </w:style>
  <w:style w:type="paragraph" w:styleId="CommentSubject">
    <w:name w:val="annotation subject"/>
    <w:basedOn w:val="CommentText"/>
    <w:next w:val="CommentText"/>
    <w:link w:val="CommentSubjectChar"/>
    <w:uiPriority w:val="99"/>
    <w:semiHidden/>
    <w:unhideWhenUsed/>
    <w:rsid w:val="00F72E17"/>
    <w:pPr>
      <w:spacing w:line="276" w:lineRule="auto"/>
    </w:pPr>
    <w:rPr>
      <w:rFonts w:eastAsia="Calibri"/>
      <w:b/>
      <w:bCs/>
      <w:lang w:eastAsia="en-US"/>
    </w:rPr>
  </w:style>
  <w:style w:type="paragraph" w:styleId="NoSpacing">
    <w:name w:val="No Spacing"/>
    <w:uiPriority w:val="1"/>
    <w:qFormat/>
    <w:rsid w:val="00F72E17"/>
    <w:pPr>
      <w:spacing w:after="0" w:line="240" w:lineRule="auto"/>
    </w:pPr>
    <w:rPr>
      <w:rFonts w:ascii="Calibri" w:hAnsi="Calibri" w:cs="Times New Roman"/>
      <w:lang w:val="nl-NL" w:eastAsia="en-US"/>
    </w:rPr>
  </w:style>
  <w:style w:type="paragraph" w:styleId="NormalWeb">
    <w:name w:val="Normal (Web)"/>
    <w:basedOn w:val="Normal"/>
    <w:uiPriority w:val="99"/>
    <w:unhideWhenUsed/>
    <w:rsid w:val="00F72E17"/>
    <w:pPr>
      <w:spacing w:before="100" w:beforeAutospacing="1" w:after="100" w:afterAutospacing="1" w:line="240" w:lineRule="auto"/>
    </w:pPr>
    <w:rPr>
      <w:rFonts w:ascii="Times New Roman" w:eastAsia="Times New Roman" w:hAnsi="Times New Roman"/>
      <w:sz w:val="24"/>
      <w:szCs w:val="24"/>
      <w:lang w:eastAsia="nl-NL"/>
    </w:rPr>
  </w:style>
  <w:style w:type="character" w:styleId="Hyperlink">
    <w:name w:val="Hyperlink"/>
    <w:basedOn w:val="DefaultParagraphFont"/>
    <w:uiPriority w:val="99"/>
    <w:unhideWhenUsed/>
    <w:rsid w:val="00F72E17"/>
    <w:rPr>
      <w:color w:val="0000FF"/>
      <w:u w:val="single"/>
    </w:rPr>
  </w:style>
  <w:style w:type="paragraph" w:styleId="ListParagraph">
    <w:name w:val="List Paragraph"/>
    <w:basedOn w:val="Normal"/>
    <w:uiPriority w:val="34"/>
    <w:qFormat/>
    <w:rsid w:val="00F72E17"/>
    <w:pPr>
      <w:ind w:left="720"/>
      <w:contextualSpacing/>
    </w:pPr>
  </w:style>
  <w:style w:type="character" w:customStyle="1" w:styleId="DocumentMapChar">
    <w:name w:val="Document Map Char"/>
    <w:basedOn w:val="DefaultParagraphFont"/>
    <w:link w:val="DocumentMap"/>
    <w:uiPriority w:val="99"/>
    <w:semiHidden/>
    <w:rsid w:val="00F72E17"/>
    <w:rPr>
      <w:rFonts w:ascii="Times New Roman" w:hAnsi="Times New Roman" w:cs="Times New Roman"/>
      <w:sz w:val="24"/>
      <w:szCs w:val="24"/>
      <w:lang w:val="nl-NL" w:eastAsia="en-US"/>
    </w:rPr>
  </w:style>
  <w:style w:type="paragraph" w:styleId="DocumentMap">
    <w:name w:val="Document Map"/>
    <w:basedOn w:val="Normal"/>
    <w:link w:val="DocumentMapChar"/>
    <w:uiPriority w:val="99"/>
    <w:semiHidden/>
    <w:unhideWhenUsed/>
    <w:rsid w:val="00F72E17"/>
    <w:pPr>
      <w:spacing w:after="0" w:line="240" w:lineRule="auto"/>
    </w:pPr>
    <w:rPr>
      <w:rFonts w:ascii="Times New Roman" w:hAnsi="Times New Roman"/>
      <w:sz w:val="24"/>
      <w:szCs w:val="24"/>
    </w:rPr>
  </w:style>
  <w:style w:type="table" w:styleId="LightShading-Accent2">
    <w:name w:val="Light Shading Accent 2"/>
    <w:basedOn w:val="TableNormal"/>
    <w:uiPriority w:val="60"/>
    <w:rsid w:val="00F72E17"/>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2-Accent1">
    <w:name w:val="Medium Shading 2 Accent 1"/>
    <w:basedOn w:val="TableNormal"/>
    <w:uiPriority w:val="64"/>
    <w:rsid w:val="00F72E1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1">
    <w:name w:val="Medium List 2 Accent 1"/>
    <w:basedOn w:val="TableNormal"/>
    <w:uiPriority w:val="66"/>
    <w:rsid w:val="00F72E1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1">
    <w:name w:val="Medium Grid 2 Accent 1"/>
    <w:basedOn w:val="TableNormal"/>
    <w:uiPriority w:val="68"/>
    <w:rsid w:val="00F72E1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Header">
    <w:name w:val="header"/>
    <w:basedOn w:val="Normal"/>
    <w:link w:val="HeaderChar"/>
    <w:uiPriority w:val="99"/>
    <w:unhideWhenUsed/>
    <w:rsid w:val="00F72E17"/>
    <w:pPr>
      <w:tabs>
        <w:tab w:val="center" w:pos="4703"/>
        <w:tab w:val="right" w:pos="9406"/>
      </w:tabs>
      <w:spacing w:after="0" w:line="240" w:lineRule="auto"/>
    </w:pPr>
  </w:style>
  <w:style w:type="character" w:customStyle="1" w:styleId="HeaderChar">
    <w:name w:val="Header Char"/>
    <w:basedOn w:val="DefaultParagraphFont"/>
    <w:link w:val="Header"/>
    <w:uiPriority w:val="99"/>
    <w:rsid w:val="00F72E17"/>
    <w:rPr>
      <w:rFonts w:ascii="Calibri" w:hAnsi="Calibri" w:cs="Times New Roman"/>
      <w:lang w:val="nl-NL" w:eastAsia="en-US"/>
    </w:rPr>
  </w:style>
  <w:style w:type="paragraph" w:styleId="Footer">
    <w:name w:val="footer"/>
    <w:basedOn w:val="Normal"/>
    <w:link w:val="FooterChar"/>
    <w:uiPriority w:val="99"/>
    <w:unhideWhenUsed/>
    <w:rsid w:val="00F72E17"/>
    <w:pPr>
      <w:tabs>
        <w:tab w:val="center" w:pos="4703"/>
        <w:tab w:val="right" w:pos="9406"/>
      </w:tabs>
      <w:spacing w:after="0" w:line="240" w:lineRule="auto"/>
    </w:pPr>
  </w:style>
  <w:style w:type="character" w:customStyle="1" w:styleId="FooterChar">
    <w:name w:val="Footer Char"/>
    <w:basedOn w:val="DefaultParagraphFont"/>
    <w:link w:val="Footer"/>
    <w:uiPriority w:val="99"/>
    <w:rsid w:val="00F72E17"/>
    <w:rPr>
      <w:rFonts w:ascii="Calibri" w:hAnsi="Calibri" w:cs="Times New Roman"/>
      <w:lang w:val="nl-NL" w:eastAsia="en-US"/>
    </w:rPr>
  </w:style>
  <w:style w:type="character" w:styleId="CommentReference">
    <w:name w:val="annotation reference"/>
    <w:uiPriority w:val="99"/>
    <w:semiHidden/>
    <w:unhideWhenUsed/>
    <w:rsid w:val="00DB6B18"/>
    <w:rPr>
      <w:sz w:val="16"/>
      <w:szCs w:val="16"/>
    </w:rPr>
  </w:style>
  <w:style w:type="paragraph" w:styleId="Revision">
    <w:name w:val="Revision"/>
    <w:hidden/>
    <w:uiPriority w:val="99"/>
    <w:semiHidden/>
    <w:rsid w:val="00DB6B18"/>
    <w:pPr>
      <w:spacing w:after="0" w:line="240" w:lineRule="auto"/>
    </w:pPr>
    <w:rPr>
      <w:rFonts w:ascii="Calibri" w:hAnsi="Calibri" w:cs="Times New Roman"/>
      <w:lang w:val="nl-NL" w:eastAsia="en-US"/>
    </w:rPr>
  </w:style>
  <w:style w:type="character" w:styleId="PlaceholderText">
    <w:name w:val="Placeholder Text"/>
    <w:basedOn w:val="DefaultParagraphFont"/>
    <w:uiPriority w:val="99"/>
    <w:semiHidden/>
    <w:rsid w:val="00DB6B1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header" Target="header1.xm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emf"/><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3035F8-08CC-4B69-B716-B7F731C3E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78</Pages>
  <Words>100020</Words>
  <Characters>550111</Characters>
  <Application>Microsoft Office Word</Application>
  <DocSecurity>0</DocSecurity>
  <Lines>4584</Lines>
  <Paragraphs>1297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648834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Lok Lam</dc:creator>
  <cp:lastModifiedBy>loklam ngai</cp:lastModifiedBy>
  <cp:revision>5</cp:revision>
  <dcterms:created xsi:type="dcterms:W3CDTF">2019-03-16T17:30:00Z</dcterms:created>
  <dcterms:modified xsi:type="dcterms:W3CDTF">2019-03-16T18:01:00Z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http://www.zotero.org/styles/national-library-of-medicine</vt:lpwstr>
  </property>
  <property fmtid="{D5CDD505-2E9C-101B-9397-08002B2CF9AE}" pid="17" name="Mendeley Recent Style Name 7_1">
    <vt:lpwstr>National Library of Medicine</vt:lpwstr>
  </property>
  <property fmtid="{D5CDD505-2E9C-101B-9397-08002B2CF9AE}" pid="18" name="Mendeley Recent Style Id 8_1">
    <vt:lpwstr>http://www.zotero.org/styles/taylor-and-francis-national-library-of-medicine</vt:lpwstr>
  </property>
  <property fmtid="{D5CDD505-2E9C-101B-9397-08002B2CF9AE}" pid="19" name="Mendeley Recent Style Name 8_1">
    <vt:lpwstr>Taylor &amp; Francis - National Library of Medicine</vt:lpwstr>
  </property>
  <property fmtid="{D5CDD505-2E9C-101B-9397-08002B2CF9AE}" pid="20" name="Mendeley Recent Style Id 9_1">
    <vt:lpwstr>http://csl.mendeley.com/styles/26088211/taylor-and-francis-national-library-of-medicine</vt:lpwstr>
  </property>
  <property fmtid="{D5CDD505-2E9C-101B-9397-08002B2CF9AE}" pid="21" name="Mendeley Recent Style Name 9_1">
    <vt:lpwstr>Taylor &amp; Francis - National Library of Medicine - Lok Lam Ngai</vt:lpwstr>
  </property>
  <property fmtid="{D5CDD505-2E9C-101B-9397-08002B2CF9AE}" pid="22" name="Mendeley Document_1">
    <vt:lpwstr>True</vt:lpwstr>
  </property>
  <property fmtid="{D5CDD505-2E9C-101B-9397-08002B2CF9AE}" pid="23" name="Mendeley Unique User Id_1">
    <vt:lpwstr>046e6aa5-6c85-3c19-a98b-3e1661623acf</vt:lpwstr>
  </property>
  <property fmtid="{D5CDD505-2E9C-101B-9397-08002B2CF9AE}" pid="24" name="Mendeley Citation Style_1">
    <vt:lpwstr>http://csl.mendeley.com/styles/26088211/taylor-and-francis-national-library-of-medicine</vt:lpwstr>
  </property>
</Properties>
</file>