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A2B" w:rsidRDefault="00793A2B" w:rsidP="00793A2B">
      <w:pPr>
        <w:pStyle w:val="Heading1"/>
      </w:pPr>
      <w:bookmarkStart w:id="0" w:name="_GoBack"/>
      <w:bookmarkEnd w:id="0"/>
      <w:r>
        <w:t>Online Supplementary Material</w:t>
      </w:r>
    </w:p>
    <w:p w:rsidR="00793A2B" w:rsidRPr="00061F4D" w:rsidRDefault="00793A2B" w:rsidP="00793A2B">
      <w:pPr>
        <w:pStyle w:val="Tabletitle"/>
      </w:pPr>
      <w:r w:rsidRPr="00061F4D">
        <w:t xml:space="preserve">Table </w:t>
      </w:r>
      <w:r>
        <w:t>S1</w:t>
      </w:r>
      <w:r w:rsidRPr="00061F4D">
        <w:t>: Results of gamma analysis (</w:t>
      </w:r>
      <w:r>
        <w:t>median</w:t>
      </w:r>
      <w:r w:rsidRPr="00061F4D">
        <w:t xml:space="preserve"> pass rate </w:t>
      </w:r>
      <w:r>
        <w:t>(min;max)</w:t>
      </w:r>
      <w:r w:rsidRPr="00061F4D">
        <w:t xml:space="preserve">). Statistical tests were performed for equivalent median between prostate and </w:t>
      </w:r>
      <w:r>
        <w:t>rectal</w:t>
      </w:r>
      <w:r w:rsidRPr="00061F4D">
        <w:t xml:space="preserve"> or gynaecological group, p&lt;0.05 indicating statistically significant difference.</w:t>
      </w:r>
    </w:p>
    <w:tbl>
      <w:tblPr>
        <w:tblStyle w:val="TableGrid"/>
        <w:tblpPr w:leftFromText="142" w:rightFromText="113" w:vertAnchor="text" w:horzAnchor="margin" w:tblpY="225"/>
        <w:tblW w:w="8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60"/>
        <w:gridCol w:w="1701"/>
        <w:gridCol w:w="2268"/>
        <w:gridCol w:w="2536"/>
      </w:tblGrid>
      <w:tr w:rsidR="00793A2B" w:rsidRPr="00061F4D" w:rsidTr="007445F1">
        <w:trPr>
          <w:trHeight w:val="275"/>
        </w:trPr>
        <w:tc>
          <w:tcPr>
            <w:tcW w:w="1560" w:type="dxa"/>
            <w:tcBorders>
              <w:top w:val="single" w:sz="4" w:space="0" w:color="auto"/>
              <w:bottom w:val="single" w:sz="4" w:space="0" w:color="auto"/>
            </w:tcBorders>
          </w:tcPr>
          <w:p w:rsidR="00793A2B" w:rsidRPr="007774E0" w:rsidRDefault="00793A2B" w:rsidP="007445F1">
            <w:pPr>
              <w:rPr>
                <w:rFonts w:ascii="Arial" w:hAnsi="Arial" w:cs="Arial"/>
                <w:b/>
                <w:sz w:val="18"/>
                <w:lang w:val="en-US"/>
              </w:rPr>
            </w:pPr>
          </w:p>
        </w:tc>
        <w:tc>
          <w:tcPr>
            <w:tcW w:w="1701" w:type="dxa"/>
            <w:tcBorders>
              <w:top w:val="single" w:sz="4" w:space="0" w:color="auto"/>
              <w:bottom w:val="single" w:sz="4" w:space="0" w:color="auto"/>
            </w:tcBorders>
            <w:vAlign w:val="center"/>
          </w:tcPr>
          <w:p w:rsidR="00793A2B" w:rsidRPr="00061F4D" w:rsidRDefault="00793A2B" w:rsidP="007445F1">
            <w:pPr>
              <w:rPr>
                <w:rFonts w:ascii="Arial" w:hAnsi="Arial" w:cs="Arial"/>
                <w:b/>
                <w:sz w:val="18"/>
                <w:szCs w:val="18"/>
              </w:rPr>
            </w:pPr>
            <w:r w:rsidRPr="00061F4D">
              <w:rPr>
                <w:rFonts w:ascii="Arial" w:hAnsi="Arial" w:cs="Arial"/>
                <w:b/>
                <w:color w:val="000000"/>
                <w:sz w:val="18"/>
                <w:szCs w:val="18"/>
              </w:rPr>
              <w:t>Prostate</w:t>
            </w:r>
          </w:p>
        </w:tc>
        <w:tc>
          <w:tcPr>
            <w:tcW w:w="2268" w:type="dxa"/>
            <w:tcBorders>
              <w:top w:val="single" w:sz="4" w:space="0" w:color="auto"/>
              <w:bottom w:val="single" w:sz="4" w:space="0" w:color="auto"/>
            </w:tcBorders>
            <w:vAlign w:val="center"/>
          </w:tcPr>
          <w:p w:rsidR="00793A2B" w:rsidRPr="00061F4D" w:rsidRDefault="00793A2B" w:rsidP="007445F1">
            <w:pPr>
              <w:rPr>
                <w:rFonts w:ascii="Arial" w:hAnsi="Arial" w:cs="Arial"/>
                <w:b/>
                <w:sz w:val="18"/>
                <w:szCs w:val="18"/>
              </w:rPr>
            </w:pPr>
            <w:r>
              <w:rPr>
                <w:rFonts w:ascii="Arial" w:hAnsi="Arial" w:cs="Arial"/>
                <w:b/>
                <w:color w:val="000000"/>
                <w:sz w:val="18"/>
                <w:szCs w:val="18"/>
              </w:rPr>
              <w:t>Rectal</w:t>
            </w:r>
          </w:p>
        </w:tc>
        <w:tc>
          <w:tcPr>
            <w:tcW w:w="2536" w:type="dxa"/>
            <w:tcBorders>
              <w:top w:val="single" w:sz="4" w:space="0" w:color="auto"/>
              <w:bottom w:val="single" w:sz="4" w:space="0" w:color="auto"/>
            </w:tcBorders>
            <w:vAlign w:val="center"/>
          </w:tcPr>
          <w:p w:rsidR="00793A2B" w:rsidRPr="00061F4D" w:rsidRDefault="00793A2B" w:rsidP="007445F1">
            <w:pPr>
              <w:rPr>
                <w:rFonts w:ascii="Arial" w:hAnsi="Arial" w:cs="Arial"/>
                <w:b/>
                <w:sz w:val="18"/>
                <w:szCs w:val="18"/>
              </w:rPr>
            </w:pPr>
            <w:r w:rsidRPr="00061F4D">
              <w:rPr>
                <w:rFonts w:ascii="Arial" w:hAnsi="Arial" w:cs="Arial"/>
                <w:b/>
                <w:sz w:val="18"/>
                <w:szCs w:val="18"/>
              </w:rPr>
              <w:t>Gynaecological</w:t>
            </w:r>
          </w:p>
        </w:tc>
      </w:tr>
      <w:tr w:rsidR="00793A2B" w:rsidRPr="00061F4D" w:rsidTr="007445F1">
        <w:trPr>
          <w:trHeight w:val="275"/>
        </w:trPr>
        <w:tc>
          <w:tcPr>
            <w:tcW w:w="1560" w:type="dxa"/>
            <w:tcBorders>
              <w:top w:val="single" w:sz="4" w:space="0" w:color="auto"/>
            </w:tcBorders>
          </w:tcPr>
          <w:p w:rsidR="00793A2B" w:rsidRPr="00061F4D" w:rsidRDefault="00793A2B" w:rsidP="007445F1">
            <w:pPr>
              <w:rPr>
                <w:rFonts w:ascii="Arial" w:hAnsi="Arial" w:cs="Arial"/>
                <w:sz w:val="18"/>
              </w:rPr>
            </w:pPr>
            <w:r w:rsidRPr="00061F4D">
              <w:rPr>
                <w:rFonts w:ascii="Arial" w:hAnsi="Arial" w:cs="Arial"/>
                <w:b/>
                <w:color w:val="000000"/>
                <w:sz w:val="18"/>
                <w:szCs w:val="22"/>
              </w:rPr>
              <w:t>Gamma criteria</w:t>
            </w:r>
          </w:p>
        </w:tc>
        <w:tc>
          <w:tcPr>
            <w:tcW w:w="1701" w:type="dxa"/>
            <w:tcBorders>
              <w:top w:val="single" w:sz="4" w:space="0" w:color="auto"/>
            </w:tcBorders>
          </w:tcPr>
          <w:p w:rsidR="00793A2B" w:rsidRPr="00061F4D" w:rsidRDefault="00793A2B" w:rsidP="007445F1">
            <w:pPr>
              <w:rPr>
                <w:rFonts w:ascii="Arial" w:hAnsi="Arial" w:cs="Arial"/>
                <w:sz w:val="18"/>
                <w:szCs w:val="18"/>
              </w:rPr>
            </w:pPr>
          </w:p>
        </w:tc>
        <w:tc>
          <w:tcPr>
            <w:tcW w:w="2268" w:type="dxa"/>
            <w:tcBorders>
              <w:top w:val="single" w:sz="4" w:space="0" w:color="auto"/>
            </w:tcBorders>
          </w:tcPr>
          <w:p w:rsidR="00793A2B" w:rsidRPr="00061F4D" w:rsidRDefault="00793A2B" w:rsidP="007445F1">
            <w:pPr>
              <w:rPr>
                <w:rFonts w:ascii="Arial" w:hAnsi="Arial" w:cs="Arial"/>
                <w:sz w:val="18"/>
                <w:szCs w:val="18"/>
              </w:rPr>
            </w:pPr>
          </w:p>
        </w:tc>
        <w:tc>
          <w:tcPr>
            <w:tcW w:w="2536" w:type="dxa"/>
            <w:tcBorders>
              <w:top w:val="single" w:sz="4" w:space="0" w:color="auto"/>
            </w:tcBorders>
          </w:tcPr>
          <w:p w:rsidR="00793A2B" w:rsidRPr="00061F4D" w:rsidRDefault="00793A2B" w:rsidP="007445F1">
            <w:pPr>
              <w:rPr>
                <w:rFonts w:ascii="Arial" w:hAnsi="Arial" w:cs="Arial"/>
                <w:sz w:val="18"/>
                <w:szCs w:val="18"/>
              </w:rPr>
            </w:pPr>
          </w:p>
        </w:tc>
      </w:tr>
      <w:tr w:rsidR="00793A2B" w:rsidRPr="00061F4D" w:rsidTr="007445F1">
        <w:trPr>
          <w:trHeight w:val="275"/>
        </w:trPr>
        <w:tc>
          <w:tcPr>
            <w:tcW w:w="1560" w:type="dxa"/>
            <w:vAlign w:val="bottom"/>
          </w:tcPr>
          <w:p w:rsidR="00793A2B" w:rsidRPr="00061F4D" w:rsidRDefault="00793A2B" w:rsidP="007445F1">
            <w:pPr>
              <w:jc w:val="right"/>
              <w:rPr>
                <w:rFonts w:ascii="Arial" w:hAnsi="Arial" w:cs="Arial"/>
                <w:sz w:val="18"/>
              </w:rPr>
            </w:pPr>
            <w:r w:rsidRPr="00061F4D">
              <w:rPr>
                <w:rFonts w:ascii="Arial" w:hAnsi="Arial" w:cs="Arial"/>
                <w:color w:val="000000"/>
                <w:sz w:val="18"/>
                <w:szCs w:val="22"/>
              </w:rPr>
              <w:t>0.5% / 0.5 mm</w:t>
            </w:r>
          </w:p>
        </w:tc>
        <w:tc>
          <w:tcPr>
            <w:tcW w:w="1701" w:type="dxa"/>
          </w:tcPr>
          <w:p w:rsidR="00793A2B" w:rsidRPr="00061F4D" w:rsidRDefault="00793A2B" w:rsidP="007445F1">
            <w:pPr>
              <w:rPr>
                <w:rFonts w:ascii="Arial" w:hAnsi="Arial" w:cs="Arial"/>
                <w:sz w:val="18"/>
                <w:szCs w:val="18"/>
              </w:rPr>
            </w:pPr>
            <w:r w:rsidRPr="00061F4D">
              <w:rPr>
                <w:rFonts w:ascii="Arial" w:hAnsi="Arial" w:cs="Arial"/>
                <w:sz w:val="18"/>
                <w:szCs w:val="18"/>
              </w:rPr>
              <w:t>99.</w:t>
            </w:r>
            <w:r>
              <w:rPr>
                <w:rFonts w:ascii="Arial" w:hAnsi="Arial" w:cs="Arial"/>
                <w:sz w:val="18"/>
                <w:szCs w:val="18"/>
              </w:rPr>
              <w:t>8</w:t>
            </w:r>
            <w:r w:rsidRPr="00061F4D">
              <w:rPr>
                <w:rFonts w:ascii="Arial" w:hAnsi="Arial" w:cs="Arial"/>
                <w:sz w:val="18"/>
                <w:szCs w:val="18"/>
              </w:rPr>
              <w:t xml:space="preserve"> (</w:t>
            </w:r>
            <w:r>
              <w:rPr>
                <w:rFonts w:ascii="Arial" w:hAnsi="Arial" w:cs="Arial"/>
                <w:sz w:val="18"/>
                <w:szCs w:val="18"/>
              </w:rPr>
              <w:t>99.2;99.9</w:t>
            </w:r>
            <w:r w:rsidRPr="00061F4D">
              <w:rPr>
                <w:rFonts w:ascii="Arial" w:hAnsi="Arial" w:cs="Arial"/>
                <w:sz w:val="18"/>
                <w:szCs w:val="18"/>
              </w:rPr>
              <w:t>)</w:t>
            </w:r>
          </w:p>
        </w:tc>
        <w:tc>
          <w:tcPr>
            <w:tcW w:w="2268" w:type="dxa"/>
          </w:tcPr>
          <w:p w:rsidR="00793A2B" w:rsidRPr="00061F4D" w:rsidRDefault="00793A2B" w:rsidP="007445F1">
            <w:pPr>
              <w:rPr>
                <w:rFonts w:ascii="Arial" w:hAnsi="Arial" w:cs="Arial"/>
                <w:color w:val="000000"/>
                <w:sz w:val="18"/>
                <w:szCs w:val="22"/>
              </w:rPr>
            </w:pPr>
            <w:r w:rsidRPr="00061F4D">
              <w:rPr>
                <w:rFonts w:ascii="Arial" w:hAnsi="Arial" w:cs="Arial"/>
                <w:sz w:val="18"/>
                <w:szCs w:val="18"/>
              </w:rPr>
              <w:t>99.</w:t>
            </w:r>
            <w:r>
              <w:rPr>
                <w:rFonts w:ascii="Arial" w:hAnsi="Arial" w:cs="Arial"/>
                <w:sz w:val="18"/>
                <w:szCs w:val="18"/>
              </w:rPr>
              <w:t>4</w:t>
            </w:r>
            <w:r w:rsidRPr="00061F4D">
              <w:rPr>
                <w:rFonts w:ascii="Arial" w:hAnsi="Arial" w:cs="Arial"/>
                <w:sz w:val="18"/>
                <w:szCs w:val="18"/>
              </w:rPr>
              <w:t xml:space="preserve"> (</w:t>
            </w:r>
            <w:r>
              <w:rPr>
                <w:rFonts w:ascii="Arial" w:hAnsi="Arial" w:cs="Arial"/>
                <w:sz w:val="18"/>
                <w:szCs w:val="18"/>
              </w:rPr>
              <w:t>99.3;99.9</w:t>
            </w:r>
            <w:r w:rsidRPr="00061F4D">
              <w:rPr>
                <w:rFonts w:ascii="Arial" w:hAnsi="Arial" w:cs="Arial"/>
                <w:sz w:val="18"/>
                <w:szCs w:val="18"/>
              </w:rPr>
              <w:t xml:space="preserve">), </w:t>
            </w:r>
            <w:r w:rsidRPr="00D82E20">
              <w:rPr>
                <w:rFonts w:ascii="Arial" w:hAnsi="Arial" w:cs="Arial"/>
                <w:sz w:val="18"/>
                <w:szCs w:val="18"/>
              </w:rPr>
              <w:t>p&gt;0.10</w:t>
            </w:r>
          </w:p>
        </w:tc>
        <w:tc>
          <w:tcPr>
            <w:tcW w:w="2536" w:type="dxa"/>
          </w:tcPr>
          <w:p w:rsidR="00793A2B" w:rsidRPr="00061F4D" w:rsidRDefault="00793A2B" w:rsidP="007445F1">
            <w:pPr>
              <w:rPr>
                <w:rFonts w:ascii="Arial" w:hAnsi="Arial" w:cs="Arial"/>
                <w:sz w:val="18"/>
                <w:szCs w:val="18"/>
              </w:rPr>
            </w:pPr>
            <w:r w:rsidRPr="00061F4D">
              <w:rPr>
                <w:rFonts w:ascii="Arial" w:hAnsi="Arial" w:cs="Arial"/>
                <w:sz w:val="18"/>
                <w:szCs w:val="18"/>
              </w:rPr>
              <w:t>98.</w:t>
            </w:r>
            <w:r>
              <w:rPr>
                <w:rFonts w:ascii="Arial" w:hAnsi="Arial" w:cs="Arial"/>
                <w:sz w:val="18"/>
                <w:szCs w:val="18"/>
              </w:rPr>
              <w:t>7</w:t>
            </w:r>
            <w:r w:rsidRPr="00061F4D">
              <w:rPr>
                <w:rFonts w:ascii="Arial" w:hAnsi="Arial" w:cs="Arial"/>
                <w:sz w:val="18"/>
                <w:szCs w:val="18"/>
              </w:rPr>
              <w:t xml:space="preserve"> (</w:t>
            </w:r>
            <w:r>
              <w:rPr>
                <w:rFonts w:ascii="Arial" w:hAnsi="Arial" w:cs="Arial"/>
                <w:sz w:val="18"/>
                <w:szCs w:val="18"/>
              </w:rPr>
              <w:t>98.4;99.6</w:t>
            </w:r>
            <w:r w:rsidRPr="00061F4D">
              <w:rPr>
                <w:rFonts w:ascii="Arial" w:hAnsi="Arial" w:cs="Arial"/>
                <w:sz w:val="18"/>
                <w:szCs w:val="18"/>
              </w:rPr>
              <w:t>), p=0.06</w:t>
            </w:r>
          </w:p>
        </w:tc>
      </w:tr>
      <w:tr w:rsidR="00793A2B" w:rsidRPr="00061F4D" w:rsidTr="007445F1">
        <w:trPr>
          <w:trHeight w:val="275"/>
        </w:trPr>
        <w:tc>
          <w:tcPr>
            <w:tcW w:w="1560" w:type="dxa"/>
          </w:tcPr>
          <w:p w:rsidR="00793A2B" w:rsidRPr="00061F4D" w:rsidRDefault="00793A2B" w:rsidP="007445F1">
            <w:pPr>
              <w:jc w:val="right"/>
              <w:rPr>
                <w:rFonts w:ascii="Arial" w:hAnsi="Arial" w:cs="Arial"/>
                <w:sz w:val="18"/>
              </w:rPr>
            </w:pPr>
            <w:r w:rsidRPr="00061F4D">
              <w:rPr>
                <w:rFonts w:ascii="Arial" w:hAnsi="Arial" w:cs="Arial"/>
                <w:color w:val="000000"/>
                <w:sz w:val="18"/>
                <w:szCs w:val="22"/>
              </w:rPr>
              <w:t>1% / 1 mm</w:t>
            </w:r>
          </w:p>
        </w:tc>
        <w:tc>
          <w:tcPr>
            <w:tcW w:w="1701" w:type="dxa"/>
          </w:tcPr>
          <w:p w:rsidR="00793A2B" w:rsidRPr="00061F4D" w:rsidRDefault="00793A2B" w:rsidP="007445F1">
            <w:pPr>
              <w:rPr>
                <w:rFonts w:ascii="Arial" w:hAnsi="Arial" w:cs="Arial"/>
                <w:sz w:val="18"/>
                <w:szCs w:val="18"/>
              </w:rPr>
            </w:pPr>
            <w:r>
              <w:rPr>
                <w:rFonts w:ascii="Arial" w:hAnsi="Arial" w:cs="Arial"/>
                <w:sz w:val="18"/>
                <w:szCs w:val="18"/>
              </w:rPr>
              <w:t>100</w:t>
            </w:r>
            <w:r w:rsidRPr="00061F4D">
              <w:rPr>
                <w:rFonts w:ascii="Arial" w:hAnsi="Arial" w:cs="Arial"/>
                <w:sz w:val="18"/>
                <w:szCs w:val="18"/>
              </w:rPr>
              <w:t xml:space="preserve"> (</w:t>
            </w:r>
            <w:r>
              <w:rPr>
                <w:rFonts w:ascii="Arial" w:hAnsi="Arial" w:cs="Arial"/>
                <w:sz w:val="18"/>
                <w:szCs w:val="18"/>
              </w:rPr>
              <w:t>99.8;100</w:t>
            </w:r>
            <w:r w:rsidRPr="00061F4D">
              <w:rPr>
                <w:rFonts w:ascii="Arial" w:hAnsi="Arial" w:cs="Arial"/>
                <w:sz w:val="18"/>
                <w:szCs w:val="18"/>
              </w:rPr>
              <w:t>)</w:t>
            </w:r>
          </w:p>
        </w:tc>
        <w:tc>
          <w:tcPr>
            <w:tcW w:w="2268" w:type="dxa"/>
          </w:tcPr>
          <w:p w:rsidR="00793A2B" w:rsidRPr="00061F4D" w:rsidRDefault="00793A2B" w:rsidP="007445F1">
            <w:pPr>
              <w:rPr>
                <w:rFonts w:ascii="Arial" w:hAnsi="Arial" w:cs="Arial"/>
                <w:color w:val="000000"/>
                <w:sz w:val="18"/>
                <w:szCs w:val="22"/>
              </w:rPr>
            </w:pPr>
            <w:r w:rsidRPr="00061F4D">
              <w:rPr>
                <w:rFonts w:ascii="Arial" w:hAnsi="Arial" w:cs="Arial"/>
                <w:sz w:val="18"/>
                <w:szCs w:val="18"/>
              </w:rPr>
              <w:t>99.</w:t>
            </w:r>
            <w:r>
              <w:rPr>
                <w:rFonts w:ascii="Arial" w:hAnsi="Arial" w:cs="Arial"/>
                <w:sz w:val="18"/>
                <w:szCs w:val="18"/>
              </w:rPr>
              <w:t>8</w:t>
            </w:r>
            <w:r w:rsidRPr="00061F4D">
              <w:rPr>
                <w:rFonts w:ascii="Arial" w:hAnsi="Arial" w:cs="Arial"/>
                <w:sz w:val="18"/>
                <w:szCs w:val="18"/>
              </w:rPr>
              <w:t xml:space="preserve"> (</w:t>
            </w:r>
            <w:r>
              <w:rPr>
                <w:rFonts w:ascii="Arial" w:hAnsi="Arial" w:cs="Arial"/>
                <w:sz w:val="18"/>
                <w:szCs w:val="18"/>
              </w:rPr>
              <w:t>99.3;100</w:t>
            </w:r>
            <w:r w:rsidRPr="00061F4D">
              <w:rPr>
                <w:rFonts w:ascii="Arial" w:hAnsi="Arial" w:cs="Arial"/>
                <w:sz w:val="18"/>
                <w:szCs w:val="18"/>
              </w:rPr>
              <w:t xml:space="preserve">), </w:t>
            </w:r>
            <w:r w:rsidRPr="00D82E20">
              <w:rPr>
                <w:rFonts w:ascii="Arial" w:hAnsi="Arial" w:cs="Arial"/>
                <w:sz w:val="18"/>
                <w:szCs w:val="18"/>
              </w:rPr>
              <w:t>p&gt;0.10</w:t>
            </w:r>
          </w:p>
        </w:tc>
        <w:tc>
          <w:tcPr>
            <w:tcW w:w="2536" w:type="dxa"/>
          </w:tcPr>
          <w:p w:rsidR="00793A2B" w:rsidRPr="00061F4D" w:rsidRDefault="00793A2B" w:rsidP="007445F1">
            <w:pPr>
              <w:rPr>
                <w:rFonts w:ascii="Arial" w:hAnsi="Arial" w:cs="Arial"/>
                <w:sz w:val="18"/>
                <w:szCs w:val="18"/>
              </w:rPr>
            </w:pPr>
            <w:r w:rsidRPr="00061F4D">
              <w:rPr>
                <w:rFonts w:ascii="Arial" w:hAnsi="Arial" w:cs="Arial"/>
                <w:sz w:val="18"/>
                <w:szCs w:val="18"/>
              </w:rPr>
              <w:t>99.</w:t>
            </w:r>
            <w:r>
              <w:rPr>
                <w:rFonts w:ascii="Arial" w:hAnsi="Arial" w:cs="Arial"/>
                <w:sz w:val="18"/>
                <w:szCs w:val="18"/>
              </w:rPr>
              <w:t>6</w:t>
            </w:r>
            <w:r w:rsidRPr="00061F4D">
              <w:rPr>
                <w:rFonts w:ascii="Arial" w:hAnsi="Arial" w:cs="Arial"/>
                <w:sz w:val="18"/>
                <w:szCs w:val="18"/>
              </w:rPr>
              <w:t xml:space="preserve"> (</w:t>
            </w:r>
            <w:r>
              <w:rPr>
                <w:rFonts w:ascii="Arial" w:hAnsi="Arial" w:cs="Arial"/>
                <w:sz w:val="18"/>
                <w:szCs w:val="18"/>
              </w:rPr>
              <w:t>99.4;99.9</w:t>
            </w:r>
            <w:r w:rsidRPr="00061F4D">
              <w:rPr>
                <w:rFonts w:ascii="Arial" w:hAnsi="Arial" w:cs="Arial"/>
                <w:sz w:val="18"/>
                <w:szCs w:val="18"/>
              </w:rPr>
              <w:t>), p=0.04</w:t>
            </w:r>
          </w:p>
        </w:tc>
      </w:tr>
    </w:tbl>
    <w:p w:rsidR="00793A2B" w:rsidRPr="00AA1F37" w:rsidRDefault="00793A2B" w:rsidP="00793A2B">
      <w:pPr>
        <w:pStyle w:val="Heading2"/>
      </w:pPr>
      <w:bookmarkStart w:id="1" w:name="OLE_LINK14"/>
      <w:bookmarkStart w:id="2" w:name="OLE_LINK15"/>
      <w:r>
        <w:t>MRCAT generation</w:t>
      </w:r>
    </w:p>
    <w:bookmarkEnd w:id="1"/>
    <w:bookmarkEnd w:id="2"/>
    <w:p w:rsidR="00793A2B" w:rsidRDefault="00793A2B" w:rsidP="00793A2B">
      <w:pPr>
        <w:keepNext/>
      </w:pPr>
      <w:r w:rsidRPr="00061F4D">
        <w:rPr>
          <w:noProof/>
        </w:rPr>
        <w:drawing>
          <wp:inline distT="0" distB="0" distL="0" distR="0" wp14:anchorId="44E00F62" wp14:editId="62BAF88B">
            <wp:extent cx="5431358" cy="1930049"/>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31358" cy="1930049"/>
                    </a:xfrm>
                    <a:prstGeom prst="rect">
                      <a:avLst/>
                    </a:prstGeom>
                  </pic:spPr>
                </pic:pic>
              </a:graphicData>
            </a:graphic>
          </wp:inline>
        </w:drawing>
      </w:r>
    </w:p>
    <w:p w:rsidR="00793A2B" w:rsidRDefault="00793A2B" w:rsidP="00793A2B">
      <w:pPr>
        <w:pStyle w:val="Caption"/>
      </w:pPr>
      <w:r>
        <w:t>Figure S</w:t>
      </w:r>
      <w:r>
        <w:fldChar w:fldCharType="begin"/>
      </w:r>
      <w:r w:rsidRPr="007774E0">
        <w:instrText xml:space="preserve"> SEQ S \* ARABIC </w:instrText>
      </w:r>
      <w:r>
        <w:fldChar w:fldCharType="separate"/>
      </w:r>
      <w:r>
        <w:rPr>
          <w:noProof/>
        </w:rPr>
        <w:t>1</w:t>
      </w:r>
      <w:r>
        <w:fldChar w:fldCharType="end"/>
      </w:r>
      <w:r>
        <w:t xml:space="preserve">: </w:t>
      </w:r>
      <w:r w:rsidRPr="008C2470">
        <w:t>MRCAT generating algorithm pipeline. The three source images on left from mDIXON reconstruction (from top to bottom: inphase, fat and water images) are used a</w:t>
      </w:r>
      <w:r>
        <w:t xml:space="preserve">s an input for the algorithm. </w:t>
      </w:r>
      <w:r w:rsidRPr="008C2470">
        <w:t>HU: Hounsfield unit; MRCAT: mag</w:t>
      </w:r>
      <w:r>
        <w:t>netic resonance for calculating attenuation.</w:t>
      </w:r>
    </w:p>
    <w:p w:rsidR="00793A2B" w:rsidRPr="00AA1F37" w:rsidRDefault="00793A2B" w:rsidP="00793A2B">
      <w:pPr>
        <w:pStyle w:val="Caption"/>
      </w:pPr>
    </w:p>
    <w:p w:rsidR="00793A2B" w:rsidRPr="00061F4D" w:rsidRDefault="00793A2B" w:rsidP="00793A2B">
      <w:pPr>
        <w:pStyle w:val="Newparagraph"/>
      </w:pPr>
      <w:r w:rsidRPr="00061F4D">
        <w:t>The classification of a cer</w:t>
      </w:r>
      <w:r>
        <w:t>tain voxel to a density class was</w:t>
      </w:r>
      <w:r w:rsidRPr="00061F4D">
        <w:t xml:space="preserve"> determined by the following procedure. First, the body outline (skin</w:t>
      </w:r>
      <w:r>
        <w:t>) of the patient was</w:t>
      </w:r>
      <w:r w:rsidRPr="00061F4D">
        <w:t xml:space="preserve"> determined: the voxels outside this outline </w:t>
      </w:r>
      <w:r>
        <w:t>were</w:t>
      </w:r>
      <w:r w:rsidRPr="00061F4D">
        <w:t xml:space="preserve"> classified as air. Second, all bone structures inside the body </w:t>
      </w:r>
      <w:r>
        <w:t>were</w:t>
      </w:r>
      <w:r w:rsidRPr="00061F4D">
        <w:t xml:space="preserve"> segmented using the multiple contrasts provided by the mDIXON scan. Both bone and outline segmentations employ</w:t>
      </w:r>
      <w:r>
        <w:t>ed</w:t>
      </w:r>
      <w:r w:rsidRPr="00061F4D">
        <w:t xml:space="preserve"> a model-based approach trained on prostate cancer patients’ and representative volunteers’ image dataset. The model </w:t>
      </w:r>
      <w:r>
        <w:t>was</w:t>
      </w:r>
      <w:r w:rsidRPr="00061F4D">
        <w:t xml:space="preserve"> adapted to the actual patient image using features (such as edges of grey values) found within the </w:t>
      </w:r>
      <w:r w:rsidRPr="00061F4D">
        <w:lastRenderedPageBreak/>
        <w:t xml:space="preserve">image, while at the same time, a constraint for the shape of </w:t>
      </w:r>
      <w:r>
        <w:t>the segmented structure prevented</w:t>
      </w:r>
      <w:r w:rsidRPr="00061F4D">
        <w:t xml:space="preserve"> the segmentation from being attracted to the wrong position </w:t>
      </w:r>
      <w:r w:rsidRPr="00061F4D">
        <w:fldChar w:fldCharType="begin" w:fldLock="1"/>
      </w:r>
      <w:r w:rsidR="00167ED6">
        <w:instrText>ADDIN CSL_CITATION { "citationID" : "27prlvikum", "citationItems" : [ { "id" : "ITEM-1", "itemData" : { "DOI" : "10.1109/TMI.2008.918330", "ISBN" : "0278-0062 VO - 27", "ISSN" : "02780062", "PMID" : "18753041", "abstract" : "Automatic image processing methods are a prerequisite to efficiently analyze the large amount of image data produced by computed tomography (CT) scanners during cardiac exams. This paper introduces a model-based approach for the fully automatic segmentation of the whole heart (four chambers, myocardium, and great vessels) from 3-D CT images. Model adaptation is done by progressively increasing the degrees-of-freedom of the allowed deformations. This improves convergence as well as segmentation accuracy. The heart is first localized in the image using a 3-D implementation of the generalized Hough transform. Pose misalignment is corrected by matching the model to the image making use of a global similarity transformation. The complex initialization of the multicompartment mesh is then addressed by assigning an affine transformation to each anatomical region of the model. Finally, a deformable adaptation is performed to accurately match the boundaries of the patient's anatomy. A mean surface-to-surface error of 0.82 mm was measured in a leave-one-out quantitative validation carried out on 28 images. Moreover, the piecewise affine transformation introduced for mesh initialization and adaptation shows better interphase and interpatient shape variability characterization than commonly used principal component analysis.", "author" : [ { "dropping-particle" : "", "family" : "Ecabert", "given" : "Olivier", "non-dropping-particle" : "", "parse-names" : false, "suffix" : "" }, { "dropping-particle" : "", "family" : "Peters", "given" : "Jochen", "non-dropping-particle" : "", "parse-names" : false, "suffix" : "" }, { "dropping-particle" : "", "family" : "Schramm", "given" : "Hauke", "non-dropping-particle" : "", "parse-names" : false, "suffix" : "" }, { "dropping-particle" : "", "family" : "Lorenz", "given" : "Cristian", "non-dropping-particle" : "", "parse-names" : false, "suffix" : "" }, { "dropping-particle" : "", "family" : "Berg", "given" : "Jens", "non-dropping-particle" : "Von", "parse-names" : false, "suffix" : "" }, { "dropping-particle" : "", "family" : "Walker", "given" : "Matthew J.", "non-dropping-particle" : "", "parse-names" : false, "suffix" : "" }, { "dropping-particle" : "", "family" : "Vembar", "given" : "Mani", "non-dropping-particle" : "", "parse-names" : false, "suffix" : "" }, { "dropping-particle" : "", "family" : "Olszewski", "given" : "Mark E.", "non-dropping-particle" : "", "parse-names" : false, "suffix" : "" }, { "dropping-particle" : "", "family" : "Subramanyan", "given" : "Krishna", "non-dropping-particle" : "", "parse-names" : false, "suffix" : "" }, { "dropping-particle" : "", "family" : "Lavi", "given" : "Guy", "non-dropping-particle" : "", "parse-names" : false, "suffix" : "" }, { "dropping-particle" : "", "family" : "Weese", "given" : "J\u00fcrgen", "non-dropping-particle" : "", "parse-names" : false, "suffix" : "" } ], "container-title" : "IEEE Transactions on Medical Imaging", "id" : "ITEM-1", "issue" : "9", "issued" : { "date-parts" : [ [ "2008" ] ] }, "page" : "1189-1202", "title" : "Automatic model-based segmentation of the heart in CT images", "type" : "article-journal", "volume" : "27" }, "uris" : [ "http://www.mendeley.com/documents/?uuid=645d5628-96cb-46da-a10d-b5e9192bbec5" ] } ], "mendeley" : { "formattedCitation" : "[1]", "plainTextFormattedCitation" : "[1]", "previouslyFormattedCitation" : "[1]" }, "properties" : { "formattedCitation" : "[12]", "noteIndex" : 0, "plainCitation" : "[12]" }, "schema" : "https://github.com/citation-style-language/schema/raw/master/csl-citation.json" }</w:instrText>
      </w:r>
      <w:r w:rsidRPr="00061F4D">
        <w:fldChar w:fldCharType="separate"/>
      </w:r>
      <w:r w:rsidR="00167ED6" w:rsidRPr="00167ED6">
        <w:rPr>
          <w:rFonts w:cs="Calibri"/>
          <w:noProof/>
        </w:rPr>
        <w:t>[1]</w:t>
      </w:r>
      <w:r w:rsidRPr="00061F4D">
        <w:fldChar w:fldCharType="end"/>
      </w:r>
      <w:r>
        <w:t>. The framework allowed</w:t>
      </w:r>
      <w:r w:rsidRPr="00061F4D">
        <w:t xml:space="preserve"> modelling the organ shape in a flexible manner using local degrees of freedom for scaling, orientation, and shape-controlled deformation. Two models </w:t>
      </w:r>
      <w:r>
        <w:t>were</w:t>
      </w:r>
      <w:r w:rsidRPr="00061F4D">
        <w:t xml:space="preserve"> used for </w:t>
      </w:r>
      <w:r>
        <w:t>pCT</w:t>
      </w:r>
      <w:r w:rsidRPr="00061F4D">
        <w:t>: an outline for background removal and a multi-step bone model for fine segmentation of all bony anatomy structures of the pelvis.</w:t>
      </w:r>
    </w:p>
    <w:p w:rsidR="00793A2B" w:rsidRDefault="00793A2B" w:rsidP="00793A2B">
      <w:r w:rsidRPr="00061F4D">
        <w:t xml:space="preserve">All voxels inside the body outline, except those from the bone segmentation, </w:t>
      </w:r>
      <w:r>
        <w:t>were</w:t>
      </w:r>
      <w:r w:rsidRPr="00061F4D">
        <w:t xml:space="preserve"> considered as soft tissue. The soft tissue </w:t>
      </w:r>
      <w:r>
        <w:t>was</w:t>
      </w:r>
      <w:r w:rsidRPr="00061F4D">
        <w:t xml:space="preserve"> further subdivided into water and fat by using the mDIXON fat and water images; the voxels with a higher fat content than that of water </w:t>
      </w:r>
      <w:r>
        <w:t>were</w:t>
      </w:r>
      <w:r w:rsidRPr="00061F4D">
        <w:t xml:space="preserve"> classified as fat, whereas the voxels with higher water content than that of fat </w:t>
      </w:r>
      <w:r>
        <w:t>were</w:t>
      </w:r>
      <w:r w:rsidRPr="00061F4D">
        <w:t xml:space="preserve"> classified as water. Voxels inside the bone segmentation are assumed to consist of either compact or spongy bone; the distinction is made based on the voxel intensity of the in-phase mDIXON image. </w:t>
      </w:r>
      <w:bookmarkStart w:id="3" w:name="OLE_LINK60"/>
      <w:bookmarkStart w:id="4" w:name="OLE_LINK61"/>
      <w:bookmarkStart w:id="5" w:name="OLE_LINK62"/>
      <w:r>
        <w:t xml:space="preserve">The MRCAT algorithm is designed to segment all air cavities inside the body as soft-tissue. The choice is justified from dose calculation accuracy point of view since air cavities in the pelvis change their volume and appearance in short time intervals and can’t be considered stable. </w:t>
      </w:r>
      <w:bookmarkEnd w:id="3"/>
      <w:bookmarkEnd w:id="4"/>
      <w:bookmarkEnd w:id="5"/>
    </w:p>
    <w:p w:rsidR="00793A2B" w:rsidRDefault="00793A2B" w:rsidP="00793A2B"/>
    <w:p w:rsidR="00793A2B" w:rsidRDefault="00793A2B" w:rsidP="00793A2B"/>
    <w:p w:rsidR="00793A2B" w:rsidRDefault="00793A2B" w:rsidP="00793A2B"/>
    <w:p w:rsidR="00793A2B" w:rsidRDefault="00793A2B" w:rsidP="00793A2B"/>
    <w:p w:rsidR="00793A2B" w:rsidRDefault="00793A2B" w:rsidP="00793A2B"/>
    <w:p w:rsidR="00793A2B" w:rsidRDefault="00793A2B" w:rsidP="00793A2B"/>
    <w:p w:rsidR="00793A2B" w:rsidRDefault="00793A2B" w:rsidP="00793A2B"/>
    <w:p w:rsidR="00793A2B" w:rsidRDefault="00793A2B" w:rsidP="00793A2B"/>
    <w:p w:rsidR="00793A2B" w:rsidRDefault="00793A2B" w:rsidP="00793A2B"/>
    <w:p w:rsidR="00793A2B" w:rsidRPr="006166EA" w:rsidRDefault="00793A2B" w:rsidP="00793A2B">
      <w:pPr>
        <w:pStyle w:val="Heading2"/>
      </w:pPr>
      <w:r w:rsidRPr="006166EA">
        <w:t>Non-rigid registration procedure</w:t>
      </w:r>
    </w:p>
    <w:p w:rsidR="00793A2B" w:rsidRPr="00AA1F37" w:rsidRDefault="00793A2B" w:rsidP="00793A2B">
      <w:pPr>
        <w:pStyle w:val="Newparagraph"/>
        <w:ind w:firstLine="0"/>
      </w:pPr>
      <w:r>
        <w:rPr>
          <w:noProof/>
        </w:rPr>
        <mc:AlternateContent>
          <mc:Choice Requires="wps">
            <w:drawing>
              <wp:anchor distT="0" distB="0" distL="114300" distR="114300" simplePos="0" relativeHeight="251660288" behindDoc="0" locked="0" layoutInCell="1" allowOverlap="1" wp14:anchorId="39DDD373" wp14:editId="0E05AC49">
                <wp:simplePos x="0" y="0"/>
                <wp:positionH relativeFrom="margin">
                  <wp:align>left</wp:align>
                </wp:positionH>
                <wp:positionV relativeFrom="paragraph">
                  <wp:posOffset>3566523</wp:posOffset>
                </wp:positionV>
                <wp:extent cx="5410200" cy="635"/>
                <wp:effectExtent l="0" t="0" r="0" b="0"/>
                <wp:wrapNone/>
                <wp:docPr id="32" name="Tekstiruutu 32"/>
                <wp:cNvGraphicFramePr/>
                <a:graphic xmlns:a="http://schemas.openxmlformats.org/drawingml/2006/main">
                  <a:graphicData uri="http://schemas.microsoft.com/office/word/2010/wordprocessingShape">
                    <wps:wsp>
                      <wps:cNvSpPr txBox="1"/>
                      <wps:spPr>
                        <a:xfrm>
                          <a:off x="0" y="0"/>
                          <a:ext cx="5410200" cy="635"/>
                        </a:xfrm>
                        <a:prstGeom prst="rect">
                          <a:avLst/>
                        </a:prstGeom>
                        <a:solidFill>
                          <a:prstClr val="white"/>
                        </a:solidFill>
                        <a:ln>
                          <a:noFill/>
                        </a:ln>
                      </wps:spPr>
                      <wps:txbx>
                        <w:txbxContent>
                          <w:p w:rsidR="00793A2B" w:rsidRPr="00BF4041" w:rsidRDefault="00793A2B" w:rsidP="00793A2B">
                            <w:pPr>
                              <w:pStyle w:val="Caption"/>
                              <w:rPr>
                                <w:noProof/>
                              </w:rPr>
                            </w:pPr>
                            <w:bookmarkStart w:id="6" w:name="_Ref473753827"/>
                            <w:r>
                              <w:t>Figure S</w:t>
                            </w:r>
                            <w:r>
                              <w:fldChar w:fldCharType="begin"/>
                            </w:r>
                            <w:r w:rsidRPr="007774E0">
                              <w:instrText xml:space="preserve"> SEQ S \* ARABIC </w:instrText>
                            </w:r>
                            <w:r>
                              <w:fldChar w:fldCharType="separate"/>
                            </w:r>
                            <w:r>
                              <w:rPr>
                                <w:noProof/>
                              </w:rPr>
                              <w:t>2</w:t>
                            </w:r>
                            <w:r>
                              <w:fldChar w:fldCharType="end"/>
                            </w:r>
                            <w:bookmarkEnd w:id="6"/>
                            <w:r>
                              <w:t>:</w:t>
                            </w:r>
                            <w:r w:rsidRPr="00481BB6">
                              <w:t xml:space="preserve"> CT image registration to mDIXON inphase MR-image. Top from left to right: Original CT and inphase mDIXON images and their fusion showing skin outline and bladder differences. Bottom from left to right: CT and inphase fusion after deformable </w:t>
                            </w:r>
                            <w:r>
                              <w:t>image registration and two illustrations showing the locations of largest deformations.</w:t>
                            </w:r>
                            <w:r w:rsidRPr="00EC750A">
                              <w:t xml:space="preserve"> (CT: computed tomography; MR: magnetic resonance).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39DDD373" id="_x0000_t202" coordsize="21600,21600" o:spt="202" path="m,l,21600r21600,l21600,xe">
                <v:stroke joinstyle="miter"/>
                <v:path gradientshapeok="t" o:connecttype="rect"/>
              </v:shapetype>
              <v:shape id="Tekstiruutu 32" o:spid="_x0000_s1026" type="#_x0000_t202" style="position:absolute;margin-left:0;margin-top:280.85pt;width:426pt;height:.05pt;z-index:25166028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" stroked="f">
                <v:textbox style="mso-fit-shape-to-text:t" inset="0,0,0,0">
                  <w:txbxContent>
                    <w:p w:rsidR="00793A2B" w:rsidRPr="00BF4041" w:rsidRDefault="00793A2B" w:rsidP="00793A2B">
                      <w:pPr>
                        <w:pStyle w:val="Kuvaotsikko"/>
                        <w:rPr>
                          <w:noProof/>
                        </w:rPr>
                      </w:pPr>
                      <w:bookmarkStart w:id="6" w:name="_Ref473753827"/>
                      <w:r>
                        <w:t>Figure S</w:t>
                      </w:r>
                      <w:r>
                        <w:fldChar w:fldCharType="begin"/>
                      </w:r>
                      <w:r w:rsidRPr="007774E0">
                        <w:instrText xml:space="preserve"> SEQ S \* ARABIC </w:instrText>
                      </w:r>
                      <w:r>
                        <w:fldChar w:fldCharType="separate"/>
                      </w:r>
                      <w:r>
                        <w:rPr>
                          <w:noProof/>
                        </w:rPr>
                        <w:t>2</w:t>
                      </w:r>
                      <w:r>
                        <w:fldChar w:fldCharType="end"/>
                      </w:r>
                      <w:bookmarkEnd w:id="6"/>
                      <w:r>
                        <w:t>:</w:t>
                      </w:r>
                      <w:r w:rsidRPr="00481BB6">
                        <w:t xml:space="preserve"> CT image registration to mDIXON inphase MR-image. Top from left to right: Original CT and inphase mDIXON images and their fusion showing skin outline and bladder differences. Bottom from left to right: CT and inphase fusion after deformable </w:t>
                      </w:r>
                      <w:r>
                        <w:t>image registration and two illustrations showing the locations of largest deformations.</w:t>
                      </w:r>
                      <w:r w:rsidRPr="00EC750A">
                        <w:t xml:space="preserve"> (CT: computed tomography; MR: magnetic resonance).</w:t>
                      </w:r>
                    </w:p>
                  </w:txbxContent>
                </v:textbox>
                <w10:wrap anchorx="margin"/>
              </v:shape>
            </w:pict>
          </mc:Fallback>
        </mc:AlternateContent>
      </w:r>
      <w:r>
        <w:rPr>
          <w:noProof/>
        </w:rPr>
        <mc:AlternateContent>
          <mc:Choice Requires="wps">
            <w:drawing>
              <wp:anchor distT="0" distB="0" distL="114300" distR="114300" simplePos="0" relativeHeight="251659264" behindDoc="0" locked="0" layoutInCell="1" allowOverlap="1" wp14:anchorId="0AAF2744" wp14:editId="7C821EC3">
                <wp:simplePos x="0" y="0"/>
                <wp:positionH relativeFrom="column">
                  <wp:posOffset>-13335</wp:posOffset>
                </wp:positionH>
                <wp:positionV relativeFrom="paragraph">
                  <wp:posOffset>3607435</wp:posOffset>
                </wp:positionV>
                <wp:extent cx="5857875" cy="635"/>
                <wp:effectExtent l="0" t="0" r="9525" b="0"/>
                <wp:wrapNone/>
                <wp:docPr id="33" name="Tekstiruutu 33"/>
                <wp:cNvGraphicFramePr/>
                <a:graphic xmlns:a="http://schemas.openxmlformats.org/drawingml/2006/main">
                  <a:graphicData uri="http://schemas.microsoft.com/office/word/2010/wordprocessingShape">
                    <wps:wsp>
                      <wps:cNvSpPr txBox="1"/>
                      <wps:spPr>
                        <a:xfrm>
                          <a:off x="0" y="0"/>
                          <a:ext cx="5857875" cy="635"/>
                        </a:xfrm>
                        <a:prstGeom prst="rect">
                          <a:avLst/>
                        </a:prstGeom>
                        <a:solidFill>
                          <a:prstClr val="white"/>
                        </a:solidFill>
                        <a:ln>
                          <a:noFill/>
                        </a:ln>
                      </wps:spPr>
                      <wps:txbx>
                        <w:txbxContent>
                          <w:p w:rsidR="00793A2B" w:rsidRPr="00F10BBE" w:rsidRDefault="00793A2B" w:rsidP="00793A2B">
                            <w:pPr>
                              <w:pStyle w:val="Caption"/>
                              <w:rPr>
                                <w:noProof/>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AAF2744" id="Tekstiruutu 33" o:spid="_x0000_s1027" type="#_x0000_t202" style="position:absolute;margin-left:-1.05pt;margin-top:284.05pt;width:461.25pt;height:.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" stroked="f">
                <v:textbox style="mso-fit-shape-to-text:t" inset="0,0,0,0">
                  <w:txbxContent>
                    <w:p w:rsidR="00793A2B" w:rsidRPr="00F10BBE" w:rsidRDefault="00793A2B" w:rsidP="00793A2B">
                      <w:pPr>
                        <w:pStyle w:val="Kuvaotsikko"/>
                        <w:rPr>
                          <w:noProof/>
                        </w:rPr>
                      </w:pPr>
                    </w:p>
                  </w:txbxContent>
                </v:textbox>
              </v:shape>
            </w:pict>
          </mc:Fallback>
        </mc:AlternateContent>
      </w:r>
      <w:r>
        <w:rPr>
          <w:noProof/>
        </w:rPr>
        <w:drawing>
          <wp:inline distT="0" distB="0" distL="0" distR="0" wp14:anchorId="26E30E7C" wp14:editId="6FAF7765">
            <wp:extent cx="5388610" cy="3450590"/>
            <wp:effectExtent l="0" t="0" r="2540" b="0"/>
            <wp:docPr id="6" name="Kuva 6" descr="D:\Cloud\ownCloud\Philips\WIP\TYKS\TYKS_MRCAT_general pelvis_study\Acta_manuscript\images\Final images\Figure S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loud\ownCloud\Philips\WIP\TYKS\TYKS_MRCAT_general pelvis_study\Acta_manuscript\images\Final images\Figure S2.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88610" cy="3450590"/>
                    </a:xfrm>
                    <a:prstGeom prst="rect">
                      <a:avLst/>
                    </a:prstGeom>
                    <a:noFill/>
                    <a:ln>
                      <a:noFill/>
                    </a:ln>
                  </pic:spPr>
                </pic:pic>
              </a:graphicData>
            </a:graphic>
          </wp:inline>
        </w:drawing>
      </w:r>
    </w:p>
    <w:p w:rsidR="00167ED6" w:rsidRDefault="00167ED6"/>
    <w:p w:rsidR="00167ED6" w:rsidRPr="00167ED6" w:rsidRDefault="00167ED6" w:rsidP="00167ED6"/>
    <w:p w:rsidR="00167ED6" w:rsidRDefault="00167ED6" w:rsidP="00167ED6"/>
    <w:p w:rsidR="00167ED6" w:rsidRPr="00167ED6" w:rsidRDefault="00167ED6" w:rsidP="00167ED6">
      <w:pPr>
        <w:widowControl w:val="0"/>
        <w:autoSpaceDE w:val="0"/>
        <w:autoSpaceDN w:val="0"/>
        <w:adjustRightInd w:val="0"/>
        <w:ind w:left="640" w:hanging="640"/>
        <w:rPr>
          <w:noProof/>
        </w:rPr>
      </w:pPr>
      <w:r>
        <w:fldChar w:fldCharType="begin" w:fldLock="1"/>
      </w:r>
      <w:r>
        <w:instrText xml:space="preserve">ADDIN Mendeley Bibliography CSL_BIBLIOGRAPHY </w:instrText>
      </w:r>
      <w:r>
        <w:fldChar w:fldCharType="separate"/>
      </w:r>
      <w:r w:rsidRPr="00167ED6">
        <w:rPr>
          <w:noProof/>
        </w:rPr>
        <w:t>[1]</w:t>
      </w:r>
      <w:r w:rsidRPr="00167ED6">
        <w:rPr>
          <w:noProof/>
        </w:rPr>
        <w:tab/>
        <w:t>Ecabert O, Peters J, Schramm H, Lorenz C, Von Berg J, Walker MJ, et al. Automatic model-based segmentation of the heart in CT images. IEEE Trans Med Imaging 2008;27:1189–202. doi:10.1109/TMI.2008.918330.</w:t>
      </w:r>
    </w:p>
    <w:p w:rsidR="00A52F20" w:rsidRPr="00167ED6" w:rsidRDefault="00167ED6" w:rsidP="00167ED6">
      <w:r>
        <w:fldChar w:fldCharType="end"/>
      </w:r>
    </w:p>
    <w:sectPr w:rsidR="00A52F20" w:rsidRPr="00167ED6" w:rsidSect="00074B81">
      <w:footerReference w:type="default" r:id="rId8"/>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196E" w:rsidRDefault="003D196E">
      <w:pPr>
        <w:spacing w:line="240" w:lineRule="auto"/>
      </w:pPr>
      <w:r>
        <w:separator/>
      </w:r>
    </w:p>
  </w:endnote>
  <w:endnote w:type="continuationSeparator" w:id="0">
    <w:p w:rsidR="003D196E" w:rsidRDefault="003D19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9169219"/>
      <w:docPartObj>
        <w:docPartGallery w:val="Page Numbers (Bottom of Page)"/>
        <w:docPartUnique/>
      </w:docPartObj>
    </w:sdtPr>
    <w:sdtEndPr/>
    <w:sdtContent>
      <w:p w:rsidR="00FC3540" w:rsidRDefault="003D196E">
        <w:pPr>
          <w:pStyle w:val="Footer"/>
          <w:jc w:val="center"/>
        </w:pPr>
      </w:p>
      <w:p w:rsidR="00FC3540" w:rsidRDefault="00793A2B">
        <w:pPr>
          <w:pStyle w:val="Footer"/>
          <w:jc w:val="center"/>
        </w:pPr>
        <w:r>
          <w:fldChar w:fldCharType="begin"/>
        </w:r>
        <w:r>
          <w:instrText>PAGE   \* MERGEFORMAT</w:instrText>
        </w:r>
        <w:r>
          <w:fldChar w:fldCharType="separate"/>
        </w:r>
        <w:r w:rsidR="003D196E" w:rsidRPr="003D196E">
          <w:rPr>
            <w:noProof/>
            <w:lang w:val="fi-FI"/>
          </w:rPr>
          <w:t>1</w:t>
        </w:r>
        <w:r>
          <w:fldChar w:fldCharType="end"/>
        </w:r>
      </w:p>
    </w:sdtContent>
  </w:sdt>
  <w:p w:rsidR="00FC3540" w:rsidRDefault="003D1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196E" w:rsidRDefault="003D196E">
      <w:pPr>
        <w:spacing w:line="240" w:lineRule="auto"/>
      </w:pPr>
      <w:r>
        <w:separator/>
      </w:r>
    </w:p>
  </w:footnote>
  <w:footnote w:type="continuationSeparator" w:id="0">
    <w:p w:rsidR="003D196E" w:rsidRDefault="003D196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B3C"/>
    <w:rsid w:val="00167ED6"/>
    <w:rsid w:val="00173B3C"/>
    <w:rsid w:val="003D196E"/>
    <w:rsid w:val="00793A2B"/>
    <w:rsid w:val="00A52F20"/>
    <w:rsid w:val="00D751C6"/>
    <w:rsid w:val="00DF4FA7"/>
    <w:rsid w:val="00E24D46"/>
    <w:rsid w:val="00E61D5D"/>
    <w:rsid w:val="00F00CD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62F14-02D9-4792-B03B-D604623D7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793A2B"/>
    <w:pPr>
      <w:spacing w:after="0" w:line="48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793A2B"/>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Normal"/>
    <w:link w:val="Heading2Char"/>
    <w:qFormat/>
    <w:rsid w:val="00793A2B"/>
    <w:pPr>
      <w:keepNext/>
      <w:spacing w:before="360" w:after="60" w:line="360" w:lineRule="auto"/>
      <w:ind w:right="567"/>
      <w:contextualSpacing/>
      <w:outlineLvl w:val="1"/>
    </w:pPr>
    <w:rPr>
      <w:rFonts w:cs="Arial"/>
      <w:b/>
      <w:bCs/>
      <w:i/>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93A2B"/>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rsid w:val="00793A2B"/>
    <w:rPr>
      <w:rFonts w:ascii="Times New Roman" w:eastAsia="Times New Roman" w:hAnsi="Times New Roman" w:cs="Arial"/>
      <w:b/>
      <w:bCs/>
      <w:i/>
      <w:iCs/>
      <w:sz w:val="24"/>
      <w:szCs w:val="28"/>
      <w:lang w:val="en-GB" w:eastAsia="en-GB"/>
    </w:rPr>
  </w:style>
  <w:style w:type="paragraph" w:customStyle="1" w:styleId="Tabletitle">
    <w:name w:val="Table title"/>
    <w:basedOn w:val="Normal"/>
    <w:next w:val="Normal"/>
    <w:qFormat/>
    <w:rsid w:val="00793A2B"/>
    <w:pPr>
      <w:spacing w:before="240" w:line="360" w:lineRule="auto"/>
    </w:pPr>
  </w:style>
  <w:style w:type="paragraph" w:customStyle="1" w:styleId="Newparagraph">
    <w:name w:val="New paragraph"/>
    <w:basedOn w:val="Normal"/>
    <w:qFormat/>
    <w:rsid w:val="00793A2B"/>
    <w:pPr>
      <w:ind w:firstLine="720"/>
    </w:pPr>
  </w:style>
  <w:style w:type="paragraph" w:styleId="Footer">
    <w:name w:val="footer"/>
    <w:basedOn w:val="Normal"/>
    <w:link w:val="FooterChar"/>
    <w:uiPriority w:val="99"/>
    <w:rsid w:val="00793A2B"/>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793A2B"/>
    <w:rPr>
      <w:rFonts w:ascii="Times New Roman" w:eastAsia="Times New Roman" w:hAnsi="Times New Roman" w:cs="Times New Roman"/>
      <w:sz w:val="24"/>
      <w:szCs w:val="24"/>
      <w:lang w:val="en-GB" w:eastAsia="en-GB"/>
    </w:rPr>
  </w:style>
  <w:style w:type="paragraph" w:styleId="Caption">
    <w:name w:val="caption"/>
    <w:basedOn w:val="Normal"/>
    <w:next w:val="Normal"/>
    <w:link w:val="CaptionChar"/>
    <w:uiPriority w:val="35"/>
    <w:unhideWhenUsed/>
    <w:qFormat/>
    <w:rsid w:val="00793A2B"/>
    <w:pPr>
      <w:spacing w:after="200" w:line="240" w:lineRule="auto"/>
    </w:pPr>
    <w:rPr>
      <w:i/>
      <w:iCs/>
      <w:color w:val="44546A" w:themeColor="text2"/>
      <w:sz w:val="18"/>
      <w:szCs w:val="18"/>
    </w:rPr>
  </w:style>
  <w:style w:type="character" w:customStyle="1" w:styleId="CaptionChar">
    <w:name w:val="Caption Char"/>
    <w:link w:val="Caption"/>
    <w:uiPriority w:val="35"/>
    <w:rsid w:val="00793A2B"/>
    <w:rPr>
      <w:rFonts w:ascii="Times New Roman" w:eastAsia="Times New Roman" w:hAnsi="Times New Roman" w:cs="Times New Roman"/>
      <w:i/>
      <w:iCs/>
      <w:color w:val="44546A" w:themeColor="text2"/>
      <w:sz w:val="18"/>
      <w:szCs w:val="18"/>
      <w:lang w:val="en-GB" w:eastAsia="en-GB"/>
    </w:rPr>
  </w:style>
  <w:style w:type="table" w:styleId="TableGrid">
    <w:name w:val="Table Grid"/>
    <w:basedOn w:val="TableNormal"/>
    <w:uiPriority w:val="59"/>
    <w:rsid w:val="00793A2B"/>
    <w:pPr>
      <w:spacing w:after="0" w:line="240" w:lineRule="auto"/>
    </w:pPr>
    <w:rPr>
      <w:rFonts w:ascii="Calibri" w:eastAsia="Calibri" w:hAnsi="Calibri"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5800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Reko Kemppainen</dc:creator>
  <cp:keywords/>
  <dc:description/>
  <cp:lastModifiedBy>Phipps, Joel</cp:lastModifiedBy>
  <cp:revision>2</cp:revision>
  <dcterms:created xsi:type="dcterms:W3CDTF">2017-02-23T10:16:00Z</dcterms:created>
  <dcterms:modified xsi:type="dcterms:W3CDTF">2017-02-23T10:16:00Z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33958472-3e6b-33bf-acfa-1914f280885a</vt:lpwstr>
  </property>
  <property fmtid="{D5CDD505-2E9C-101B-9397-08002B2CF9AE}" pid="4" name="Mendeley Citation Style_1">
    <vt:lpwstr>http://www.zotero.org/styles/elsevier-vancouver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http://www.zotero.org/styles/elsevier-vancouver</vt:lpwstr>
  </property>
  <property fmtid="{D5CDD505-2E9C-101B-9397-08002B2CF9AE}" pid="14" name="Mendeley Recent Style Name 4_1">
    <vt:lpwstr>Elsevier Vancouver</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(author-date)</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