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4FD539" w14:textId="77777777" w:rsidR="00590A6E" w:rsidRPr="008E32DF" w:rsidRDefault="00590A6E" w:rsidP="008E32DF">
      <w:pPr>
        <w:spacing w:line="276" w:lineRule="auto"/>
        <w:jc w:val="center"/>
        <w:rPr>
          <w:rFonts w:ascii="Calibri Light" w:hAnsi="Calibri Light" w:cs="Times New Roman"/>
          <w:b/>
          <w:sz w:val="28"/>
          <w:szCs w:val="28"/>
          <w:lang w:val="en-US"/>
        </w:rPr>
      </w:pPr>
    </w:p>
    <w:p w14:paraId="722CE833" w14:textId="3D0C4015" w:rsidR="00801CCD" w:rsidRPr="003D0C9E" w:rsidRDefault="003D0C9E" w:rsidP="008E32DF">
      <w:pPr>
        <w:spacing w:line="276" w:lineRule="auto"/>
        <w:jc w:val="center"/>
        <w:rPr>
          <w:rFonts w:ascii="Calibri Light" w:hAnsi="Calibri Light" w:cs="Times New Roman"/>
          <w:b/>
          <w:sz w:val="32"/>
          <w:szCs w:val="28"/>
        </w:rPr>
      </w:pPr>
      <w:r w:rsidRPr="003D0C9E">
        <w:rPr>
          <w:rFonts w:ascii="Calibri Light" w:hAnsi="Calibri Light" w:cs="Times New Roman"/>
          <w:b/>
          <w:sz w:val="32"/>
          <w:szCs w:val="28"/>
        </w:rPr>
        <w:t>SUPPLEMENTARY MATERIALS</w:t>
      </w:r>
    </w:p>
    <w:p w14:paraId="2C33DB98" w14:textId="5C7C32CB" w:rsidR="003D0C9E" w:rsidRDefault="003D0C9E">
      <w:pPr>
        <w:rPr>
          <w:rFonts w:ascii="Calibri Light" w:hAnsi="Calibri Light" w:cs="Times New Roman"/>
          <w:b/>
          <w:sz w:val="28"/>
          <w:szCs w:val="28"/>
        </w:rPr>
      </w:pPr>
      <w:r>
        <w:rPr>
          <w:rFonts w:ascii="Calibri Light" w:hAnsi="Calibri Light" w:cs="Times New Roman"/>
          <w:b/>
          <w:sz w:val="28"/>
          <w:szCs w:val="28"/>
        </w:rPr>
        <w:br w:type="page"/>
      </w:r>
    </w:p>
    <w:p w14:paraId="23B56C67" w14:textId="77777777" w:rsidR="003D0C9E" w:rsidRPr="00A951F3" w:rsidRDefault="003D0C9E" w:rsidP="00A951F3">
      <w:pPr>
        <w:spacing w:line="480" w:lineRule="auto"/>
        <w:jc w:val="both"/>
        <w:rPr>
          <w:rFonts w:ascii="Calibri Light" w:hAnsi="Calibri Light" w:cs="Times New Roman"/>
          <w:b/>
        </w:rPr>
      </w:pPr>
    </w:p>
    <w:p w14:paraId="1235F7CF" w14:textId="79930FA7" w:rsidR="003D0C9E" w:rsidRPr="00743C8D" w:rsidRDefault="006336EB" w:rsidP="00A951F3">
      <w:pPr>
        <w:spacing w:line="480" w:lineRule="auto"/>
        <w:jc w:val="both"/>
        <w:rPr>
          <w:rFonts w:ascii="Calibri Light" w:hAnsi="Calibri Light" w:cs="Times New Roman"/>
          <w:b/>
          <w:color w:val="00B050"/>
        </w:rPr>
      </w:pPr>
      <w:r w:rsidRPr="00743C8D">
        <w:rPr>
          <w:rFonts w:ascii="Calibri Light" w:hAnsi="Calibri Light" w:cs="Times New Roman"/>
          <w:b/>
          <w:color w:val="00B050"/>
        </w:rPr>
        <w:t>Intens</w:t>
      </w:r>
      <w:r w:rsidR="00A951F3" w:rsidRPr="00743C8D">
        <w:rPr>
          <w:rFonts w:ascii="Calibri Light" w:hAnsi="Calibri Light" w:cs="Times New Roman"/>
          <w:b/>
          <w:color w:val="00B050"/>
        </w:rPr>
        <w:t>ity Modulated Radiation T</w:t>
      </w:r>
      <w:r w:rsidRPr="00743C8D">
        <w:rPr>
          <w:rFonts w:ascii="Calibri Light" w:hAnsi="Calibri Light" w:cs="Times New Roman"/>
          <w:b/>
          <w:color w:val="00B050"/>
        </w:rPr>
        <w:t xml:space="preserve">herapy </w:t>
      </w:r>
      <w:r w:rsidR="00A951F3" w:rsidRPr="00743C8D">
        <w:rPr>
          <w:rFonts w:ascii="Calibri Light" w:hAnsi="Calibri Light" w:cs="Times New Roman"/>
          <w:b/>
          <w:color w:val="00B050"/>
        </w:rPr>
        <w:t xml:space="preserve">(IMRT) </w:t>
      </w:r>
      <w:r w:rsidRPr="00743C8D">
        <w:rPr>
          <w:rFonts w:ascii="Calibri Light" w:hAnsi="Calibri Light" w:cs="Times New Roman"/>
          <w:b/>
          <w:color w:val="00B050"/>
        </w:rPr>
        <w:t>technique description</w:t>
      </w:r>
    </w:p>
    <w:p w14:paraId="26337AAC" w14:textId="112A5F3B" w:rsidR="00D23C89" w:rsidRDefault="00FF6849" w:rsidP="00A951F3">
      <w:pPr>
        <w:spacing w:line="480" w:lineRule="auto"/>
        <w:jc w:val="both"/>
        <w:rPr>
          <w:rFonts w:ascii="Calibri Light" w:hAnsi="Calibri Light" w:cs="Times New Roman"/>
          <w:color w:val="00B050"/>
          <w:lang w:val="en-US"/>
        </w:rPr>
      </w:pPr>
      <w:r>
        <w:rPr>
          <w:rFonts w:ascii="Calibri Light" w:hAnsi="Calibri Light" w:cs="Times New Roman"/>
          <w:color w:val="00B050"/>
          <w:lang w:val="en-US"/>
        </w:rPr>
        <w:t>All photon plans were developed using the Pinnacle treatment planning system (Philips version 9.10). Two</w:t>
      </w:r>
      <w:r w:rsidR="00A951F3" w:rsidRPr="00743C8D">
        <w:rPr>
          <w:rFonts w:ascii="Calibri Light" w:hAnsi="Calibri Light" w:cs="Times New Roman"/>
          <w:color w:val="00B050"/>
          <w:lang w:val="en-US"/>
        </w:rPr>
        <w:t xml:space="preserve"> </w:t>
      </w:r>
      <w:r>
        <w:rPr>
          <w:rFonts w:ascii="Calibri Light" w:hAnsi="Calibri Light" w:cs="Times New Roman"/>
          <w:color w:val="00B050"/>
          <w:lang w:val="en-US"/>
        </w:rPr>
        <w:t xml:space="preserve">open </w:t>
      </w:r>
      <w:r w:rsidR="00A951F3" w:rsidRPr="00743C8D">
        <w:rPr>
          <w:rFonts w:ascii="Calibri Light" w:hAnsi="Calibri Light" w:cs="Times New Roman"/>
          <w:color w:val="00B050"/>
          <w:lang w:val="en-US"/>
        </w:rPr>
        <w:t>tangential 6 MV beams</w:t>
      </w:r>
      <w:r>
        <w:rPr>
          <w:rFonts w:ascii="Calibri Light" w:hAnsi="Calibri Light" w:cs="Times New Roman"/>
          <w:color w:val="00B050"/>
          <w:lang w:val="en-US"/>
        </w:rPr>
        <w:t xml:space="preserve"> were created according to PTV geometry and included a </w:t>
      </w:r>
      <w:r>
        <w:rPr>
          <w:rFonts w:ascii="Century Gothic" w:hAnsi="Century Gothic" w:cs="Times New Roman"/>
          <w:color w:val="00B050"/>
          <w:lang w:val="en-US"/>
        </w:rPr>
        <w:t>~</w:t>
      </w:r>
      <w:r>
        <w:rPr>
          <w:rFonts w:ascii="Calibri Light" w:hAnsi="Calibri Light" w:cs="Times New Roman"/>
          <w:color w:val="00B050"/>
          <w:lang w:val="en-US"/>
        </w:rPr>
        <w:t xml:space="preserve"> 2 cm beyond the patient surface</w:t>
      </w:r>
      <w:r w:rsidR="00D23C89">
        <w:rPr>
          <w:rFonts w:ascii="Calibri Light" w:hAnsi="Calibri Light" w:cs="Times New Roman"/>
          <w:color w:val="00B050"/>
          <w:lang w:val="en-US"/>
        </w:rPr>
        <w:t>. T</w:t>
      </w:r>
      <w:r w:rsidR="00A951F3" w:rsidRPr="00743C8D">
        <w:rPr>
          <w:rFonts w:ascii="Calibri Light" w:hAnsi="Calibri Light" w:cs="Times New Roman"/>
          <w:color w:val="00B050"/>
          <w:lang w:val="en-US"/>
        </w:rPr>
        <w:t xml:space="preserve">he direct machine parameter optimization (DMPO) technique </w:t>
      </w:r>
      <w:r>
        <w:rPr>
          <w:rFonts w:ascii="Calibri Light" w:hAnsi="Calibri Light" w:cs="Times New Roman"/>
          <w:noProof/>
          <w:color w:val="00B050"/>
          <w:lang w:val="en-US"/>
        </w:rPr>
        <w:t xml:space="preserve">was used to generate IMRT plans as described by van Asselen et al </w:t>
      </w:r>
      <w:r w:rsidRPr="00743C8D">
        <w:rPr>
          <w:rFonts w:ascii="Calibri Light" w:hAnsi="Calibri Light" w:cs="Times New Roman"/>
          <w:noProof/>
          <w:color w:val="00B050"/>
          <w:lang w:val="en-US"/>
        </w:rPr>
        <w:t>[16]</w:t>
      </w:r>
      <w:r w:rsidR="00B322A4">
        <w:rPr>
          <w:rFonts w:ascii="Calibri Light" w:hAnsi="Calibri Light" w:cs="Times New Roman"/>
          <w:color w:val="00B050"/>
          <w:lang w:val="en-US"/>
        </w:rPr>
        <w:t>. In DMPO-IMRT the delivery parameters (number of segments, shapes and weights) are directly considered during the optimization process. A maximum of 12 segments, minimal segment size of 9 cm</w:t>
      </w:r>
      <w:r w:rsidR="00B322A4" w:rsidRPr="00B322A4">
        <w:rPr>
          <w:rFonts w:ascii="Calibri Light" w:hAnsi="Calibri Light" w:cs="Times New Roman"/>
          <w:color w:val="00B050"/>
          <w:vertAlign w:val="superscript"/>
          <w:lang w:val="en-US"/>
        </w:rPr>
        <w:t>2</w:t>
      </w:r>
      <w:r w:rsidR="00B322A4">
        <w:rPr>
          <w:rFonts w:ascii="Calibri Light" w:hAnsi="Calibri Light" w:cs="Times New Roman"/>
          <w:color w:val="00B050"/>
          <w:lang w:val="en-US"/>
        </w:rPr>
        <w:t xml:space="preserve"> and minimal monitor units of 5 were specified. A minimum (49 Gy) maximum (52 Gy) and uniform (50 Gy) dose objective were assigned to the PTV. All IMRT plans were optimized during </w:t>
      </w:r>
      <w:r w:rsidR="0000766B">
        <w:rPr>
          <w:rFonts w:ascii="Calibri Light" w:hAnsi="Calibri Light" w:cs="Times New Roman"/>
          <w:color w:val="00B050"/>
          <w:lang w:val="en-US"/>
        </w:rPr>
        <w:t xml:space="preserve">40 iterations with </w:t>
      </w:r>
      <w:r w:rsidR="00EE7EF1">
        <w:rPr>
          <w:rFonts w:ascii="Calibri Light" w:hAnsi="Calibri Light" w:cs="Times New Roman"/>
          <w:color w:val="00B050"/>
          <w:lang w:val="en-US"/>
        </w:rPr>
        <w:t xml:space="preserve">dose calculation </w:t>
      </w:r>
      <w:r w:rsidR="0000766B">
        <w:rPr>
          <w:rFonts w:ascii="Calibri Light" w:hAnsi="Calibri Light" w:cs="Times New Roman"/>
          <w:color w:val="00B050"/>
          <w:lang w:val="en-US"/>
        </w:rPr>
        <w:t>iterations set to 10. Dose calculation was performed using Collapsed Cone Convolution algorithm.</w:t>
      </w:r>
    </w:p>
    <w:p w14:paraId="305B1088" w14:textId="3C46F6DF" w:rsidR="006336EB" w:rsidRPr="00743C8D" w:rsidRDefault="0000766B" w:rsidP="00A951F3">
      <w:pPr>
        <w:spacing w:line="480" w:lineRule="auto"/>
        <w:jc w:val="both"/>
        <w:rPr>
          <w:rFonts w:ascii="Calibri Light" w:hAnsi="Calibri Light" w:cs="Times New Roman"/>
          <w:color w:val="00B050"/>
          <w:lang w:val="en-US"/>
        </w:rPr>
      </w:pPr>
      <w:r>
        <w:rPr>
          <w:rFonts w:ascii="Calibri Light" w:hAnsi="Calibri Light" w:cs="Times New Roman"/>
          <w:color w:val="00B050"/>
          <w:lang w:val="en-US"/>
        </w:rPr>
        <w:t>Whe</w:t>
      </w:r>
      <w:r w:rsidR="00D66723">
        <w:rPr>
          <w:rFonts w:ascii="Calibri Light" w:hAnsi="Calibri Light" w:cs="Times New Roman"/>
          <w:color w:val="00B050"/>
          <w:lang w:val="en-US"/>
        </w:rPr>
        <w:t>n</w:t>
      </w:r>
      <w:r w:rsidRPr="00743C8D">
        <w:rPr>
          <w:rFonts w:ascii="Calibri Light" w:hAnsi="Calibri Light" w:cs="Times New Roman"/>
          <w:color w:val="00B050"/>
          <w:lang w:val="en-US"/>
        </w:rPr>
        <w:t xml:space="preserve"> constraint criteria </w:t>
      </w:r>
      <w:r>
        <w:rPr>
          <w:rFonts w:ascii="Calibri Light" w:hAnsi="Calibri Light" w:cs="Times New Roman"/>
          <w:color w:val="00B050"/>
          <w:lang w:val="en-US"/>
        </w:rPr>
        <w:t xml:space="preserve">reported in Supplementary Table S1 were not satisfied by two tangential IMRT technique, a 4 field technique </w:t>
      </w:r>
      <w:r w:rsidR="00D66723">
        <w:rPr>
          <w:rFonts w:ascii="Calibri Light" w:hAnsi="Calibri Light" w:cs="Times New Roman"/>
          <w:color w:val="00B050"/>
          <w:lang w:val="en-US"/>
        </w:rPr>
        <w:t xml:space="preserve">was applied </w:t>
      </w:r>
      <w:r w:rsidR="00D66723" w:rsidRPr="00743C8D">
        <w:rPr>
          <w:rFonts w:ascii="Calibri Light" w:hAnsi="Calibri Light" w:cs="Times New Roman"/>
          <w:noProof/>
          <w:color w:val="00B050"/>
          <w:lang w:val="en-US"/>
        </w:rPr>
        <w:t>[17]</w:t>
      </w:r>
      <w:r w:rsidR="00D66723">
        <w:rPr>
          <w:rFonts w:ascii="Calibri Light" w:hAnsi="Calibri Light" w:cs="Times New Roman"/>
          <w:noProof/>
          <w:color w:val="00B050"/>
          <w:lang w:val="en-US"/>
        </w:rPr>
        <w:t xml:space="preserve">. The </w:t>
      </w:r>
      <w:r w:rsidR="00D66723">
        <w:rPr>
          <w:rFonts w:ascii="Calibri Light" w:hAnsi="Calibri Light" w:cs="Times New Roman"/>
          <w:color w:val="00B050"/>
          <w:lang w:val="en-US"/>
        </w:rPr>
        <w:t>4 field technique consist of two tangential fields and t</w:t>
      </w:r>
      <w:r w:rsidR="00A951F3" w:rsidRPr="00743C8D">
        <w:rPr>
          <w:rFonts w:ascii="Calibri Light" w:hAnsi="Calibri Light" w:cs="Times New Roman"/>
          <w:color w:val="00B050"/>
          <w:lang w:val="en-US"/>
        </w:rPr>
        <w:t xml:space="preserve">wo additional anterior-oblique IMRT beams </w:t>
      </w:r>
      <w:r w:rsidR="00D66723">
        <w:rPr>
          <w:rFonts w:ascii="Calibri Light" w:hAnsi="Calibri Light" w:cs="Times New Roman"/>
          <w:color w:val="00B050"/>
          <w:lang w:val="en-US"/>
        </w:rPr>
        <w:t xml:space="preserve">at a 30° angle respect to the standard tangential beams. </w:t>
      </w:r>
      <w:r w:rsidR="00E53CD0">
        <w:rPr>
          <w:rFonts w:ascii="Calibri Light" w:hAnsi="Calibri Light" w:cs="Times New Roman"/>
          <w:color w:val="00B050"/>
          <w:lang w:val="en-US"/>
        </w:rPr>
        <w:t>T</w:t>
      </w:r>
      <w:proofErr w:type="spellStart"/>
      <w:r w:rsidR="00E53CD0" w:rsidRPr="00E53CD0">
        <w:rPr>
          <w:rFonts w:ascii="Calibri Light" w:hAnsi="Calibri Light" w:cs="Times New Roman"/>
          <w:color w:val="00B050"/>
        </w:rPr>
        <w:t>ypically</w:t>
      </w:r>
      <w:proofErr w:type="spellEnd"/>
      <w:r w:rsidR="00E53CD0" w:rsidRPr="00E53CD0">
        <w:rPr>
          <w:rFonts w:ascii="Calibri Light" w:hAnsi="Calibri Light" w:cs="Times New Roman"/>
          <w:color w:val="00B050"/>
        </w:rPr>
        <w:t xml:space="preserve"> </w:t>
      </w:r>
      <w:r w:rsidR="00E53CD0" w:rsidRPr="00E53CD0">
        <w:rPr>
          <w:rFonts w:ascii="Cambria Math" w:hAnsi="Cambria Math" w:cs="Cambria Math"/>
          <w:color w:val="00B050"/>
        </w:rPr>
        <w:t>∼</w:t>
      </w:r>
      <w:r w:rsidR="00E53CD0" w:rsidRPr="00E53CD0">
        <w:rPr>
          <w:rFonts w:ascii="Calibri Light" w:hAnsi="Calibri Light" w:cs="Times New Roman"/>
          <w:color w:val="00B050"/>
        </w:rPr>
        <w:t xml:space="preserve">20% of the dose was delivered with </w:t>
      </w:r>
      <w:r w:rsidR="00E53CD0">
        <w:rPr>
          <w:rFonts w:ascii="Calibri Light" w:hAnsi="Calibri Light" w:cs="Times New Roman"/>
          <w:color w:val="00B050"/>
        </w:rPr>
        <w:t>the</w:t>
      </w:r>
      <w:r w:rsidR="00E53CD0" w:rsidRPr="00E53CD0">
        <w:rPr>
          <w:rFonts w:ascii="Calibri Light" w:hAnsi="Calibri Light" w:cs="Times New Roman"/>
          <w:color w:val="00B050"/>
        </w:rPr>
        <w:t xml:space="preserve"> </w:t>
      </w:r>
      <w:r w:rsidR="00E53CD0" w:rsidRPr="00743C8D">
        <w:rPr>
          <w:rFonts w:ascii="Calibri Light" w:hAnsi="Calibri Light" w:cs="Times New Roman"/>
          <w:color w:val="00B050"/>
          <w:lang w:val="en-US"/>
        </w:rPr>
        <w:t>anterior-oblique beams</w:t>
      </w:r>
      <w:r w:rsidR="00E53CD0" w:rsidRPr="00E53CD0">
        <w:rPr>
          <w:rFonts w:ascii="Calibri Light" w:hAnsi="Calibri Light" w:cs="Times New Roman"/>
          <w:color w:val="00B050"/>
        </w:rPr>
        <w:t>.</w:t>
      </w:r>
    </w:p>
    <w:p w14:paraId="12D75E11" w14:textId="0D65EB42" w:rsidR="000C435D" w:rsidRPr="00A951F3" w:rsidRDefault="000C435D" w:rsidP="00A951F3">
      <w:pPr>
        <w:spacing w:line="480" w:lineRule="auto"/>
        <w:jc w:val="both"/>
        <w:rPr>
          <w:rFonts w:ascii="Calibri Light" w:hAnsi="Calibri Light" w:cs="Times New Roman"/>
          <w:b/>
        </w:rPr>
      </w:pPr>
      <w:r>
        <w:rPr>
          <w:rFonts w:ascii="Calibri Light" w:hAnsi="Calibri Light" w:cs="Times New Roman"/>
          <w:lang w:val="en-US"/>
        </w:rPr>
        <w:t>…..</w:t>
      </w:r>
    </w:p>
    <w:p w14:paraId="73F91635" w14:textId="77777777" w:rsidR="0000766B" w:rsidRDefault="003D0C9E">
      <w:pPr>
        <w:rPr>
          <w:rFonts w:ascii="Calibri Light" w:hAnsi="Calibri Light" w:cs="Times New Roman"/>
          <w:b/>
        </w:rPr>
        <w:sectPr w:rsidR="0000766B" w:rsidSect="0000766B">
          <w:footerReference w:type="default" r:id="rId9"/>
          <w:pgSz w:w="11900" w:h="16840"/>
          <w:pgMar w:top="680" w:right="1080" w:bottom="1440" w:left="993" w:header="708" w:footer="708" w:gutter="0"/>
          <w:cols w:space="708"/>
          <w:docGrid w:linePitch="360"/>
        </w:sectPr>
      </w:pPr>
      <w:r>
        <w:rPr>
          <w:rFonts w:ascii="Calibri Light" w:hAnsi="Calibri Light" w:cs="Times New Roman"/>
          <w:b/>
        </w:rPr>
        <w:br w:type="page"/>
      </w:r>
    </w:p>
    <w:p w14:paraId="3FD4E40A" w14:textId="4AAD433B" w:rsidR="003D0C9E" w:rsidRDefault="003D0C9E">
      <w:pPr>
        <w:rPr>
          <w:rFonts w:ascii="Calibri Light" w:hAnsi="Calibri Light" w:cs="Times New Roman"/>
          <w:b/>
        </w:rPr>
      </w:pPr>
    </w:p>
    <w:p w14:paraId="07D50538" w14:textId="77777777" w:rsidR="003B4529" w:rsidRDefault="003B4529" w:rsidP="002A6B04">
      <w:pPr>
        <w:spacing w:line="276" w:lineRule="auto"/>
        <w:rPr>
          <w:rFonts w:ascii="Calibri Light" w:hAnsi="Calibri Light" w:cs="Times New Roman"/>
          <w:b/>
        </w:rPr>
      </w:pPr>
    </w:p>
    <w:p w14:paraId="653D22AE" w14:textId="11640127" w:rsidR="003B4529" w:rsidRPr="008003FB" w:rsidRDefault="008E32DF" w:rsidP="003B4529">
      <w:pPr>
        <w:spacing w:line="276" w:lineRule="auto"/>
        <w:rPr>
          <w:rFonts w:ascii="Calibri Light" w:hAnsi="Calibri Light" w:cs="Times New Roman"/>
        </w:rPr>
      </w:pPr>
      <w:r w:rsidRPr="008E32DF">
        <w:rPr>
          <w:rFonts w:ascii="Calibri Light" w:hAnsi="Calibri Light" w:cs="Times New Roman"/>
          <w:b/>
        </w:rPr>
        <w:t xml:space="preserve">Supplementary </w:t>
      </w:r>
      <w:r w:rsidR="003B4529" w:rsidRPr="008E32DF">
        <w:rPr>
          <w:rFonts w:ascii="Calibri Light" w:hAnsi="Calibri Light" w:cs="Times New Roman"/>
          <w:b/>
        </w:rPr>
        <w:t xml:space="preserve">Figure </w:t>
      </w:r>
      <w:r w:rsidRPr="008E32DF">
        <w:rPr>
          <w:rFonts w:ascii="Calibri Light" w:hAnsi="Calibri Light" w:cs="Times New Roman"/>
          <w:b/>
        </w:rPr>
        <w:t>S</w:t>
      </w:r>
      <w:r w:rsidR="003B4529" w:rsidRPr="008E32DF">
        <w:rPr>
          <w:rFonts w:ascii="Calibri Light" w:hAnsi="Calibri Light" w:cs="Times New Roman"/>
          <w:b/>
        </w:rPr>
        <w:t>1</w:t>
      </w:r>
      <w:r w:rsidR="003B4529" w:rsidRPr="008003FB">
        <w:rPr>
          <w:rFonts w:ascii="Calibri Light" w:hAnsi="Calibri Light" w:cs="Times New Roman"/>
        </w:rPr>
        <w:t>: derived skin-structure</w:t>
      </w:r>
    </w:p>
    <w:p w14:paraId="75685F40" w14:textId="77777777" w:rsidR="003B4529" w:rsidRDefault="00780E39">
      <w:pPr>
        <w:rPr>
          <w:rFonts w:ascii="Calibri Light" w:hAnsi="Calibri Light" w:cs="Times New Roman"/>
          <w:b/>
        </w:rPr>
      </w:pPr>
      <w:r>
        <w:rPr>
          <w:rFonts w:ascii="Calibri Light" w:hAnsi="Calibri Light" w:cs="Times New Roman"/>
          <w:noProof/>
          <w:lang w:val="it-IT" w:eastAsia="it-IT"/>
        </w:rPr>
        <w:drawing>
          <wp:inline distT="0" distB="0" distL="0" distR="0" wp14:anchorId="267C59B4" wp14:editId="0B8A0923">
            <wp:extent cx="6515100" cy="4447701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igure_Contours_Cute3mm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4447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B4529">
        <w:rPr>
          <w:rFonts w:ascii="Calibri Light" w:hAnsi="Calibri Light" w:cs="Times New Roman"/>
          <w:b/>
        </w:rPr>
        <w:br w:type="page"/>
      </w:r>
    </w:p>
    <w:p w14:paraId="401B059F" w14:textId="77777777" w:rsidR="003B4529" w:rsidRDefault="003B4529" w:rsidP="003B4529">
      <w:pPr>
        <w:rPr>
          <w:rFonts w:ascii="Calibri Light" w:hAnsi="Calibri Light"/>
          <w:lang w:val="en-US"/>
        </w:rPr>
      </w:pPr>
      <w:r w:rsidRPr="008E32DF">
        <w:rPr>
          <w:rFonts w:ascii="Calibri Light" w:hAnsi="Calibri Light"/>
          <w:b/>
        </w:rPr>
        <w:lastRenderedPageBreak/>
        <w:t>Supplementary Table 1</w:t>
      </w:r>
      <w:r w:rsidRPr="003B4529">
        <w:rPr>
          <w:rFonts w:ascii="Calibri Light" w:hAnsi="Calibri Light"/>
          <w:lang w:val="en-US"/>
        </w:rPr>
        <w:t>. Optimization criteria according to RTOG 1005 guidelines for left-side breast cancer (prescription dose: 50 Gy in 25 fractions)</w:t>
      </w:r>
    </w:p>
    <w:p w14:paraId="4F4157F5" w14:textId="77777777" w:rsidR="008E32DF" w:rsidRPr="003B4529" w:rsidRDefault="008E32DF" w:rsidP="003B4529">
      <w:pPr>
        <w:rPr>
          <w:rFonts w:ascii="Calibri Light" w:hAnsi="Calibri Light" w:cs="Times New Roman"/>
          <w:lang w:val="en-US"/>
        </w:rPr>
      </w:pPr>
    </w:p>
    <w:tbl>
      <w:tblPr>
        <w:tblStyle w:val="Grigliatabella"/>
        <w:tblW w:w="0" w:type="auto"/>
        <w:tblInd w:w="108" w:type="dxa"/>
        <w:tblLook w:val="04A0" w:firstRow="1" w:lastRow="0" w:firstColumn="1" w:lastColumn="0" w:noHBand="0" w:noVBand="1"/>
      </w:tblPr>
      <w:tblGrid>
        <w:gridCol w:w="2774"/>
        <w:gridCol w:w="2717"/>
        <w:gridCol w:w="2685"/>
        <w:gridCol w:w="2740"/>
        <w:gridCol w:w="2834"/>
      </w:tblGrid>
      <w:tr w:rsidR="003B4529" w:rsidRPr="00FC4B95" w14:paraId="5A62B163" w14:textId="77777777" w:rsidTr="003B4529">
        <w:tc>
          <w:tcPr>
            <w:tcW w:w="2774" w:type="dxa"/>
            <w:vMerge w:val="restart"/>
          </w:tcPr>
          <w:p w14:paraId="67B389D6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</w:p>
        </w:tc>
        <w:tc>
          <w:tcPr>
            <w:tcW w:w="10976" w:type="dxa"/>
            <w:gridSpan w:val="4"/>
          </w:tcPr>
          <w:p w14:paraId="6DBBD837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  <w:t>Objective/Constraint</w:t>
            </w:r>
          </w:p>
        </w:tc>
      </w:tr>
      <w:tr w:rsidR="003B4529" w:rsidRPr="00FC4B95" w14:paraId="388E1FBF" w14:textId="77777777" w:rsidTr="003B4529">
        <w:tc>
          <w:tcPr>
            <w:tcW w:w="2774" w:type="dxa"/>
            <w:vMerge/>
          </w:tcPr>
          <w:p w14:paraId="173C031A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</w:p>
        </w:tc>
        <w:tc>
          <w:tcPr>
            <w:tcW w:w="2717" w:type="dxa"/>
          </w:tcPr>
          <w:p w14:paraId="744FB1A4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  <w:t>Goal</w:t>
            </w:r>
          </w:p>
        </w:tc>
        <w:tc>
          <w:tcPr>
            <w:tcW w:w="2685" w:type="dxa"/>
          </w:tcPr>
          <w:p w14:paraId="305EDF6F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  <w:t>Volume</w:t>
            </w:r>
          </w:p>
        </w:tc>
        <w:tc>
          <w:tcPr>
            <w:tcW w:w="5574" w:type="dxa"/>
            <w:gridSpan w:val="2"/>
          </w:tcPr>
          <w:p w14:paraId="42AE6CBB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  <w:t>Dose</w:t>
            </w:r>
          </w:p>
        </w:tc>
      </w:tr>
      <w:tr w:rsidR="003B4529" w:rsidRPr="00FC4B95" w14:paraId="596E66C4" w14:textId="77777777" w:rsidTr="003B4529">
        <w:tc>
          <w:tcPr>
            <w:tcW w:w="2774" w:type="dxa"/>
            <w:vMerge w:val="restart"/>
          </w:tcPr>
          <w:p w14:paraId="3F64A5BF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  <w:t>PTV receiving whole prescription dose</w:t>
            </w:r>
          </w:p>
        </w:tc>
        <w:tc>
          <w:tcPr>
            <w:tcW w:w="2717" w:type="dxa"/>
          </w:tcPr>
          <w:p w14:paraId="1337758B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Per protocol</w:t>
            </w:r>
          </w:p>
        </w:tc>
        <w:tc>
          <w:tcPr>
            <w:tcW w:w="2685" w:type="dxa"/>
          </w:tcPr>
          <w:p w14:paraId="51A51137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At least 95% of PTV receives</w:t>
            </w:r>
          </w:p>
        </w:tc>
        <w:tc>
          <w:tcPr>
            <w:tcW w:w="2740" w:type="dxa"/>
          </w:tcPr>
          <w:p w14:paraId="44923BE7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 xml:space="preserve">At least 95% of whole breast dose </w:t>
            </w:r>
          </w:p>
        </w:tc>
        <w:tc>
          <w:tcPr>
            <w:tcW w:w="2834" w:type="dxa"/>
          </w:tcPr>
          <w:p w14:paraId="3910ED5A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47.5 Gy</w:t>
            </w:r>
          </w:p>
        </w:tc>
      </w:tr>
      <w:tr w:rsidR="003B4529" w:rsidRPr="00FC4B95" w14:paraId="7FEC6A8D" w14:textId="77777777" w:rsidTr="003B4529">
        <w:tc>
          <w:tcPr>
            <w:tcW w:w="2774" w:type="dxa"/>
            <w:vMerge/>
          </w:tcPr>
          <w:p w14:paraId="7B695B92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</w:p>
        </w:tc>
        <w:tc>
          <w:tcPr>
            <w:tcW w:w="2717" w:type="dxa"/>
          </w:tcPr>
          <w:p w14:paraId="13EADF3C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Variation Acceptable</w:t>
            </w:r>
          </w:p>
        </w:tc>
        <w:tc>
          <w:tcPr>
            <w:tcW w:w="2685" w:type="dxa"/>
          </w:tcPr>
          <w:p w14:paraId="3482C98E" w14:textId="4FB53D6C" w:rsidR="003B4529" w:rsidRPr="00FC4B95" w:rsidRDefault="003B4529" w:rsidP="004547F0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At least 9</w:t>
            </w:r>
            <w:r w:rsidR="004547F0">
              <w:rPr>
                <w:rFonts w:ascii="Calibri Light" w:hAnsi="Calibri Light" w:cs="Times New Roman"/>
                <w:sz w:val="22"/>
                <w:szCs w:val="22"/>
                <w:lang w:val="en-US"/>
              </w:rPr>
              <w:t>0</w:t>
            </w:r>
            <w:bookmarkStart w:id="0" w:name="_GoBack"/>
            <w:bookmarkEnd w:id="0"/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% of PTV receives</w:t>
            </w:r>
          </w:p>
        </w:tc>
        <w:tc>
          <w:tcPr>
            <w:tcW w:w="2740" w:type="dxa"/>
          </w:tcPr>
          <w:p w14:paraId="187B0E60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 xml:space="preserve">At least 90% of whole breast dose </w:t>
            </w:r>
          </w:p>
        </w:tc>
        <w:tc>
          <w:tcPr>
            <w:tcW w:w="2834" w:type="dxa"/>
          </w:tcPr>
          <w:p w14:paraId="43E33EC8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45 Gy</w:t>
            </w:r>
          </w:p>
        </w:tc>
      </w:tr>
      <w:tr w:rsidR="003B4529" w:rsidRPr="00FC4B95" w14:paraId="44F6791D" w14:textId="77777777" w:rsidTr="003B4529">
        <w:tc>
          <w:tcPr>
            <w:tcW w:w="2774" w:type="dxa"/>
            <w:vMerge w:val="restart"/>
          </w:tcPr>
          <w:p w14:paraId="2BC092A5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  <w:t>PTV receiving above the whole-breast dose</w:t>
            </w:r>
          </w:p>
        </w:tc>
        <w:tc>
          <w:tcPr>
            <w:tcW w:w="2717" w:type="dxa"/>
          </w:tcPr>
          <w:p w14:paraId="15C67B51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Per Protocol</w:t>
            </w:r>
          </w:p>
        </w:tc>
        <w:tc>
          <w:tcPr>
            <w:tcW w:w="2685" w:type="dxa"/>
          </w:tcPr>
          <w:p w14:paraId="7A758ED1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 xml:space="preserve">No more than 50% of the PTV </w:t>
            </w:r>
          </w:p>
        </w:tc>
        <w:tc>
          <w:tcPr>
            <w:tcW w:w="2740" w:type="dxa"/>
          </w:tcPr>
          <w:p w14:paraId="0AF4D134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 xml:space="preserve">Exceeds 108% of whole breast dose </w:t>
            </w:r>
          </w:p>
        </w:tc>
        <w:tc>
          <w:tcPr>
            <w:tcW w:w="2834" w:type="dxa"/>
          </w:tcPr>
          <w:p w14:paraId="6D0A734E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54 Gy</w:t>
            </w:r>
          </w:p>
        </w:tc>
      </w:tr>
      <w:tr w:rsidR="003B4529" w:rsidRPr="00FC4B95" w14:paraId="546AA65A" w14:textId="77777777" w:rsidTr="003B4529">
        <w:tc>
          <w:tcPr>
            <w:tcW w:w="2774" w:type="dxa"/>
            <w:vMerge/>
          </w:tcPr>
          <w:p w14:paraId="3E911817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2717" w:type="dxa"/>
          </w:tcPr>
          <w:p w14:paraId="5F55F9ED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Variation Acceptable</w:t>
            </w:r>
          </w:p>
        </w:tc>
        <w:tc>
          <w:tcPr>
            <w:tcW w:w="2685" w:type="dxa"/>
          </w:tcPr>
          <w:p w14:paraId="0061F58F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 xml:space="preserve">No more than 50% of the PTV </w:t>
            </w:r>
          </w:p>
        </w:tc>
        <w:tc>
          <w:tcPr>
            <w:tcW w:w="2740" w:type="dxa"/>
          </w:tcPr>
          <w:p w14:paraId="4916171C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 xml:space="preserve">Exceeds 112% of whole breast dose </w:t>
            </w:r>
          </w:p>
        </w:tc>
        <w:tc>
          <w:tcPr>
            <w:tcW w:w="2834" w:type="dxa"/>
          </w:tcPr>
          <w:p w14:paraId="6F8174CC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56 Gy</w:t>
            </w:r>
          </w:p>
        </w:tc>
      </w:tr>
      <w:tr w:rsidR="003B4529" w:rsidRPr="00FC4B95" w14:paraId="3E787B0C" w14:textId="77777777" w:rsidTr="003B4529">
        <w:tc>
          <w:tcPr>
            <w:tcW w:w="2774" w:type="dxa"/>
            <w:vMerge w:val="restart"/>
          </w:tcPr>
          <w:p w14:paraId="1A7CA86F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  <w:t>PTV maximum dose</w:t>
            </w:r>
          </w:p>
        </w:tc>
        <w:tc>
          <w:tcPr>
            <w:tcW w:w="2717" w:type="dxa"/>
          </w:tcPr>
          <w:p w14:paraId="3B5666B8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Per Protocol</w:t>
            </w:r>
          </w:p>
        </w:tc>
        <w:tc>
          <w:tcPr>
            <w:tcW w:w="2685" w:type="dxa"/>
          </w:tcPr>
          <w:p w14:paraId="7CAF63C0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2740" w:type="dxa"/>
          </w:tcPr>
          <w:p w14:paraId="6F92C4D1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 xml:space="preserve">Does not exceed 115% of prescription whole breast dose </w:t>
            </w:r>
          </w:p>
        </w:tc>
        <w:tc>
          <w:tcPr>
            <w:tcW w:w="2834" w:type="dxa"/>
          </w:tcPr>
          <w:p w14:paraId="6C9580BB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57.5 Gy</w:t>
            </w:r>
          </w:p>
        </w:tc>
      </w:tr>
      <w:tr w:rsidR="003B4529" w:rsidRPr="00FC4B95" w14:paraId="672ABDC8" w14:textId="77777777" w:rsidTr="003B4529">
        <w:tc>
          <w:tcPr>
            <w:tcW w:w="2774" w:type="dxa"/>
            <w:vMerge/>
          </w:tcPr>
          <w:p w14:paraId="2F15519A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</w:p>
        </w:tc>
        <w:tc>
          <w:tcPr>
            <w:tcW w:w="2717" w:type="dxa"/>
          </w:tcPr>
          <w:p w14:paraId="5FE85D68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Variation Acceptable</w:t>
            </w:r>
          </w:p>
        </w:tc>
        <w:tc>
          <w:tcPr>
            <w:tcW w:w="2685" w:type="dxa"/>
          </w:tcPr>
          <w:p w14:paraId="70543E2A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-</w:t>
            </w:r>
          </w:p>
        </w:tc>
        <w:tc>
          <w:tcPr>
            <w:tcW w:w="2740" w:type="dxa"/>
          </w:tcPr>
          <w:p w14:paraId="6AE1B3DC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 xml:space="preserve">Does not exceed 120% of prescription whole breast dose </w:t>
            </w:r>
          </w:p>
        </w:tc>
        <w:tc>
          <w:tcPr>
            <w:tcW w:w="2834" w:type="dxa"/>
          </w:tcPr>
          <w:p w14:paraId="6FBE009F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60 Gy</w:t>
            </w:r>
          </w:p>
        </w:tc>
      </w:tr>
      <w:tr w:rsidR="003B4529" w:rsidRPr="00FC4B95" w14:paraId="6BD48AD9" w14:textId="77777777" w:rsidTr="003B4529">
        <w:tc>
          <w:tcPr>
            <w:tcW w:w="2774" w:type="dxa"/>
            <w:vMerge w:val="restart"/>
          </w:tcPr>
          <w:p w14:paraId="6DBFA2C1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  <w:t>Heart dose constraint</w:t>
            </w:r>
          </w:p>
        </w:tc>
        <w:tc>
          <w:tcPr>
            <w:tcW w:w="2717" w:type="dxa"/>
          </w:tcPr>
          <w:p w14:paraId="6BD3C50A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Per protocol</w:t>
            </w:r>
          </w:p>
        </w:tc>
        <w:tc>
          <w:tcPr>
            <w:tcW w:w="2685" w:type="dxa"/>
          </w:tcPr>
          <w:p w14:paraId="363B0572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No more than 5% of the heart</w:t>
            </w:r>
          </w:p>
        </w:tc>
        <w:tc>
          <w:tcPr>
            <w:tcW w:w="2740" w:type="dxa"/>
          </w:tcPr>
          <w:p w14:paraId="114CC726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 xml:space="preserve">Receives </w:t>
            </w:r>
          </w:p>
        </w:tc>
        <w:tc>
          <w:tcPr>
            <w:tcW w:w="2834" w:type="dxa"/>
          </w:tcPr>
          <w:p w14:paraId="4980C363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20 Gy</w:t>
            </w:r>
          </w:p>
        </w:tc>
      </w:tr>
      <w:tr w:rsidR="003B4529" w:rsidRPr="00FC4B95" w14:paraId="0884FA94" w14:textId="77777777" w:rsidTr="003B4529">
        <w:tc>
          <w:tcPr>
            <w:tcW w:w="2774" w:type="dxa"/>
            <w:vMerge/>
          </w:tcPr>
          <w:p w14:paraId="53DF9786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2717" w:type="dxa"/>
          </w:tcPr>
          <w:p w14:paraId="43C4D0B6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Variation Acceptable</w:t>
            </w:r>
          </w:p>
        </w:tc>
        <w:tc>
          <w:tcPr>
            <w:tcW w:w="2685" w:type="dxa"/>
          </w:tcPr>
          <w:p w14:paraId="7087B892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No more than 5% of the heart</w:t>
            </w:r>
          </w:p>
        </w:tc>
        <w:tc>
          <w:tcPr>
            <w:tcW w:w="2740" w:type="dxa"/>
          </w:tcPr>
          <w:p w14:paraId="21C0ACCE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 xml:space="preserve">Receives </w:t>
            </w:r>
          </w:p>
        </w:tc>
        <w:tc>
          <w:tcPr>
            <w:tcW w:w="2834" w:type="dxa"/>
          </w:tcPr>
          <w:p w14:paraId="77B226BC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25 Gy</w:t>
            </w:r>
          </w:p>
        </w:tc>
      </w:tr>
      <w:tr w:rsidR="003B4529" w:rsidRPr="00FC4B95" w14:paraId="3284DF4F" w14:textId="77777777" w:rsidTr="003B4529">
        <w:tc>
          <w:tcPr>
            <w:tcW w:w="2774" w:type="dxa"/>
            <w:vMerge/>
          </w:tcPr>
          <w:p w14:paraId="708DB20A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2717" w:type="dxa"/>
          </w:tcPr>
          <w:p w14:paraId="06F42545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Per protocol</w:t>
            </w:r>
          </w:p>
        </w:tc>
        <w:tc>
          <w:tcPr>
            <w:tcW w:w="2685" w:type="dxa"/>
          </w:tcPr>
          <w:p w14:paraId="5F467074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 xml:space="preserve">Mean dose </w:t>
            </w:r>
          </w:p>
        </w:tc>
        <w:tc>
          <w:tcPr>
            <w:tcW w:w="2740" w:type="dxa"/>
          </w:tcPr>
          <w:p w14:paraId="2C54E84F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 xml:space="preserve">Does not exceed </w:t>
            </w:r>
          </w:p>
        </w:tc>
        <w:tc>
          <w:tcPr>
            <w:tcW w:w="2834" w:type="dxa"/>
          </w:tcPr>
          <w:p w14:paraId="5060F431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4 Gy</w:t>
            </w:r>
          </w:p>
        </w:tc>
      </w:tr>
      <w:tr w:rsidR="003B4529" w:rsidRPr="00FC4B95" w14:paraId="3C09F930" w14:textId="77777777" w:rsidTr="003B4529">
        <w:tc>
          <w:tcPr>
            <w:tcW w:w="2774" w:type="dxa"/>
            <w:vMerge/>
          </w:tcPr>
          <w:p w14:paraId="2E779591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2717" w:type="dxa"/>
          </w:tcPr>
          <w:p w14:paraId="3CB1BA89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Variation Acceptable</w:t>
            </w:r>
          </w:p>
        </w:tc>
        <w:tc>
          <w:tcPr>
            <w:tcW w:w="2685" w:type="dxa"/>
          </w:tcPr>
          <w:p w14:paraId="094DF1F7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 xml:space="preserve">Mean dose </w:t>
            </w:r>
          </w:p>
        </w:tc>
        <w:tc>
          <w:tcPr>
            <w:tcW w:w="2740" w:type="dxa"/>
          </w:tcPr>
          <w:p w14:paraId="0E483C31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 xml:space="preserve">Does not exceed </w:t>
            </w:r>
          </w:p>
        </w:tc>
        <w:tc>
          <w:tcPr>
            <w:tcW w:w="2834" w:type="dxa"/>
          </w:tcPr>
          <w:p w14:paraId="0439E4C5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5 Gy</w:t>
            </w:r>
          </w:p>
        </w:tc>
      </w:tr>
      <w:tr w:rsidR="003B4529" w:rsidRPr="00FC4B95" w14:paraId="55A35564" w14:textId="77777777" w:rsidTr="003B4529">
        <w:tc>
          <w:tcPr>
            <w:tcW w:w="2774" w:type="dxa"/>
            <w:vMerge w:val="restart"/>
          </w:tcPr>
          <w:p w14:paraId="65A972F0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  <w:t>Ipsilateral lung dose</w:t>
            </w:r>
          </w:p>
        </w:tc>
        <w:tc>
          <w:tcPr>
            <w:tcW w:w="2717" w:type="dxa"/>
          </w:tcPr>
          <w:p w14:paraId="30AB4C7C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Per protocol</w:t>
            </w:r>
          </w:p>
        </w:tc>
        <w:tc>
          <w:tcPr>
            <w:tcW w:w="2685" w:type="dxa"/>
          </w:tcPr>
          <w:p w14:paraId="36A20F15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No more than 15% of the ipsilateral lung</w:t>
            </w:r>
          </w:p>
        </w:tc>
        <w:tc>
          <w:tcPr>
            <w:tcW w:w="2740" w:type="dxa"/>
          </w:tcPr>
          <w:p w14:paraId="022970E6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 xml:space="preserve">Exceeds </w:t>
            </w:r>
          </w:p>
        </w:tc>
        <w:tc>
          <w:tcPr>
            <w:tcW w:w="2834" w:type="dxa"/>
          </w:tcPr>
          <w:p w14:paraId="0ADCD9FC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20 Gy</w:t>
            </w:r>
          </w:p>
        </w:tc>
      </w:tr>
      <w:tr w:rsidR="003B4529" w:rsidRPr="00FC4B95" w14:paraId="212F9B7F" w14:textId="77777777" w:rsidTr="003B4529">
        <w:tc>
          <w:tcPr>
            <w:tcW w:w="2774" w:type="dxa"/>
            <w:vMerge/>
          </w:tcPr>
          <w:p w14:paraId="760FBAAD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2717" w:type="dxa"/>
          </w:tcPr>
          <w:p w14:paraId="54797C34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Variation Acceptable</w:t>
            </w:r>
          </w:p>
        </w:tc>
        <w:tc>
          <w:tcPr>
            <w:tcW w:w="2685" w:type="dxa"/>
          </w:tcPr>
          <w:p w14:paraId="539EAC62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No more than 20% of the ipsilateral lung</w:t>
            </w:r>
          </w:p>
        </w:tc>
        <w:tc>
          <w:tcPr>
            <w:tcW w:w="2740" w:type="dxa"/>
          </w:tcPr>
          <w:p w14:paraId="09480F1C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 xml:space="preserve">Exceeds </w:t>
            </w:r>
          </w:p>
        </w:tc>
        <w:tc>
          <w:tcPr>
            <w:tcW w:w="2834" w:type="dxa"/>
          </w:tcPr>
          <w:p w14:paraId="2C78610B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20 Gy</w:t>
            </w:r>
          </w:p>
        </w:tc>
      </w:tr>
      <w:tr w:rsidR="003B4529" w:rsidRPr="00FC4B95" w14:paraId="6306547C" w14:textId="77777777" w:rsidTr="003B4529">
        <w:tc>
          <w:tcPr>
            <w:tcW w:w="2774" w:type="dxa"/>
            <w:vMerge w:val="restart"/>
          </w:tcPr>
          <w:p w14:paraId="3A6D08F7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  <w:t>Contralateral lung</w:t>
            </w:r>
          </w:p>
        </w:tc>
        <w:tc>
          <w:tcPr>
            <w:tcW w:w="2717" w:type="dxa"/>
          </w:tcPr>
          <w:p w14:paraId="03FDBD8E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Per protocol</w:t>
            </w:r>
          </w:p>
        </w:tc>
        <w:tc>
          <w:tcPr>
            <w:tcW w:w="2685" w:type="dxa"/>
          </w:tcPr>
          <w:p w14:paraId="385DB18D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No more than 10% of the ipsilateral lung</w:t>
            </w:r>
          </w:p>
        </w:tc>
        <w:tc>
          <w:tcPr>
            <w:tcW w:w="2740" w:type="dxa"/>
          </w:tcPr>
          <w:p w14:paraId="7D713434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 xml:space="preserve">Exceeds </w:t>
            </w:r>
          </w:p>
        </w:tc>
        <w:tc>
          <w:tcPr>
            <w:tcW w:w="2834" w:type="dxa"/>
          </w:tcPr>
          <w:p w14:paraId="7AECA1C1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5 Gy</w:t>
            </w:r>
          </w:p>
        </w:tc>
      </w:tr>
      <w:tr w:rsidR="003B4529" w:rsidRPr="00FC4B95" w14:paraId="6FF7B91F" w14:textId="77777777" w:rsidTr="003B4529">
        <w:tc>
          <w:tcPr>
            <w:tcW w:w="2774" w:type="dxa"/>
            <w:vMerge/>
          </w:tcPr>
          <w:p w14:paraId="04E3FE21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b/>
                <w:sz w:val="22"/>
                <w:szCs w:val="22"/>
                <w:lang w:val="en-US"/>
              </w:rPr>
            </w:pPr>
          </w:p>
        </w:tc>
        <w:tc>
          <w:tcPr>
            <w:tcW w:w="2717" w:type="dxa"/>
          </w:tcPr>
          <w:p w14:paraId="3998ECBD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Variation Acceptable</w:t>
            </w:r>
          </w:p>
        </w:tc>
        <w:tc>
          <w:tcPr>
            <w:tcW w:w="2685" w:type="dxa"/>
          </w:tcPr>
          <w:p w14:paraId="3ABEE3B4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No more than 15% of the ipsilateral lung</w:t>
            </w:r>
          </w:p>
        </w:tc>
        <w:tc>
          <w:tcPr>
            <w:tcW w:w="2740" w:type="dxa"/>
          </w:tcPr>
          <w:p w14:paraId="48325073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 xml:space="preserve">Exceeds </w:t>
            </w:r>
          </w:p>
        </w:tc>
        <w:tc>
          <w:tcPr>
            <w:tcW w:w="2834" w:type="dxa"/>
          </w:tcPr>
          <w:p w14:paraId="4D45205F" w14:textId="77777777" w:rsidR="003B4529" w:rsidRPr="00FC4B95" w:rsidRDefault="003B4529" w:rsidP="005517D3">
            <w:pPr>
              <w:jc w:val="center"/>
              <w:rPr>
                <w:rFonts w:ascii="Calibri Light" w:hAnsi="Calibri Light" w:cs="Times New Roman"/>
                <w:sz w:val="22"/>
                <w:szCs w:val="22"/>
                <w:lang w:val="en-US"/>
              </w:rPr>
            </w:pPr>
            <w:r w:rsidRPr="00FC4B95">
              <w:rPr>
                <w:rFonts w:ascii="Calibri Light" w:hAnsi="Calibri Light" w:cs="Times New Roman"/>
                <w:sz w:val="22"/>
                <w:szCs w:val="22"/>
                <w:lang w:val="en-US"/>
              </w:rPr>
              <w:t>5 Gy</w:t>
            </w:r>
          </w:p>
        </w:tc>
      </w:tr>
    </w:tbl>
    <w:p w14:paraId="0D85C796" w14:textId="77777777" w:rsidR="00FC4B95" w:rsidRDefault="00FC4B95" w:rsidP="00527ABF">
      <w:pPr>
        <w:rPr>
          <w:rFonts w:ascii="Calibri Light" w:hAnsi="Calibri Light"/>
        </w:rPr>
      </w:pPr>
    </w:p>
    <w:sectPr w:rsidR="00FC4B95" w:rsidSect="00DA43D8">
      <w:pgSz w:w="16840" w:h="11900" w:orient="landscape"/>
      <w:pgMar w:top="993" w:right="680" w:bottom="1080" w:left="144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16A1951B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B6F5D1" w14:textId="77777777" w:rsidR="00C67F69" w:rsidRDefault="00C67F69" w:rsidP="00BC26AF">
      <w:r>
        <w:separator/>
      </w:r>
    </w:p>
  </w:endnote>
  <w:endnote w:type="continuationSeparator" w:id="0">
    <w:p w14:paraId="5D7DDD19" w14:textId="77777777" w:rsidR="00C67F69" w:rsidRDefault="00C67F69" w:rsidP="00BC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0ECF9B" w14:textId="77777777" w:rsidR="007748A7" w:rsidRDefault="007748A7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37F7ED" w14:textId="77777777" w:rsidR="00C67F69" w:rsidRDefault="00C67F69" w:rsidP="00BC26AF">
      <w:r>
        <w:separator/>
      </w:r>
    </w:p>
  </w:footnote>
  <w:footnote w:type="continuationSeparator" w:id="0">
    <w:p w14:paraId="66F3D6D8" w14:textId="77777777" w:rsidR="00C67F69" w:rsidRDefault="00C67F69" w:rsidP="00BC26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00000001"/>
    <w:lvl w:ilvl="0" w:tplc="0000000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laura cella">
    <w15:presenceInfo w15:providerId="Windows Live" w15:userId="94b01dc4dc42d574"/>
  </w15:person>
  <w15:person w15:author="pacerto">
    <w15:presenceInfo w15:providerId="None" w15:userId="pacerto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/>
  <w:defaultTabStop w:val="720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2BD9"/>
    <w:rsid w:val="0000766B"/>
    <w:rsid w:val="000100D3"/>
    <w:rsid w:val="0001745C"/>
    <w:rsid w:val="00035FEC"/>
    <w:rsid w:val="00063583"/>
    <w:rsid w:val="000671F2"/>
    <w:rsid w:val="00072239"/>
    <w:rsid w:val="00073245"/>
    <w:rsid w:val="00075CC8"/>
    <w:rsid w:val="00076ABB"/>
    <w:rsid w:val="000949C4"/>
    <w:rsid w:val="000A0E60"/>
    <w:rsid w:val="000B2F92"/>
    <w:rsid w:val="000C0B28"/>
    <w:rsid w:val="000C435D"/>
    <w:rsid w:val="000D6FE1"/>
    <w:rsid w:val="000D7901"/>
    <w:rsid w:val="000E123A"/>
    <w:rsid w:val="00100986"/>
    <w:rsid w:val="00106FC3"/>
    <w:rsid w:val="00111946"/>
    <w:rsid w:val="00111BA5"/>
    <w:rsid w:val="00112E12"/>
    <w:rsid w:val="0011391A"/>
    <w:rsid w:val="0011691B"/>
    <w:rsid w:val="001235FF"/>
    <w:rsid w:val="001254F7"/>
    <w:rsid w:val="00131C2B"/>
    <w:rsid w:val="00135311"/>
    <w:rsid w:val="00142889"/>
    <w:rsid w:val="00144AA5"/>
    <w:rsid w:val="00146D51"/>
    <w:rsid w:val="001516E8"/>
    <w:rsid w:val="001517B9"/>
    <w:rsid w:val="001540CD"/>
    <w:rsid w:val="00154F41"/>
    <w:rsid w:val="0016067C"/>
    <w:rsid w:val="00167A02"/>
    <w:rsid w:val="00192BDB"/>
    <w:rsid w:val="001A5BCB"/>
    <w:rsid w:val="001A5C64"/>
    <w:rsid w:val="001A6CFF"/>
    <w:rsid w:val="001B2741"/>
    <w:rsid w:val="001B752E"/>
    <w:rsid w:val="001D1CC4"/>
    <w:rsid w:val="001D3999"/>
    <w:rsid w:val="001E219E"/>
    <w:rsid w:val="001E2F00"/>
    <w:rsid w:val="001E4062"/>
    <w:rsid w:val="001E5D12"/>
    <w:rsid w:val="001E72A5"/>
    <w:rsid w:val="002039DA"/>
    <w:rsid w:val="0020738E"/>
    <w:rsid w:val="00214BB6"/>
    <w:rsid w:val="0022527C"/>
    <w:rsid w:val="002446D2"/>
    <w:rsid w:val="00260808"/>
    <w:rsid w:val="00265646"/>
    <w:rsid w:val="00273B0A"/>
    <w:rsid w:val="0027543D"/>
    <w:rsid w:val="00275DBF"/>
    <w:rsid w:val="00281CE1"/>
    <w:rsid w:val="00296CFE"/>
    <w:rsid w:val="00297BCA"/>
    <w:rsid w:val="002A57D5"/>
    <w:rsid w:val="002A6B04"/>
    <w:rsid w:val="002B0B8F"/>
    <w:rsid w:val="002B2C61"/>
    <w:rsid w:val="002C15A0"/>
    <w:rsid w:val="002C779F"/>
    <w:rsid w:val="002D3E3D"/>
    <w:rsid w:val="002D7B1A"/>
    <w:rsid w:val="002E5D96"/>
    <w:rsid w:val="002E6589"/>
    <w:rsid w:val="002F082B"/>
    <w:rsid w:val="002F30E8"/>
    <w:rsid w:val="002F4007"/>
    <w:rsid w:val="00302378"/>
    <w:rsid w:val="0032215B"/>
    <w:rsid w:val="0033178F"/>
    <w:rsid w:val="00334699"/>
    <w:rsid w:val="00335909"/>
    <w:rsid w:val="00340E3F"/>
    <w:rsid w:val="00345197"/>
    <w:rsid w:val="003471BC"/>
    <w:rsid w:val="00356737"/>
    <w:rsid w:val="003639DB"/>
    <w:rsid w:val="00364B23"/>
    <w:rsid w:val="00366D69"/>
    <w:rsid w:val="003717DD"/>
    <w:rsid w:val="003819AD"/>
    <w:rsid w:val="00381DFC"/>
    <w:rsid w:val="003823B5"/>
    <w:rsid w:val="0039740E"/>
    <w:rsid w:val="003A275A"/>
    <w:rsid w:val="003A2BD9"/>
    <w:rsid w:val="003A3F02"/>
    <w:rsid w:val="003B0C23"/>
    <w:rsid w:val="003B1644"/>
    <w:rsid w:val="003B4529"/>
    <w:rsid w:val="003D0C9E"/>
    <w:rsid w:val="003D15FE"/>
    <w:rsid w:val="003D367C"/>
    <w:rsid w:val="003D3DB2"/>
    <w:rsid w:val="003E64D1"/>
    <w:rsid w:val="00400790"/>
    <w:rsid w:val="0040641A"/>
    <w:rsid w:val="0042511F"/>
    <w:rsid w:val="00430332"/>
    <w:rsid w:val="0043384A"/>
    <w:rsid w:val="00435939"/>
    <w:rsid w:val="0043753F"/>
    <w:rsid w:val="00440668"/>
    <w:rsid w:val="0044392F"/>
    <w:rsid w:val="00445781"/>
    <w:rsid w:val="004459EA"/>
    <w:rsid w:val="00447B4A"/>
    <w:rsid w:val="00453AA2"/>
    <w:rsid w:val="004547F0"/>
    <w:rsid w:val="00490646"/>
    <w:rsid w:val="004A7B8F"/>
    <w:rsid w:val="004B0844"/>
    <w:rsid w:val="004B5E72"/>
    <w:rsid w:val="004C60BB"/>
    <w:rsid w:val="004D093A"/>
    <w:rsid w:val="004D3B6C"/>
    <w:rsid w:val="004D5B9A"/>
    <w:rsid w:val="004E5E07"/>
    <w:rsid w:val="004E747F"/>
    <w:rsid w:val="005119B0"/>
    <w:rsid w:val="00511C28"/>
    <w:rsid w:val="00522C48"/>
    <w:rsid w:val="00527ABF"/>
    <w:rsid w:val="005517D3"/>
    <w:rsid w:val="0058755D"/>
    <w:rsid w:val="00590A6E"/>
    <w:rsid w:val="00591CC2"/>
    <w:rsid w:val="00592D30"/>
    <w:rsid w:val="005A7449"/>
    <w:rsid w:val="005B086B"/>
    <w:rsid w:val="005B5EE1"/>
    <w:rsid w:val="005C51D7"/>
    <w:rsid w:val="005C572A"/>
    <w:rsid w:val="005C647B"/>
    <w:rsid w:val="005D03CA"/>
    <w:rsid w:val="005D224C"/>
    <w:rsid w:val="005D68AE"/>
    <w:rsid w:val="005E0D4F"/>
    <w:rsid w:val="005E0EF8"/>
    <w:rsid w:val="005E387D"/>
    <w:rsid w:val="005E4A42"/>
    <w:rsid w:val="005F06BB"/>
    <w:rsid w:val="005F21EE"/>
    <w:rsid w:val="005F2AEA"/>
    <w:rsid w:val="00601BDA"/>
    <w:rsid w:val="006049FA"/>
    <w:rsid w:val="00606095"/>
    <w:rsid w:val="00610036"/>
    <w:rsid w:val="00610BC6"/>
    <w:rsid w:val="00630269"/>
    <w:rsid w:val="006336EB"/>
    <w:rsid w:val="0063592B"/>
    <w:rsid w:val="00637742"/>
    <w:rsid w:val="00640990"/>
    <w:rsid w:val="006506C3"/>
    <w:rsid w:val="00652CE7"/>
    <w:rsid w:val="00676879"/>
    <w:rsid w:val="00685DB0"/>
    <w:rsid w:val="00686F3D"/>
    <w:rsid w:val="006A79A1"/>
    <w:rsid w:val="006B060F"/>
    <w:rsid w:val="006B3A3B"/>
    <w:rsid w:val="006B54C6"/>
    <w:rsid w:val="006C24F7"/>
    <w:rsid w:val="006D7FF9"/>
    <w:rsid w:val="006E1825"/>
    <w:rsid w:val="006E3E81"/>
    <w:rsid w:val="00706E1E"/>
    <w:rsid w:val="00721271"/>
    <w:rsid w:val="00727262"/>
    <w:rsid w:val="00727F9D"/>
    <w:rsid w:val="00732BFB"/>
    <w:rsid w:val="007418B2"/>
    <w:rsid w:val="00743C8D"/>
    <w:rsid w:val="00743F39"/>
    <w:rsid w:val="00744B5A"/>
    <w:rsid w:val="00745D87"/>
    <w:rsid w:val="0075453F"/>
    <w:rsid w:val="00756D99"/>
    <w:rsid w:val="007748A7"/>
    <w:rsid w:val="00776449"/>
    <w:rsid w:val="0078092F"/>
    <w:rsid w:val="00780E39"/>
    <w:rsid w:val="0078177A"/>
    <w:rsid w:val="00786CF9"/>
    <w:rsid w:val="007920A8"/>
    <w:rsid w:val="00793BFA"/>
    <w:rsid w:val="007A2343"/>
    <w:rsid w:val="007B46AE"/>
    <w:rsid w:val="007C1EB8"/>
    <w:rsid w:val="007C1EE0"/>
    <w:rsid w:val="007C477A"/>
    <w:rsid w:val="007C5CCC"/>
    <w:rsid w:val="007D28E8"/>
    <w:rsid w:val="007D4933"/>
    <w:rsid w:val="007F257A"/>
    <w:rsid w:val="007F351C"/>
    <w:rsid w:val="008003FB"/>
    <w:rsid w:val="00801CCD"/>
    <w:rsid w:val="00812180"/>
    <w:rsid w:val="0081663A"/>
    <w:rsid w:val="00820358"/>
    <w:rsid w:val="00825261"/>
    <w:rsid w:val="008260FF"/>
    <w:rsid w:val="00830C66"/>
    <w:rsid w:val="0083219D"/>
    <w:rsid w:val="00843089"/>
    <w:rsid w:val="008432BE"/>
    <w:rsid w:val="00846459"/>
    <w:rsid w:val="0085042A"/>
    <w:rsid w:val="0085057A"/>
    <w:rsid w:val="0085449A"/>
    <w:rsid w:val="00875BAE"/>
    <w:rsid w:val="008802B1"/>
    <w:rsid w:val="00884D0E"/>
    <w:rsid w:val="00890ED4"/>
    <w:rsid w:val="008B7DE7"/>
    <w:rsid w:val="008C2C99"/>
    <w:rsid w:val="008C7327"/>
    <w:rsid w:val="008C7710"/>
    <w:rsid w:val="008D0DDD"/>
    <w:rsid w:val="008D0EEC"/>
    <w:rsid w:val="008E32DF"/>
    <w:rsid w:val="008E6782"/>
    <w:rsid w:val="008E6C77"/>
    <w:rsid w:val="008E7D80"/>
    <w:rsid w:val="008F309E"/>
    <w:rsid w:val="008F3FF2"/>
    <w:rsid w:val="008F41BA"/>
    <w:rsid w:val="00902816"/>
    <w:rsid w:val="0092289D"/>
    <w:rsid w:val="009248DA"/>
    <w:rsid w:val="00925014"/>
    <w:rsid w:val="00926A60"/>
    <w:rsid w:val="00955B1C"/>
    <w:rsid w:val="00972ACB"/>
    <w:rsid w:val="00977CD6"/>
    <w:rsid w:val="009812B1"/>
    <w:rsid w:val="00983C0D"/>
    <w:rsid w:val="00985C22"/>
    <w:rsid w:val="00993498"/>
    <w:rsid w:val="00995D5D"/>
    <w:rsid w:val="00997723"/>
    <w:rsid w:val="009A4F11"/>
    <w:rsid w:val="009B1EF7"/>
    <w:rsid w:val="009B49EB"/>
    <w:rsid w:val="009C02A7"/>
    <w:rsid w:val="009D3148"/>
    <w:rsid w:val="009D5759"/>
    <w:rsid w:val="009E077E"/>
    <w:rsid w:val="009E20A5"/>
    <w:rsid w:val="009E4174"/>
    <w:rsid w:val="009F5AA4"/>
    <w:rsid w:val="00A00E6E"/>
    <w:rsid w:val="00A01E1F"/>
    <w:rsid w:val="00A02017"/>
    <w:rsid w:val="00A05433"/>
    <w:rsid w:val="00A05F63"/>
    <w:rsid w:val="00A062B2"/>
    <w:rsid w:val="00A076FC"/>
    <w:rsid w:val="00A13FD5"/>
    <w:rsid w:val="00A331FF"/>
    <w:rsid w:val="00A437BF"/>
    <w:rsid w:val="00A45691"/>
    <w:rsid w:val="00A5455F"/>
    <w:rsid w:val="00A650F3"/>
    <w:rsid w:val="00A67357"/>
    <w:rsid w:val="00A820E0"/>
    <w:rsid w:val="00A8269D"/>
    <w:rsid w:val="00A93807"/>
    <w:rsid w:val="00A951F3"/>
    <w:rsid w:val="00A97685"/>
    <w:rsid w:val="00AA4829"/>
    <w:rsid w:val="00AA5450"/>
    <w:rsid w:val="00AB0440"/>
    <w:rsid w:val="00AB0CAD"/>
    <w:rsid w:val="00AB1244"/>
    <w:rsid w:val="00AE0CF6"/>
    <w:rsid w:val="00AE1C4F"/>
    <w:rsid w:val="00AE6A77"/>
    <w:rsid w:val="00AF0191"/>
    <w:rsid w:val="00AF1F48"/>
    <w:rsid w:val="00B02DEE"/>
    <w:rsid w:val="00B0692C"/>
    <w:rsid w:val="00B07796"/>
    <w:rsid w:val="00B322A4"/>
    <w:rsid w:val="00B41146"/>
    <w:rsid w:val="00B4335E"/>
    <w:rsid w:val="00B44AE1"/>
    <w:rsid w:val="00B465CF"/>
    <w:rsid w:val="00B5305A"/>
    <w:rsid w:val="00B56D5E"/>
    <w:rsid w:val="00B640BB"/>
    <w:rsid w:val="00B6474B"/>
    <w:rsid w:val="00B7737F"/>
    <w:rsid w:val="00B87834"/>
    <w:rsid w:val="00BB2C1A"/>
    <w:rsid w:val="00BB585F"/>
    <w:rsid w:val="00BC0E70"/>
    <w:rsid w:val="00BC1AF2"/>
    <w:rsid w:val="00BC26AF"/>
    <w:rsid w:val="00BC3194"/>
    <w:rsid w:val="00BD191F"/>
    <w:rsid w:val="00BD5638"/>
    <w:rsid w:val="00BE6C6E"/>
    <w:rsid w:val="00BF0CBD"/>
    <w:rsid w:val="00C01822"/>
    <w:rsid w:val="00C1637F"/>
    <w:rsid w:val="00C17370"/>
    <w:rsid w:val="00C237B3"/>
    <w:rsid w:val="00C24F0A"/>
    <w:rsid w:val="00C36B19"/>
    <w:rsid w:val="00C42BFC"/>
    <w:rsid w:val="00C443CD"/>
    <w:rsid w:val="00C449E6"/>
    <w:rsid w:val="00C54D93"/>
    <w:rsid w:val="00C54E46"/>
    <w:rsid w:val="00C65459"/>
    <w:rsid w:val="00C67F69"/>
    <w:rsid w:val="00C83797"/>
    <w:rsid w:val="00C85276"/>
    <w:rsid w:val="00C85D45"/>
    <w:rsid w:val="00C90345"/>
    <w:rsid w:val="00C95FCE"/>
    <w:rsid w:val="00C966F0"/>
    <w:rsid w:val="00CB19BC"/>
    <w:rsid w:val="00CB7A8E"/>
    <w:rsid w:val="00CC0605"/>
    <w:rsid w:val="00CD038D"/>
    <w:rsid w:val="00CD52BE"/>
    <w:rsid w:val="00D12AC4"/>
    <w:rsid w:val="00D154D6"/>
    <w:rsid w:val="00D16538"/>
    <w:rsid w:val="00D23C89"/>
    <w:rsid w:val="00D23F6B"/>
    <w:rsid w:val="00D31B8E"/>
    <w:rsid w:val="00D52417"/>
    <w:rsid w:val="00D60BB0"/>
    <w:rsid w:val="00D639CC"/>
    <w:rsid w:val="00D64628"/>
    <w:rsid w:val="00D649E6"/>
    <w:rsid w:val="00D65D17"/>
    <w:rsid w:val="00D66723"/>
    <w:rsid w:val="00D7330E"/>
    <w:rsid w:val="00D778E1"/>
    <w:rsid w:val="00D77D92"/>
    <w:rsid w:val="00D8046A"/>
    <w:rsid w:val="00D92053"/>
    <w:rsid w:val="00DA004E"/>
    <w:rsid w:val="00DA4132"/>
    <w:rsid w:val="00DA43D8"/>
    <w:rsid w:val="00DB37E3"/>
    <w:rsid w:val="00DC29CA"/>
    <w:rsid w:val="00DC2D6D"/>
    <w:rsid w:val="00DC4CC6"/>
    <w:rsid w:val="00DC5DFF"/>
    <w:rsid w:val="00DC64EE"/>
    <w:rsid w:val="00DD33EF"/>
    <w:rsid w:val="00DD4B2F"/>
    <w:rsid w:val="00DF5FC4"/>
    <w:rsid w:val="00DF76A8"/>
    <w:rsid w:val="00E172F7"/>
    <w:rsid w:val="00E301B5"/>
    <w:rsid w:val="00E4020F"/>
    <w:rsid w:val="00E43755"/>
    <w:rsid w:val="00E5272C"/>
    <w:rsid w:val="00E53CD0"/>
    <w:rsid w:val="00E65CDF"/>
    <w:rsid w:val="00E831BF"/>
    <w:rsid w:val="00E833A1"/>
    <w:rsid w:val="00E84146"/>
    <w:rsid w:val="00E8420F"/>
    <w:rsid w:val="00E856A2"/>
    <w:rsid w:val="00E91779"/>
    <w:rsid w:val="00E94512"/>
    <w:rsid w:val="00E955E8"/>
    <w:rsid w:val="00EA38B2"/>
    <w:rsid w:val="00EA6E4C"/>
    <w:rsid w:val="00EB346F"/>
    <w:rsid w:val="00EB41B3"/>
    <w:rsid w:val="00EB72F6"/>
    <w:rsid w:val="00EC208E"/>
    <w:rsid w:val="00EC2699"/>
    <w:rsid w:val="00EC3D3C"/>
    <w:rsid w:val="00ED2CA5"/>
    <w:rsid w:val="00ED7C17"/>
    <w:rsid w:val="00EE09CE"/>
    <w:rsid w:val="00EE7EF1"/>
    <w:rsid w:val="00EF2A74"/>
    <w:rsid w:val="00EF3245"/>
    <w:rsid w:val="00F01839"/>
    <w:rsid w:val="00F01A11"/>
    <w:rsid w:val="00F03615"/>
    <w:rsid w:val="00F25F05"/>
    <w:rsid w:val="00F37447"/>
    <w:rsid w:val="00F50A70"/>
    <w:rsid w:val="00F637F2"/>
    <w:rsid w:val="00F63B20"/>
    <w:rsid w:val="00F659FF"/>
    <w:rsid w:val="00F70BAA"/>
    <w:rsid w:val="00F72941"/>
    <w:rsid w:val="00F73063"/>
    <w:rsid w:val="00F758A6"/>
    <w:rsid w:val="00F831C0"/>
    <w:rsid w:val="00F90A8A"/>
    <w:rsid w:val="00F92C0D"/>
    <w:rsid w:val="00F93385"/>
    <w:rsid w:val="00FA0AA6"/>
    <w:rsid w:val="00FA1BB5"/>
    <w:rsid w:val="00FB00E6"/>
    <w:rsid w:val="00FB0938"/>
    <w:rsid w:val="00FB3E23"/>
    <w:rsid w:val="00FB59C8"/>
    <w:rsid w:val="00FC4B95"/>
    <w:rsid w:val="00FD2849"/>
    <w:rsid w:val="00FD48B2"/>
    <w:rsid w:val="00FD5FB9"/>
    <w:rsid w:val="00FF6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5A5291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F3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F3D"/>
    <w:rPr>
      <w:rFonts w:ascii="Lucida Grande" w:hAnsi="Lucida Grande" w:cs="Lucida Grande"/>
      <w:sz w:val="18"/>
      <w:szCs w:val="18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2A57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A57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A57D5"/>
    <w:rPr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A57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A57D5"/>
    <w:rPr>
      <w:b/>
      <w:bCs/>
      <w:sz w:val="20"/>
      <w:szCs w:val="20"/>
      <w:lang w:val="en-GB"/>
    </w:rPr>
  </w:style>
  <w:style w:type="paragraph" w:styleId="Revisione">
    <w:name w:val="Revision"/>
    <w:hidden/>
    <w:uiPriority w:val="99"/>
    <w:semiHidden/>
    <w:rsid w:val="00F01A11"/>
    <w:rPr>
      <w:lang w:val="en-GB"/>
    </w:rPr>
  </w:style>
  <w:style w:type="character" w:styleId="Testosegnaposto">
    <w:name w:val="Placeholder Text"/>
    <w:basedOn w:val="Carpredefinitoparagrafo"/>
    <w:uiPriority w:val="99"/>
    <w:semiHidden/>
    <w:rsid w:val="006D7FF9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3E64D1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E64D1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5455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table" w:styleId="Grigliatabella">
    <w:name w:val="Table Grid"/>
    <w:basedOn w:val="Tabellanormale"/>
    <w:uiPriority w:val="39"/>
    <w:rsid w:val="0010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C26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26AF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BC26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26AF"/>
    <w:rPr>
      <w:lang w:val="en-GB"/>
    </w:rPr>
  </w:style>
  <w:style w:type="table" w:customStyle="1" w:styleId="Grigliatabella1">
    <w:name w:val="Griglia tabella1"/>
    <w:basedOn w:val="Tabellanormale"/>
    <w:next w:val="Grigliatabella"/>
    <w:uiPriority w:val="39"/>
    <w:rsid w:val="00DA43D8"/>
    <w:rPr>
      <w:rFonts w:eastAsia="Calibr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86F3D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86F3D"/>
    <w:rPr>
      <w:rFonts w:ascii="Lucida Grande" w:hAnsi="Lucida Grande" w:cs="Lucida Grande"/>
      <w:sz w:val="18"/>
      <w:szCs w:val="18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2A57D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A57D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A57D5"/>
    <w:rPr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A57D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A57D5"/>
    <w:rPr>
      <w:b/>
      <w:bCs/>
      <w:sz w:val="20"/>
      <w:szCs w:val="20"/>
      <w:lang w:val="en-GB"/>
    </w:rPr>
  </w:style>
  <w:style w:type="paragraph" w:styleId="Revisione">
    <w:name w:val="Revision"/>
    <w:hidden/>
    <w:uiPriority w:val="99"/>
    <w:semiHidden/>
    <w:rsid w:val="00F01A11"/>
    <w:rPr>
      <w:lang w:val="en-GB"/>
    </w:rPr>
  </w:style>
  <w:style w:type="character" w:styleId="Testosegnaposto">
    <w:name w:val="Placeholder Text"/>
    <w:basedOn w:val="Carpredefinitoparagrafo"/>
    <w:uiPriority w:val="99"/>
    <w:semiHidden/>
    <w:rsid w:val="006D7FF9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3E64D1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E64D1"/>
    <w:rPr>
      <w:color w:val="800080" w:themeColor="followedHyperlink"/>
      <w:u w:val="single"/>
    </w:rPr>
  </w:style>
  <w:style w:type="paragraph" w:styleId="NormaleWeb">
    <w:name w:val="Normal (Web)"/>
    <w:basedOn w:val="Normale"/>
    <w:uiPriority w:val="99"/>
    <w:unhideWhenUsed/>
    <w:rsid w:val="00A5455F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table" w:styleId="Grigliatabella">
    <w:name w:val="Table Grid"/>
    <w:basedOn w:val="Tabellanormale"/>
    <w:uiPriority w:val="39"/>
    <w:rsid w:val="0010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BC26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26AF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BC26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26AF"/>
    <w:rPr>
      <w:lang w:val="en-GB"/>
    </w:rPr>
  </w:style>
  <w:style w:type="table" w:customStyle="1" w:styleId="Grigliatabella1">
    <w:name w:val="Griglia tabella1"/>
    <w:basedOn w:val="Tabellanormale"/>
    <w:next w:val="Grigliatabella"/>
    <w:uiPriority w:val="39"/>
    <w:rsid w:val="00DA43D8"/>
    <w:rPr>
      <w:rFonts w:eastAsia="Calibri"/>
      <w:sz w:val="22"/>
      <w:szCs w:val="22"/>
      <w:lang w:val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266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29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1.jpg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30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66EBD0-5AAC-4FC4-A6FD-64B36F7F0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4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LAURA 2</cp:lastModifiedBy>
  <cp:revision>7</cp:revision>
  <cp:lastPrinted>2016-05-23T11:17:00Z</cp:lastPrinted>
  <dcterms:created xsi:type="dcterms:W3CDTF">2016-10-12T18:49:00Z</dcterms:created>
  <dcterms:modified xsi:type="dcterms:W3CDTF">2016-10-17T16:19:00Z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http://www.zotero.org/styles/american-sociological-association</vt:lpwstr>
  </property>
  <property fmtid="{D5CDD505-2E9C-101B-9397-08002B2CF9AE}" pid="5" name="Mendeley Recent Style Name 1_1">
    <vt:lpwstr>American Sociological Association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16th edition (author-date)</vt:lpwstr>
  </property>
  <property fmtid="{D5CDD505-2E9C-101B-9397-08002B2CF9AE}" pid="8" name="Mendeley Recent Style Id 3_1">
    <vt:lpwstr>http://www.zotero.org/styles/harvard1</vt:lpwstr>
  </property>
  <property fmtid="{D5CDD505-2E9C-101B-9397-08002B2CF9AE}" pid="9" name="Mendeley Recent Style Name 3_1">
    <vt:lpwstr>Harvard Reference format 1 (author-date)</vt:lpwstr>
  </property>
  <property fmtid="{D5CDD505-2E9C-101B-9397-08002B2CF9AE}" pid="10" name="Mendeley Recent Style Id 4_1">
    <vt:lpwstr>http://www.zotero.org/styles/ieee</vt:lpwstr>
  </property>
  <property fmtid="{D5CDD505-2E9C-101B-9397-08002B2CF9AE}" pid="11" name="Mendeley Recent Style Name 4_1">
    <vt:lpwstr>IEEE</vt:lpwstr>
  </property>
  <property fmtid="{D5CDD505-2E9C-101B-9397-08002B2CF9AE}" pid="12" name="Mendeley Recent Style Id 5_1">
    <vt:lpwstr>http://www.zotero.org/styles/international-journal-of-radiation-oncology-biology-physics</vt:lpwstr>
  </property>
  <property fmtid="{D5CDD505-2E9C-101B-9397-08002B2CF9AE}" pid="13" name="Mendeley Recent Style Name 5_1">
    <vt:lpwstr>International Journal of Radiation Oncology, Biology, Physics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7th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http://csl.mendeley.com/styles/314225221/TestStyle</vt:lpwstr>
  </property>
  <property fmtid="{D5CDD505-2E9C-101B-9397-08002B2CF9AE}" pid="21" name="Mendeley Recent Style Name 9_1">
    <vt:lpwstr>Vancouver - Fra TomTom</vt:lpwstr>
  </property>
</Properties>
</file>