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39" w:rsidRPr="00697339" w:rsidRDefault="00E46690" w:rsidP="00697339">
      <w:pPr>
        <w:rPr>
          <w:lang w:val="en-US"/>
        </w:rPr>
      </w:pPr>
      <w:r w:rsidRPr="00697339">
        <w:rPr>
          <w:lang w:val="en-US"/>
        </w:rPr>
        <w:t>Supplementary material</w:t>
      </w:r>
      <w:r w:rsidR="00697339" w:rsidRPr="00697339">
        <w:rPr>
          <w:lang w:val="en-US"/>
        </w:rPr>
        <w:t xml:space="preserve"> for </w:t>
      </w:r>
      <w:proofErr w:type="spellStart"/>
      <w:r w:rsidR="00697339" w:rsidRPr="00697339">
        <w:rPr>
          <w:sz w:val="24"/>
          <w:lang w:val="en-US"/>
        </w:rPr>
        <w:t>Petersson</w:t>
      </w:r>
      <w:proofErr w:type="spellEnd"/>
      <w:r w:rsidR="00697339" w:rsidRPr="00697339">
        <w:rPr>
          <w:lang w:val="en-US"/>
        </w:rPr>
        <w:t xml:space="preserve"> et al., Evaluation of dual-arc VMAT radiotherapy treatment plans automatically generated via dose-mimicking</w:t>
      </w:r>
      <w:r w:rsidR="00697339">
        <w:rPr>
          <w:lang w:val="en-US"/>
        </w:rPr>
        <w:t xml:space="preserve">, Acta </w:t>
      </w:r>
      <w:proofErr w:type="spellStart"/>
      <w:r w:rsidR="00697339">
        <w:rPr>
          <w:lang w:val="en-US"/>
        </w:rPr>
        <w:t>Oncologica</w:t>
      </w:r>
      <w:proofErr w:type="spellEnd"/>
      <w:r w:rsidR="00697339">
        <w:rPr>
          <w:lang w:val="en-US"/>
        </w:rPr>
        <w:t>, 2015</w:t>
      </w:r>
      <w:r w:rsidR="00697339" w:rsidRPr="00697339">
        <w:rPr>
          <w:lang w:val="en-US"/>
        </w:rPr>
        <w:t xml:space="preserve"> </w:t>
      </w:r>
    </w:p>
    <w:p w:rsidR="00697339" w:rsidRDefault="00697339" w:rsidP="00E46690">
      <w:pPr>
        <w:pStyle w:val="Heading3"/>
        <w:rPr>
          <w:b/>
          <w:color w:val="auto"/>
          <w:lang w:val="en-US"/>
        </w:rPr>
      </w:pPr>
    </w:p>
    <w:p w:rsidR="00E46690" w:rsidRPr="00E46690" w:rsidRDefault="00E46690" w:rsidP="00E46690">
      <w:pPr>
        <w:pStyle w:val="Heading3"/>
        <w:rPr>
          <w:b/>
          <w:color w:val="auto"/>
          <w:lang w:val="en-US"/>
        </w:rPr>
      </w:pPr>
      <w:r w:rsidRPr="00E46690">
        <w:rPr>
          <w:b/>
          <w:color w:val="auto"/>
          <w:lang w:val="en-US"/>
        </w:rPr>
        <w:t>Details about the dose-mimicking algorithm</w:t>
      </w:r>
    </w:p>
    <w:p w:rsidR="00E46690" w:rsidRPr="00F35865" w:rsidRDefault="00E46690" w:rsidP="00E46690">
      <w:pPr>
        <w:spacing w:before="100" w:beforeAutospacing="1" w:line="240" w:lineRule="auto"/>
        <w:rPr>
          <w:rFonts w:ascii="Adobe Garamond Pro" w:hAnsi="Adobe Garamond Pro" w:cs="Times New Roman"/>
          <w:sz w:val="24"/>
          <w:szCs w:val="24"/>
          <w:lang w:val="en-US"/>
        </w:rPr>
      </w:pPr>
      <w:r w:rsidRPr="00F35865">
        <w:rPr>
          <w:rFonts w:ascii="Adobe Garamond Pro" w:hAnsi="Adobe Garamond Pro" w:cs="Times New Roman"/>
          <w:sz w:val="24"/>
          <w:szCs w:val="24"/>
          <w:lang w:val="en-US"/>
        </w:rPr>
        <w:t>The composite objective function</w:t>
      </w:r>
      <w:r>
        <w:rPr>
          <w:rFonts w:ascii="Adobe Garamond Pro" w:hAnsi="Adobe Garamond Pro" w:cs="Times New Roman"/>
          <w:sz w:val="24"/>
          <w:szCs w:val="24"/>
          <w:lang w:val="en-US"/>
        </w:rPr>
        <w:t xml:space="preserve"> during generation of a dose-mimicking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 xml:space="preserve"> plan is a weighted sum of reference </w:t>
      </w:r>
      <w:r w:rsidRPr="00F35865">
        <w:rPr>
          <w:rFonts w:ascii="Adobe Garamond Pro" w:hAnsi="Adobe Garamond Pro" w:cs="Times New Roman"/>
          <w:sz w:val="24"/>
          <w:szCs w:val="24"/>
          <w:bdr w:val="none" w:sz="0" w:space="0" w:color="auto" w:frame="1"/>
          <w:lang w:val="en-US"/>
        </w:rPr>
        <w:t>dose-volume histogram (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>DVH) functions that impose a one-sided quadratic penalty on DVH curve error. Functions associated with OARs are given unit weight while functions associated with targets are given a weight equal to a user-defined target priority. Reference DVH functions associated with OARs penalize overdo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softHyphen/>
        <w:t>sage with respect to the fallback DVH o</w:t>
      </w:r>
      <w:r w:rsidR="003F5B3D">
        <w:rPr>
          <w:rFonts w:ascii="Adobe Garamond Pro" w:hAnsi="Adobe Garamond Pro" w:cs="Times New Roman"/>
          <w:sz w:val="24"/>
          <w:szCs w:val="24"/>
          <w:lang w:val="en-US"/>
        </w:rPr>
        <w:t>ver the entire volume in</w:t>
      </w:r>
      <w:r w:rsidR="003F5B3D">
        <w:rPr>
          <w:rFonts w:ascii="Adobe Garamond Pro" w:hAnsi="Adobe Garamond Pro" w:cs="Times New Roman"/>
          <w:sz w:val="24"/>
          <w:szCs w:val="24"/>
          <w:lang w:val="en-US"/>
        </w:rPr>
        <w:softHyphen/>
        <w:t>terval.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 xml:space="preserve"> </w:t>
      </w:r>
      <w:r w:rsidR="003F5B3D">
        <w:rPr>
          <w:rFonts w:ascii="Adobe Garamond Pro" w:hAnsi="Adobe Garamond Pro" w:cs="Times New Roman"/>
          <w:sz w:val="24"/>
          <w:szCs w:val="24"/>
          <w:lang w:val="en-US"/>
        </w:rPr>
        <w:t>W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>hereas</w:t>
      </w:r>
      <w:r w:rsidR="003F5B3D">
        <w:rPr>
          <w:rFonts w:ascii="Adobe Garamond Pro" w:hAnsi="Adobe Garamond Pro" w:cs="Times New Roman"/>
          <w:sz w:val="24"/>
          <w:szCs w:val="24"/>
          <w:lang w:val="en-US"/>
        </w:rPr>
        <w:t>,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 xml:space="preserve"> reference DVH functions associated with targets penalize overdosage for relative volumes in the interval [0, 0.5] and underdosage in the interval [0.5, 1.0]. All reference DVH functions are based on creating sets of DVH points for the refe</w:t>
      </w:r>
      <w:r w:rsidR="003F5B3D">
        <w:rPr>
          <w:rFonts w:ascii="Adobe Garamond Pro" w:hAnsi="Adobe Garamond Pro" w:cs="Times New Roman"/>
          <w:sz w:val="24"/>
          <w:szCs w:val="24"/>
          <w:lang w:val="en-US"/>
        </w:rPr>
        <w:t>rence dose and the present dose. These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 xml:space="preserve"> divid</w:t>
      </w:r>
      <w:r w:rsidR="003F5B3D">
        <w:rPr>
          <w:rFonts w:ascii="Adobe Garamond Pro" w:hAnsi="Adobe Garamond Pro" w:cs="Times New Roman"/>
          <w:sz w:val="24"/>
          <w:szCs w:val="24"/>
          <w:lang w:val="en-US"/>
        </w:rPr>
        <w:t>e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 xml:space="preserve"> the volume interval into subintervals in which the dose levels of both curves are constant, e.g. for the subinterval [</w:t>
      </w:r>
      <w:r w:rsidRPr="00F35865">
        <w:rPr>
          <w:rFonts w:ascii="Adobe Garamond Pro" w:hAnsi="Adobe Garamond Pro" w:cs="Times New Roman"/>
          <w:i/>
          <w:sz w:val="24"/>
          <w:szCs w:val="24"/>
          <w:lang w:val="en-US"/>
        </w:rPr>
        <w:t>V</w:t>
      </w:r>
      <w:r w:rsidRPr="00F35865">
        <w:rPr>
          <w:rFonts w:ascii="Adobe Garamond Pro" w:hAnsi="Adobe Garamond Pro" w:cs="Times New Roman"/>
          <w:i/>
          <w:sz w:val="24"/>
          <w:szCs w:val="24"/>
          <w:vertAlign w:val="subscript"/>
          <w:lang w:val="en-US"/>
        </w:rPr>
        <w:t>low</w:t>
      </w:r>
      <w:r w:rsidRPr="00F35865">
        <w:rPr>
          <w:rFonts w:ascii="Adobe Garamond Pro" w:hAnsi="Adobe Garamond Pro" w:cs="Times New Roman"/>
          <w:i/>
          <w:sz w:val="24"/>
          <w:szCs w:val="24"/>
          <w:lang w:val="en-US"/>
        </w:rPr>
        <w:t>,V</w:t>
      </w:r>
      <w:r w:rsidRPr="00F35865">
        <w:rPr>
          <w:rFonts w:ascii="Adobe Garamond Pro" w:hAnsi="Adobe Garamond Pro" w:cs="Times New Roman"/>
          <w:i/>
          <w:sz w:val="24"/>
          <w:szCs w:val="24"/>
          <w:vertAlign w:val="subscript"/>
          <w:lang w:val="en-US"/>
        </w:rPr>
        <w:t>high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 xml:space="preserve">] with corresponding dose levels </w:t>
      </w:r>
      <w:r w:rsidRPr="00F35865">
        <w:rPr>
          <w:rFonts w:ascii="Adobe Garamond Pro" w:hAnsi="Adobe Garamond Pro" w:cs="Times New Roman"/>
          <w:i/>
          <w:sz w:val="24"/>
          <w:szCs w:val="24"/>
          <w:lang w:val="en-US"/>
        </w:rPr>
        <w:t>d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 xml:space="preserve"> and </w:t>
      </w:r>
      <w:r w:rsidRPr="00F35865">
        <w:rPr>
          <w:rFonts w:ascii="Adobe Garamond Pro" w:hAnsi="Adobe Garamond Pro" w:cs="Times New Roman"/>
          <w:i/>
          <w:sz w:val="24"/>
          <w:szCs w:val="24"/>
          <w:lang w:val="en-US"/>
        </w:rPr>
        <w:t>d</w:t>
      </w:r>
      <w:r w:rsidRPr="00F35865">
        <w:rPr>
          <w:rFonts w:ascii="Adobe Garamond Pro" w:hAnsi="Adobe Garamond Pro" w:cs="Times New Roman"/>
          <w:i/>
          <w:sz w:val="24"/>
          <w:szCs w:val="24"/>
          <w:vertAlign w:val="subscript"/>
          <w:lang w:val="en-US"/>
        </w:rPr>
        <w:t>ref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 xml:space="preserve"> the contribution to the objective function value from the given subinterval will be:</w:t>
      </w:r>
    </w:p>
    <w:p w:rsidR="00E46690" w:rsidRPr="00F35865" w:rsidRDefault="00E46690" w:rsidP="00E46690">
      <w:pPr>
        <w:spacing w:before="100" w:beforeAutospacing="1" w:line="240" w:lineRule="auto"/>
        <w:rPr>
          <w:rFonts w:ascii="Adobe Garamond Pro" w:hAnsi="Adobe Garamond Pro" w:cs="Times New Roman"/>
          <w:sz w:val="24"/>
          <w:szCs w:val="24"/>
          <w:lang w:val="en-US"/>
        </w:rPr>
      </w:pPr>
      <w:r w:rsidRPr="00F35865">
        <w:rPr>
          <w:rFonts w:ascii="Adobe Garamond Pro" w:hAnsi="Adobe Garamond Pro" w:cs="Times New Roman"/>
          <w:sz w:val="24"/>
          <w:szCs w:val="24"/>
          <w:lang w:val="en-US"/>
        </w:rPr>
        <w:t>Penalizing overdosage: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high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low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∙H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ref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F35865">
        <w:rPr>
          <w:rFonts w:ascii="Adobe Garamond Pro" w:hAnsi="Adobe Garamond Pro" w:cs="Times New Roman"/>
          <w:sz w:val="24"/>
          <w:szCs w:val="24"/>
          <w:lang w:val="en-US"/>
        </w:rPr>
        <w:t xml:space="preserve"> 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ab/>
        <w:t>(1)</w:t>
      </w:r>
    </w:p>
    <w:p w:rsidR="00E46690" w:rsidRPr="00F35865" w:rsidRDefault="00E46690" w:rsidP="00E46690">
      <w:pPr>
        <w:spacing w:before="100" w:beforeAutospacing="1" w:line="240" w:lineRule="auto"/>
        <w:rPr>
          <w:rFonts w:ascii="Adobe Garamond Pro" w:eastAsiaTheme="minorEastAsia" w:hAnsi="Adobe Garamond Pro" w:cs="Times New Roman"/>
          <w:sz w:val="24"/>
          <w:szCs w:val="24"/>
          <w:lang w:val="en-US"/>
        </w:rPr>
      </w:pPr>
      <w:r w:rsidRPr="00F35865">
        <w:rPr>
          <w:rFonts w:ascii="Adobe Garamond Pro" w:hAnsi="Adobe Garamond Pro" w:cs="Times New Roman"/>
          <w:sz w:val="24"/>
          <w:szCs w:val="24"/>
          <w:lang w:val="en-US"/>
        </w:rPr>
        <w:t>Penalizing underdosage:</w:t>
      </w:r>
      <w:r w:rsidRPr="00F35865">
        <w:rPr>
          <w:rFonts w:ascii="Adobe Garamond Pro" w:hAnsi="Adobe Garamond Pro" w:cs="Times New Roman"/>
          <w:sz w:val="24"/>
          <w:szCs w:val="24"/>
          <w:lang w:val="en-US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high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low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∙H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ref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-d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F35865">
        <w:rPr>
          <w:rFonts w:ascii="Adobe Garamond Pro" w:eastAsiaTheme="minorEastAsia" w:hAnsi="Adobe Garamond Pro" w:cs="Times New Roman"/>
          <w:sz w:val="24"/>
          <w:szCs w:val="24"/>
          <w:lang w:val="en-US"/>
        </w:rPr>
        <w:tab/>
        <w:t>(2)</w:t>
      </w:r>
    </w:p>
    <w:p w:rsidR="00B32018" w:rsidRDefault="00E46690" w:rsidP="00E46690">
      <w:pPr>
        <w:spacing w:before="100" w:beforeAutospacing="1" w:line="240" w:lineRule="auto"/>
        <w:rPr>
          <w:rFonts w:ascii="Adobe Garamond Pro" w:eastAsiaTheme="minorEastAsia" w:hAnsi="Adobe Garamond Pro" w:cs="Times New Roman"/>
          <w:sz w:val="24"/>
          <w:szCs w:val="24"/>
          <w:lang w:val="en-US"/>
        </w:rPr>
      </w:pPr>
      <w:r w:rsidRPr="00F35865">
        <w:rPr>
          <w:rFonts w:ascii="Adobe Garamond Pro" w:eastAsiaTheme="minorEastAsia" w:hAnsi="Adobe Garamond Pro" w:cs="Times New Roman"/>
          <w:sz w:val="24"/>
          <w:szCs w:val="24"/>
          <w:lang w:val="en-US"/>
        </w:rPr>
        <w:t xml:space="preserve">where </w:t>
      </w:r>
      <w:r w:rsidRPr="00F35865">
        <w:rPr>
          <w:rFonts w:ascii="Adobe Garamond Pro" w:eastAsiaTheme="minorEastAsia" w:hAnsi="Adobe Garamond Pro" w:cs="Times New Roman"/>
          <w:i/>
          <w:sz w:val="24"/>
          <w:szCs w:val="24"/>
          <w:lang w:val="en-US"/>
        </w:rPr>
        <w:t>H</w:t>
      </w:r>
      <w:r w:rsidRPr="00F35865">
        <w:rPr>
          <w:rFonts w:ascii="Adobe Garamond Pro" w:eastAsiaTheme="minorEastAsia" w:hAnsi="Adobe Garamond Pro" w:cs="Times New Roman"/>
          <w:sz w:val="24"/>
          <w:szCs w:val="24"/>
          <w:lang w:val="en-US"/>
        </w:rPr>
        <w:t xml:space="preserve"> is the Heaviside function.</w:t>
      </w:r>
    </w:p>
    <w:p w:rsidR="00B32018" w:rsidRDefault="00B32018" w:rsidP="00B32018">
      <w:pPr>
        <w:rPr>
          <w:lang w:val="en-US"/>
        </w:rPr>
      </w:pPr>
      <w:r>
        <w:rPr>
          <w:lang w:val="en-US"/>
        </w:rPr>
        <w:br w:type="page"/>
      </w:r>
    </w:p>
    <w:p w:rsidR="00B32018" w:rsidRDefault="00B32018" w:rsidP="00B32018">
      <w:pPr>
        <w:spacing w:line="240" w:lineRule="auto"/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2773680" cy="1804670"/>
            <wp:effectExtent l="0" t="0" r="7620" b="508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018" w:rsidRDefault="008C33AC" w:rsidP="00B32018">
      <w:pPr>
        <w:spacing w:line="240" w:lineRule="auto"/>
        <w:rPr>
          <w:rFonts w:ascii="Adobe Garamond Pro" w:hAnsi="Adobe Garamond Pro"/>
          <w:sz w:val="24"/>
          <w:lang w:val="en-US"/>
        </w:rPr>
      </w:pPr>
      <w:proofErr w:type="gramStart"/>
      <w:r w:rsidRPr="008C33AC">
        <w:rPr>
          <w:rFonts w:ascii="Adobe Garamond Pro" w:hAnsi="Adobe Garamond Pro"/>
          <w:sz w:val="24"/>
          <w:lang w:val="en-US"/>
        </w:rPr>
        <w:t xml:space="preserve">Supplementary </w:t>
      </w:r>
      <w:r w:rsidR="00B32018" w:rsidRPr="008C33AC">
        <w:rPr>
          <w:rFonts w:ascii="Adobe Garamond Pro" w:hAnsi="Adobe Garamond Pro"/>
          <w:sz w:val="24"/>
          <w:lang w:val="en-US"/>
        </w:rPr>
        <w:t>Figure 1</w:t>
      </w:r>
      <w:bookmarkStart w:id="0" w:name="_GoBack"/>
      <w:r w:rsidRPr="008C33AC">
        <w:rPr>
          <w:rFonts w:ascii="Adobe Garamond Pro" w:hAnsi="Adobe Garamond Pro"/>
          <w:sz w:val="24"/>
          <w:lang w:val="en-US"/>
        </w:rPr>
        <w:t>.</w:t>
      </w:r>
      <w:bookmarkEnd w:id="0"/>
      <w:proofErr w:type="gramEnd"/>
      <w:r>
        <w:rPr>
          <w:rFonts w:ascii="Adobe Garamond Pro" w:hAnsi="Adobe Garamond Pro"/>
          <w:b/>
          <w:sz w:val="24"/>
          <w:lang w:val="en-US"/>
        </w:rPr>
        <w:t xml:space="preserve"> </w:t>
      </w:r>
      <w:proofErr w:type="gramStart"/>
      <w:r w:rsidR="00B32018">
        <w:rPr>
          <w:rFonts w:ascii="Adobe Garamond Pro" w:hAnsi="Adobe Garamond Pro"/>
          <w:sz w:val="24"/>
          <w:lang w:val="en-US"/>
        </w:rPr>
        <w:t>F</w:t>
      </w:r>
      <w:r w:rsidR="00B32018" w:rsidRPr="00F35865">
        <w:rPr>
          <w:rFonts w:ascii="Adobe Garamond Pro" w:hAnsi="Adobe Garamond Pro"/>
          <w:sz w:val="24"/>
          <w:lang w:val="en-US"/>
        </w:rPr>
        <w:t xml:space="preserve">ronts consisting of </w:t>
      </w:r>
      <w:r w:rsidR="005D1BB7" w:rsidRPr="005D1BB7">
        <w:rPr>
          <w:rFonts w:ascii="Adobe Garamond Pro" w:hAnsi="Adobe Garamond Pro"/>
          <w:sz w:val="24"/>
          <w:lang w:val="en-US"/>
        </w:rPr>
        <w:t xml:space="preserve">system-specific </w:t>
      </w:r>
      <w:r w:rsidR="00B32018">
        <w:rPr>
          <w:rFonts w:ascii="Adobe Garamond Pro" w:hAnsi="Adobe Garamond Pro"/>
          <w:sz w:val="24"/>
          <w:lang w:val="en-US"/>
        </w:rPr>
        <w:t xml:space="preserve">optimal </w:t>
      </w:r>
      <w:r w:rsidR="00B32018" w:rsidRPr="00F35865">
        <w:rPr>
          <w:rFonts w:ascii="Adobe Garamond Pro" w:hAnsi="Adobe Garamond Pro"/>
          <w:sz w:val="24"/>
          <w:lang w:val="en-US"/>
        </w:rPr>
        <w:t xml:space="preserve">original plans and </w:t>
      </w:r>
      <w:r w:rsidR="00B32018">
        <w:rPr>
          <w:rFonts w:ascii="Adobe Garamond Pro" w:hAnsi="Adobe Garamond Pro"/>
          <w:sz w:val="24"/>
          <w:lang w:val="en-US"/>
        </w:rPr>
        <w:t>dose-mimicking</w:t>
      </w:r>
      <w:r w:rsidR="00B32018" w:rsidRPr="00F35865">
        <w:rPr>
          <w:rFonts w:ascii="Adobe Garamond Pro" w:hAnsi="Adobe Garamond Pro"/>
          <w:sz w:val="24"/>
          <w:lang w:val="en-US"/>
        </w:rPr>
        <w:t xml:space="preserve"> treatment plans for three</w:t>
      </w:r>
      <w:r w:rsidR="002664D7">
        <w:rPr>
          <w:rFonts w:ascii="Adobe Garamond Pro" w:hAnsi="Adobe Garamond Pro"/>
          <w:sz w:val="24"/>
          <w:lang w:val="en-US"/>
        </w:rPr>
        <w:t xml:space="preserve"> cases of head &amp; neck tumors (H</w:t>
      </w:r>
      <w:r w:rsidR="00B32018" w:rsidRPr="00F35865">
        <w:rPr>
          <w:rFonts w:ascii="Adobe Garamond Pro" w:hAnsi="Adobe Garamond Pro"/>
          <w:sz w:val="24"/>
          <w:lang w:val="en-US"/>
        </w:rPr>
        <w:t>1-3) and</w:t>
      </w:r>
      <w:r w:rsidR="002664D7">
        <w:rPr>
          <w:rFonts w:ascii="Adobe Garamond Pro" w:hAnsi="Adobe Garamond Pro"/>
          <w:sz w:val="24"/>
          <w:lang w:val="en-US"/>
        </w:rPr>
        <w:t xml:space="preserve"> three cases of brain tumors (B</w:t>
      </w:r>
      <w:r w:rsidR="00B32018" w:rsidRPr="00F35865">
        <w:rPr>
          <w:rFonts w:ascii="Adobe Garamond Pro" w:hAnsi="Adobe Garamond Pro"/>
          <w:sz w:val="24"/>
          <w:lang w:val="en-US"/>
        </w:rPr>
        <w:t>1-3).</w:t>
      </w:r>
      <w:proofErr w:type="gramEnd"/>
    </w:p>
    <w:p w:rsidR="00B32018" w:rsidRDefault="00B32018" w:rsidP="00B32018">
      <w:pPr>
        <w:rPr>
          <w:lang w:val="en-US"/>
        </w:rPr>
      </w:pPr>
      <w:r>
        <w:rPr>
          <w:lang w:val="en-US"/>
        </w:rPr>
        <w:br w:type="page"/>
      </w:r>
    </w:p>
    <w:p w:rsidR="00B32018" w:rsidRDefault="00B32018" w:rsidP="00B32018">
      <w:pPr>
        <w:spacing w:line="240" w:lineRule="auto"/>
        <w:rPr>
          <w:rFonts w:ascii="Adobe Garamond Pro" w:hAnsi="Adobe Garamond Pro"/>
          <w:b/>
          <w:sz w:val="24"/>
          <w:lang w:val="en-US"/>
        </w:rPr>
      </w:pPr>
      <w:r>
        <w:rPr>
          <w:rFonts w:ascii="Adobe Garamond Pro" w:hAnsi="Adobe Garamond Pro"/>
          <w:noProof/>
          <w:sz w:val="24"/>
          <w:lang w:val="en-AU" w:eastAsia="en-AU"/>
        </w:rPr>
        <w:lastRenderedPageBreak/>
        <w:drawing>
          <wp:inline distT="0" distB="0" distL="0" distR="0">
            <wp:extent cx="2773680" cy="1804670"/>
            <wp:effectExtent l="0" t="0" r="7620" b="508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obe Garamond Pro" w:hAnsi="Adobe Garamond Pro"/>
          <w:noProof/>
          <w:sz w:val="24"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obe Garamond Pro" w:hAnsi="Adobe Garamond Pro"/>
          <w:noProof/>
          <w:sz w:val="24"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obe Garamond Pro" w:hAnsi="Adobe Garamond Pro"/>
          <w:noProof/>
          <w:sz w:val="24"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obe Garamond Pro" w:hAnsi="Adobe Garamond Pro"/>
          <w:noProof/>
          <w:sz w:val="24"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obe Garamond Pro" w:hAnsi="Adobe Garamond Pro"/>
          <w:noProof/>
          <w:sz w:val="24"/>
          <w:lang w:val="en-AU" w:eastAsia="en-AU"/>
        </w:rPr>
        <w:drawing>
          <wp:inline distT="0" distB="0" distL="0" distR="0">
            <wp:extent cx="2773680" cy="1804670"/>
            <wp:effectExtent l="0" t="0" r="7620" b="508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018" w:rsidRDefault="008C33AC" w:rsidP="00B32018">
      <w:pPr>
        <w:spacing w:line="240" w:lineRule="auto"/>
        <w:rPr>
          <w:rFonts w:ascii="Adobe Garamond Pro" w:hAnsi="Adobe Garamond Pro"/>
          <w:sz w:val="24"/>
          <w:lang w:val="en-US"/>
        </w:rPr>
      </w:pPr>
      <w:proofErr w:type="gramStart"/>
      <w:r w:rsidRPr="008C33AC">
        <w:rPr>
          <w:rFonts w:ascii="Adobe Garamond Pro" w:hAnsi="Adobe Garamond Pro"/>
          <w:sz w:val="24"/>
          <w:lang w:val="en-US"/>
        </w:rPr>
        <w:t xml:space="preserve">Supplementary </w:t>
      </w:r>
      <w:r w:rsidR="00B32018" w:rsidRPr="008C33AC">
        <w:rPr>
          <w:rFonts w:ascii="Adobe Garamond Pro" w:hAnsi="Adobe Garamond Pro"/>
          <w:sz w:val="24"/>
          <w:lang w:val="en-US"/>
        </w:rPr>
        <w:t>Figure 2</w:t>
      </w:r>
      <w:r w:rsidRPr="008C33AC">
        <w:rPr>
          <w:rFonts w:ascii="Adobe Garamond Pro" w:hAnsi="Adobe Garamond Pro"/>
          <w:sz w:val="24"/>
          <w:lang w:val="en-US"/>
        </w:rPr>
        <w:t>.</w:t>
      </w:r>
      <w:proofErr w:type="gramEnd"/>
      <w:r w:rsidRPr="008C33AC">
        <w:rPr>
          <w:rFonts w:ascii="Adobe Garamond Pro" w:hAnsi="Adobe Garamond Pro"/>
          <w:sz w:val="24"/>
          <w:lang w:val="en-US"/>
        </w:rPr>
        <w:t xml:space="preserve"> </w:t>
      </w:r>
      <w:r w:rsidR="00B32018">
        <w:rPr>
          <w:rFonts w:ascii="Adobe Garamond Pro" w:hAnsi="Adobe Garamond Pro"/>
          <w:sz w:val="24"/>
          <w:lang w:val="en-US"/>
        </w:rPr>
        <w:t>F</w:t>
      </w:r>
      <w:r w:rsidR="00B32018" w:rsidRPr="00F35865">
        <w:rPr>
          <w:rFonts w:ascii="Adobe Garamond Pro" w:hAnsi="Adobe Garamond Pro"/>
          <w:sz w:val="24"/>
          <w:lang w:val="en-US"/>
        </w:rPr>
        <w:t xml:space="preserve">ronts consisting of </w:t>
      </w:r>
      <w:r w:rsidR="005D1BB7" w:rsidRPr="005D1BB7">
        <w:rPr>
          <w:rFonts w:ascii="Adobe Garamond Pro" w:hAnsi="Adobe Garamond Pro"/>
          <w:sz w:val="24"/>
          <w:lang w:val="en-US"/>
        </w:rPr>
        <w:t xml:space="preserve">system-specific </w:t>
      </w:r>
      <w:r w:rsidR="00AE7F21">
        <w:rPr>
          <w:rFonts w:ascii="Adobe Garamond Pro" w:hAnsi="Adobe Garamond Pro"/>
          <w:sz w:val="24"/>
          <w:lang w:val="en-US"/>
        </w:rPr>
        <w:t xml:space="preserve">optimal </w:t>
      </w:r>
      <w:r w:rsidR="00B32018" w:rsidRPr="00F35865">
        <w:rPr>
          <w:rFonts w:ascii="Adobe Garamond Pro" w:hAnsi="Adobe Garamond Pro"/>
          <w:sz w:val="24"/>
          <w:lang w:val="en-US"/>
        </w:rPr>
        <w:t xml:space="preserve">original plans and </w:t>
      </w:r>
      <w:r w:rsidR="00B32018">
        <w:rPr>
          <w:rFonts w:ascii="Adobe Garamond Pro" w:hAnsi="Adobe Garamond Pro"/>
          <w:sz w:val="24"/>
          <w:lang w:val="en-US"/>
        </w:rPr>
        <w:t>dose-mimicking</w:t>
      </w:r>
      <w:r w:rsidR="00B32018" w:rsidRPr="00F35865">
        <w:rPr>
          <w:rFonts w:ascii="Adobe Garamond Pro" w:hAnsi="Adobe Garamond Pro"/>
          <w:sz w:val="24"/>
          <w:lang w:val="en-US"/>
        </w:rPr>
        <w:t xml:space="preserve"> treatment plans for three cases of tu</w:t>
      </w:r>
      <w:r w:rsidR="002664D7">
        <w:rPr>
          <w:rFonts w:ascii="Adobe Garamond Pro" w:hAnsi="Adobe Garamond Pro"/>
          <w:sz w:val="24"/>
          <w:lang w:val="en-US"/>
        </w:rPr>
        <w:t>mors in the abdominal region (A</w:t>
      </w:r>
      <w:r w:rsidR="00B32018" w:rsidRPr="00F35865">
        <w:rPr>
          <w:rFonts w:ascii="Adobe Garamond Pro" w:hAnsi="Adobe Garamond Pro"/>
          <w:sz w:val="24"/>
          <w:lang w:val="en-US"/>
        </w:rPr>
        <w:t>1-3) and three cases of</w:t>
      </w:r>
      <w:r w:rsidR="002664D7">
        <w:rPr>
          <w:rFonts w:ascii="Adobe Garamond Pro" w:hAnsi="Adobe Garamond Pro"/>
          <w:sz w:val="24"/>
          <w:lang w:val="en-US"/>
        </w:rPr>
        <w:t xml:space="preserve"> tumors in the pelvic region (P</w:t>
      </w:r>
      <w:r w:rsidR="00B32018" w:rsidRPr="00F35865">
        <w:rPr>
          <w:rFonts w:ascii="Adobe Garamond Pro" w:hAnsi="Adobe Garamond Pro"/>
          <w:sz w:val="24"/>
          <w:lang w:val="en-US"/>
        </w:rPr>
        <w:t>1-3).</w:t>
      </w:r>
    </w:p>
    <w:p w:rsidR="00B32018" w:rsidRDefault="00B32018" w:rsidP="00B32018">
      <w:pPr>
        <w:rPr>
          <w:lang w:val="en-US"/>
        </w:rPr>
      </w:pPr>
      <w:r>
        <w:rPr>
          <w:lang w:val="en-US"/>
        </w:rPr>
        <w:br w:type="page"/>
      </w:r>
    </w:p>
    <w:p w:rsidR="00B32018" w:rsidRPr="00F35865" w:rsidRDefault="00B32018" w:rsidP="00B32018">
      <w:pPr>
        <w:spacing w:line="240" w:lineRule="auto"/>
        <w:rPr>
          <w:rFonts w:ascii="Adobe Garamond Pro" w:hAnsi="Adobe Garamond Pro"/>
          <w:sz w:val="24"/>
          <w:bdr w:val="none" w:sz="0" w:space="0" w:color="auto" w:frame="1"/>
          <w:lang w:val="en-US"/>
        </w:rPr>
      </w:pPr>
      <w:r w:rsidRPr="00F35865">
        <w:rPr>
          <w:rFonts w:ascii="Adobe Garamond Pro" w:hAnsi="Adobe Garamond Pro"/>
          <w:noProof/>
          <w:sz w:val="24"/>
          <w:bdr w:val="none" w:sz="0" w:space="0" w:color="auto" w:frame="1"/>
          <w:lang w:val="en-AU" w:eastAsia="en-AU"/>
        </w:rPr>
        <w:lastRenderedPageBreak/>
        <w:drawing>
          <wp:inline distT="0" distB="0" distL="0" distR="0">
            <wp:extent cx="5183505" cy="3599815"/>
            <wp:effectExtent l="0" t="0" r="17145" b="635"/>
            <wp:docPr id="25" name="Diagram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32018" w:rsidRDefault="008C33AC" w:rsidP="008C33AC">
      <w:pPr>
        <w:tabs>
          <w:tab w:val="left" w:pos="1310"/>
        </w:tabs>
        <w:spacing w:line="240" w:lineRule="auto"/>
        <w:rPr>
          <w:rFonts w:ascii="Adobe Garamond Pro" w:hAnsi="Adobe Garamond Pro"/>
          <w:sz w:val="24"/>
          <w:bdr w:val="none" w:sz="0" w:space="0" w:color="auto" w:frame="1"/>
          <w:lang w:val="en-US"/>
        </w:rPr>
      </w:pPr>
      <w:proofErr w:type="gramStart"/>
      <w:r w:rsidRPr="008C33AC">
        <w:rPr>
          <w:rFonts w:ascii="Adobe Garamond Pro" w:hAnsi="Adobe Garamond Pro"/>
          <w:sz w:val="24"/>
          <w:lang w:val="en-US"/>
        </w:rPr>
        <w:t xml:space="preserve">Supplementary </w:t>
      </w:r>
      <w:r w:rsidR="00B32018" w:rsidRPr="008C33AC">
        <w:rPr>
          <w:rFonts w:ascii="Adobe Garamond Pro" w:hAnsi="Adobe Garamond Pro"/>
          <w:sz w:val="24"/>
          <w:lang w:val="en-US"/>
        </w:rPr>
        <w:t>Figure 3</w:t>
      </w:r>
      <w:r w:rsidRPr="008C33AC">
        <w:rPr>
          <w:rFonts w:ascii="Adobe Garamond Pro" w:hAnsi="Adobe Garamond Pro"/>
          <w:sz w:val="24"/>
          <w:lang w:val="en-US"/>
        </w:rPr>
        <w:t>.</w:t>
      </w:r>
      <w:proofErr w:type="gramEnd"/>
      <w:r>
        <w:rPr>
          <w:rFonts w:ascii="Adobe Garamond Pro" w:hAnsi="Adobe Garamond Pro"/>
          <w:b/>
          <w:sz w:val="24"/>
          <w:lang w:val="en-US"/>
        </w:rPr>
        <w:t xml:space="preserve"> </w:t>
      </w:r>
      <w:r w:rsidR="00B32018" w:rsidRPr="00F35865">
        <w:rPr>
          <w:rFonts w:ascii="Adobe Garamond Pro" w:hAnsi="Adobe Garamond Pro"/>
          <w:sz w:val="24"/>
          <w:lang w:val="en-US"/>
        </w:rPr>
        <w:t xml:space="preserve">Results </w:t>
      </w:r>
      <w:r w:rsidR="00B32018" w:rsidRPr="00F35865">
        <w:rPr>
          <w:rFonts w:ascii="Adobe Garamond Pro" w:hAnsi="Adobe Garamond Pro"/>
          <w:sz w:val="24"/>
          <w:bdr w:val="none" w:sz="0" w:space="0" w:color="auto" w:frame="1"/>
          <w:lang w:val="en-US"/>
        </w:rPr>
        <w:t xml:space="preserve">from the 3%/2 mm </w:t>
      </w:r>
      <w:r w:rsidR="00B32018" w:rsidRPr="00F35865">
        <w:rPr>
          <w:rFonts w:ascii="Cambria" w:hAnsi="Cambria" w:cs="Cambria"/>
          <w:sz w:val="24"/>
          <w:bdr w:val="none" w:sz="0" w:space="0" w:color="auto" w:frame="1"/>
          <w:lang w:val="en-US"/>
        </w:rPr>
        <w:t>γ</w:t>
      </w:r>
      <w:r w:rsidR="00B32018" w:rsidRPr="00F35865">
        <w:rPr>
          <w:rFonts w:ascii="Adobe Garamond Pro" w:hAnsi="Adobe Garamond Pro"/>
          <w:sz w:val="24"/>
          <w:bdr w:val="none" w:sz="0" w:space="0" w:color="auto" w:frame="1"/>
          <w:lang w:val="en-US"/>
        </w:rPr>
        <w:t xml:space="preserve">-analysis for original plans as well as </w:t>
      </w:r>
      <w:r w:rsidR="00B32018">
        <w:rPr>
          <w:rFonts w:ascii="Adobe Garamond Pro" w:hAnsi="Adobe Garamond Pro"/>
          <w:sz w:val="24"/>
          <w:lang w:val="en-US"/>
        </w:rPr>
        <w:t>dose-mimicking</w:t>
      </w:r>
      <w:r w:rsidR="00B32018" w:rsidRPr="00F35865">
        <w:rPr>
          <w:rFonts w:ascii="Adobe Garamond Pro" w:hAnsi="Adobe Garamond Pro"/>
          <w:sz w:val="24"/>
          <w:lang w:val="en-US"/>
        </w:rPr>
        <w:t xml:space="preserve"> treatment plans </w:t>
      </w:r>
      <w:r w:rsidR="00865A02">
        <w:rPr>
          <w:rFonts w:ascii="Adobe Garamond Pro" w:hAnsi="Adobe Garamond Pro"/>
          <w:sz w:val="24"/>
          <w:bdr w:val="none" w:sz="0" w:space="0" w:color="auto" w:frame="1"/>
          <w:lang w:val="en-US"/>
        </w:rPr>
        <w:t>that illustrates</w:t>
      </w:r>
      <w:r w:rsidR="00B32018" w:rsidRPr="00F35865">
        <w:rPr>
          <w:rFonts w:ascii="Adobe Garamond Pro" w:hAnsi="Adobe Garamond Pro"/>
          <w:sz w:val="24"/>
          <w:bdr w:val="none" w:sz="0" w:space="0" w:color="auto" w:frame="1"/>
          <w:lang w:val="en-US"/>
        </w:rPr>
        <w:t xml:space="preserve"> how the results correlate (correlation line) with the total number of MU</w:t>
      </w:r>
      <w:r w:rsidR="000A5D1C">
        <w:rPr>
          <w:rFonts w:ascii="Adobe Garamond Pro" w:hAnsi="Adobe Garamond Pro"/>
          <w:sz w:val="24"/>
          <w:bdr w:val="none" w:sz="0" w:space="0" w:color="auto" w:frame="1"/>
          <w:lang w:val="en-US"/>
        </w:rPr>
        <w:t>s</w:t>
      </w:r>
      <w:r w:rsidR="00B32018" w:rsidRPr="00F35865">
        <w:rPr>
          <w:rFonts w:ascii="Adobe Garamond Pro" w:hAnsi="Adobe Garamond Pro"/>
          <w:sz w:val="24"/>
          <w:bdr w:val="none" w:sz="0" w:space="0" w:color="auto" w:frame="1"/>
          <w:lang w:val="en-US"/>
        </w:rPr>
        <w:t xml:space="preserve"> in a plan. Our clinical quality control (QC) criterion of 95% approved data points for a plan is included in the figure as a dotted line. Also, ellipses are shown whi</w:t>
      </w:r>
      <w:r w:rsidR="002664D7">
        <w:rPr>
          <w:rFonts w:ascii="Adobe Garamond Pro" w:hAnsi="Adobe Garamond Pro"/>
          <w:sz w:val="24"/>
          <w:bdr w:val="none" w:sz="0" w:space="0" w:color="auto" w:frame="1"/>
          <w:lang w:val="en-US"/>
        </w:rPr>
        <w:t>ch encompasses plans for case H2 and A</w:t>
      </w:r>
      <w:r w:rsidR="00B32018" w:rsidRPr="00F35865">
        <w:rPr>
          <w:rFonts w:ascii="Adobe Garamond Pro" w:hAnsi="Adobe Garamond Pro"/>
          <w:sz w:val="24"/>
          <w:bdr w:val="none" w:sz="0" w:space="0" w:color="auto" w:frame="1"/>
          <w:lang w:val="en-US"/>
        </w:rPr>
        <w:t>2.</w:t>
      </w:r>
    </w:p>
    <w:p w:rsidR="00B32018" w:rsidRDefault="00B32018" w:rsidP="00B32018">
      <w:pPr>
        <w:spacing w:line="240" w:lineRule="auto"/>
        <w:rPr>
          <w:rFonts w:ascii="Adobe Garamond Pro" w:hAnsi="Adobe Garamond Pro"/>
          <w:sz w:val="24"/>
          <w:lang w:val="en-US"/>
        </w:rPr>
      </w:pPr>
    </w:p>
    <w:p w:rsidR="00B32018" w:rsidRPr="00B32018" w:rsidRDefault="00B32018" w:rsidP="00B32018">
      <w:pPr>
        <w:rPr>
          <w:lang w:val="en-US"/>
        </w:rPr>
      </w:pPr>
    </w:p>
    <w:p w:rsidR="00B32018" w:rsidRDefault="00B32018" w:rsidP="00B32018">
      <w:pPr>
        <w:spacing w:line="240" w:lineRule="auto"/>
        <w:rPr>
          <w:rFonts w:ascii="Adobe Garamond Pro" w:hAnsi="Adobe Garamond Pro"/>
          <w:sz w:val="24"/>
          <w:lang w:val="en-US"/>
        </w:rPr>
      </w:pPr>
    </w:p>
    <w:p w:rsidR="00E46690" w:rsidRPr="00E46690" w:rsidRDefault="00E46690" w:rsidP="00E46690">
      <w:pPr>
        <w:rPr>
          <w:lang w:val="en-US"/>
        </w:rPr>
      </w:pPr>
    </w:p>
    <w:sectPr w:rsidR="00E46690" w:rsidRPr="00E46690" w:rsidSect="00BE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6690"/>
    <w:rsid w:val="000A5D1C"/>
    <w:rsid w:val="002664D7"/>
    <w:rsid w:val="002B7314"/>
    <w:rsid w:val="003F5B3D"/>
    <w:rsid w:val="005D1BB7"/>
    <w:rsid w:val="00697339"/>
    <w:rsid w:val="006F71EE"/>
    <w:rsid w:val="00865A02"/>
    <w:rsid w:val="008C33AC"/>
    <w:rsid w:val="009E28CC"/>
    <w:rsid w:val="009E433F"/>
    <w:rsid w:val="00AE7F21"/>
    <w:rsid w:val="00B32018"/>
    <w:rsid w:val="00B4362A"/>
    <w:rsid w:val="00BB30FF"/>
    <w:rsid w:val="00BE0955"/>
    <w:rsid w:val="00C76EF8"/>
    <w:rsid w:val="00D57138"/>
    <w:rsid w:val="00E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55"/>
  </w:style>
  <w:style w:type="paragraph" w:styleId="Heading1">
    <w:name w:val="heading 1"/>
    <w:basedOn w:val="Normal"/>
    <w:next w:val="Normal"/>
    <w:link w:val="Heading1Char"/>
    <w:uiPriority w:val="9"/>
    <w:qFormat/>
    <w:rsid w:val="00E46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6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66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66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hart" Target="charts/chart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IMPTvsRA_paret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97895921774942"/>
          <c:y val="7.8334444444444526E-2"/>
          <c:w val="0.80066537989256259"/>
          <c:h val="0.79285796631215766"/>
        </c:manualLayout>
      </c:layout>
      <c:scatterChart>
        <c:scatterStyle val="lineMarker"/>
        <c:varyColors val="0"/>
        <c:ser>
          <c:idx val="0"/>
          <c:order val="0"/>
          <c:tx>
            <c:v>Original</c:v>
          </c:tx>
          <c:spPr>
            <a:ln w="19050">
              <a:noFill/>
            </a:ln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'H&amp;N'!$AZ$3:$AZ$154</c:f>
              <c:numCache>
                <c:formatCode>General</c:formatCode>
                <c:ptCount val="152"/>
                <c:pt idx="0">
                  <c:v>405.9</c:v>
                </c:pt>
                <c:pt idx="1">
                  <c:v>408.7</c:v>
                </c:pt>
                <c:pt idx="2">
                  <c:v>445.1</c:v>
                </c:pt>
                <c:pt idx="3">
                  <c:v>454.6</c:v>
                </c:pt>
                <c:pt idx="4">
                  <c:v>506.9</c:v>
                </c:pt>
                <c:pt idx="5">
                  <c:v>528.1</c:v>
                </c:pt>
                <c:pt idx="6">
                  <c:v>559.6</c:v>
                </c:pt>
                <c:pt idx="7">
                  <c:v>485.5</c:v>
                </c:pt>
                <c:pt idx="8">
                  <c:v>530</c:v>
                </c:pt>
                <c:pt idx="9">
                  <c:v>501.3</c:v>
                </c:pt>
                <c:pt idx="10">
                  <c:v>470.7</c:v>
                </c:pt>
                <c:pt idx="11">
                  <c:v>491.5</c:v>
                </c:pt>
                <c:pt idx="12">
                  <c:v>545.20000000000005</c:v>
                </c:pt>
                <c:pt idx="13">
                  <c:v>1166.2</c:v>
                </c:pt>
                <c:pt idx="14">
                  <c:v>1236.7</c:v>
                </c:pt>
                <c:pt idx="15">
                  <c:v>1074.4000000000001</c:v>
                </c:pt>
                <c:pt idx="16">
                  <c:v>1120.3</c:v>
                </c:pt>
                <c:pt idx="17">
                  <c:v>1013.7</c:v>
                </c:pt>
                <c:pt idx="18">
                  <c:v>960.2</c:v>
                </c:pt>
                <c:pt idx="19">
                  <c:v>944.8</c:v>
                </c:pt>
                <c:pt idx="20">
                  <c:v>1921.7</c:v>
                </c:pt>
                <c:pt idx="21">
                  <c:v>1923.1</c:v>
                </c:pt>
                <c:pt idx="22">
                  <c:v>1948.7</c:v>
                </c:pt>
                <c:pt idx="23">
                  <c:v>1760.7</c:v>
                </c:pt>
                <c:pt idx="24">
                  <c:v>1394.1</c:v>
                </c:pt>
                <c:pt idx="25">
                  <c:v>1385</c:v>
                </c:pt>
                <c:pt idx="26">
                  <c:v>463.2</c:v>
                </c:pt>
                <c:pt idx="27">
                  <c:v>436.6</c:v>
                </c:pt>
                <c:pt idx="28">
                  <c:v>378.9</c:v>
                </c:pt>
                <c:pt idx="29">
                  <c:v>375.9</c:v>
                </c:pt>
                <c:pt idx="30">
                  <c:v>372.5</c:v>
                </c:pt>
                <c:pt idx="31">
                  <c:v>385</c:v>
                </c:pt>
                <c:pt idx="32">
                  <c:v>379.6</c:v>
                </c:pt>
                <c:pt idx="33">
                  <c:v>407.9</c:v>
                </c:pt>
                <c:pt idx="34">
                  <c:v>454.2</c:v>
                </c:pt>
                <c:pt idx="35">
                  <c:v>459.9</c:v>
                </c:pt>
                <c:pt idx="36">
                  <c:v>466.2</c:v>
                </c:pt>
                <c:pt idx="37">
                  <c:v>492</c:v>
                </c:pt>
                <c:pt idx="38">
                  <c:v>515.6</c:v>
                </c:pt>
                <c:pt idx="39">
                  <c:v>421.7</c:v>
                </c:pt>
                <c:pt idx="40">
                  <c:v>440.6</c:v>
                </c:pt>
                <c:pt idx="41">
                  <c:v>456.2</c:v>
                </c:pt>
                <c:pt idx="42">
                  <c:v>490.6</c:v>
                </c:pt>
                <c:pt idx="43">
                  <c:v>503.1</c:v>
                </c:pt>
                <c:pt idx="44">
                  <c:v>434.2</c:v>
                </c:pt>
                <c:pt idx="45">
                  <c:v>415.2</c:v>
                </c:pt>
                <c:pt idx="46">
                  <c:v>403.2</c:v>
                </c:pt>
                <c:pt idx="47">
                  <c:v>388.9</c:v>
                </c:pt>
                <c:pt idx="48">
                  <c:v>380.2</c:v>
                </c:pt>
                <c:pt idx="49">
                  <c:v>381.5</c:v>
                </c:pt>
                <c:pt idx="50">
                  <c:v>367.8</c:v>
                </c:pt>
                <c:pt idx="51">
                  <c:v>478.7</c:v>
                </c:pt>
                <c:pt idx="52">
                  <c:v>497.4</c:v>
                </c:pt>
                <c:pt idx="53">
                  <c:v>500.1</c:v>
                </c:pt>
                <c:pt idx="54">
                  <c:v>407.9</c:v>
                </c:pt>
                <c:pt idx="55">
                  <c:v>419.4</c:v>
                </c:pt>
                <c:pt idx="56">
                  <c:v>424.4</c:v>
                </c:pt>
                <c:pt idx="57">
                  <c:v>439.6</c:v>
                </c:pt>
                <c:pt idx="58">
                  <c:v>444.9</c:v>
                </c:pt>
                <c:pt idx="59">
                  <c:v>448</c:v>
                </c:pt>
                <c:pt idx="60">
                  <c:v>452.6</c:v>
                </c:pt>
                <c:pt idx="61">
                  <c:v>466.7</c:v>
                </c:pt>
                <c:pt idx="62">
                  <c:v>496.5</c:v>
                </c:pt>
                <c:pt idx="63">
                  <c:v>490.3</c:v>
                </c:pt>
                <c:pt idx="64">
                  <c:v>482.7</c:v>
                </c:pt>
                <c:pt idx="65">
                  <c:v>451</c:v>
                </c:pt>
                <c:pt idx="66">
                  <c:v>506.4</c:v>
                </c:pt>
                <c:pt idx="67">
                  <c:v>502.9</c:v>
                </c:pt>
                <c:pt idx="68">
                  <c:v>493.5</c:v>
                </c:pt>
                <c:pt idx="69">
                  <c:v>508.3</c:v>
                </c:pt>
                <c:pt idx="70">
                  <c:v>510.9</c:v>
                </c:pt>
                <c:pt idx="71">
                  <c:v>507.4</c:v>
                </c:pt>
                <c:pt idx="72">
                  <c:v>511.7</c:v>
                </c:pt>
                <c:pt idx="73">
                  <c:v>519.5</c:v>
                </c:pt>
                <c:pt idx="74">
                  <c:v>538</c:v>
                </c:pt>
                <c:pt idx="75">
                  <c:v>576</c:v>
                </c:pt>
                <c:pt idx="76">
                  <c:v>453.6</c:v>
                </c:pt>
                <c:pt idx="77">
                  <c:v>504</c:v>
                </c:pt>
                <c:pt idx="78">
                  <c:v>522.5</c:v>
                </c:pt>
                <c:pt idx="79">
                  <c:v>522.79999999999995</c:v>
                </c:pt>
                <c:pt idx="80">
                  <c:v>478.9</c:v>
                </c:pt>
                <c:pt idx="81">
                  <c:v>514.70000000000005</c:v>
                </c:pt>
                <c:pt idx="82">
                  <c:v>477.2</c:v>
                </c:pt>
                <c:pt idx="83">
                  <c:v>475.9</c:v>
                </c:pt>
                <c:pt idx="84">
                  <c:v>458.7</c:v>
                </c:pt>
                <c:pt idx="85">
                  <c:v>442.8</c:v>
                </c:pt>
                <c:pt idx="86">
                  <c:v>419.1</c:v>
                </c:pt>
                <c:pt idx="87">
                  <c:v>400.5</c:v>
                </c:pt>
                <c:pt idx="88">
                  <c:v>411.9</c:v>
                </c:pt>
                <c:pt idx="89">
                  <c:v>417</c:v>
                </c:pt>
                <c:pt idx="90">
                  <c:v>581.1</c:v>
                </c:pt>
                <c:pt idx="91">
                  <c:v>771.4</c:v>
                </c:pt>
                <c:pt idx="92">
                  <c:v>756.6</c:v>
                </c:pt>
                <c:pt idx="93">
                  <c:v>780.7</c:v>
                </c:pt>
                <c:pt idx="94">
                  <c:v>819.4</c:v>
                </c:pt>
                <c:pt idx="95">
                  <c:v>857.8</c:v>
                </c:pt>
                <c:pt idx="96">
                  <c:v>920.4</c:v>
                </c:pt>
                <c:pt idx="97">
                  <c:v>939.9</c:v>
                </c:pt>
                <c:pt idx="98">
                  <c:v>763.7</c:v>
                </c:pt>
                <c:pt idx="99">
                  <c:v>764.4</c:v>
                </c:pt>
                <c:pt idx="100">
                  <c:v>759.3</c:v>
                </c:pt>
                <c:pt idx="101">
                  <c:v>742</c:v>
                </c:pt>
                <c:pt idx="102">
                  <c:v>589.6</c:v>
                </c:pt>
                <c:pt idx="103">
                  <c:v>594.6</c:v>
                </c:pt>
                <c:pt idx="104">
                  <c:v>602.5</c:v>
                </c:pt>
                <c:pt idx="105">
                  <c:v>598.79999999999995</c:v>
                </c:pt>
                <c:pt idx="106">
                  <c:v>592.4</c:v>
                </c:pt>
                <c:pt idx="107">
                  <c:v>584.5</c:v>
                </c:pt>
                <c:pt idx="108">
                  <c:v>575</c:v>
                </c:pt>
                <c:pt idx="109">
                  <c:v>554.20000000000005</c:v>
                </c:pt>
                <c:pt idx="110">
                  <c:v>555.29999999999995</c:v>
                </c:pt>
                <c:pt idx="111">
                  <c:v>539.1</c:v>
                </c:pt>
                <c:pt idx="112">
                  <c:v>500.3</c:v>
                </c:pt>
                <c:pt idx="113">
                  <c:v>502.2</c:v>
                </c:pt>
                <c:pt idx="114">
                  <c:v>504.3</c:v>
                </c:pt>
                <c:pt idx="115">
                  <c:v>503</c:v>
                </c:pt>
                <c:pt idx="116">
                  <c:v>503.2</c:v>
                </c:pt>
                <c:pt idx="117">
                  <c:v>502.3</c:v>
                </c:pt>
                <c:pt idx="118">
                  <c:v>502.5</c:v>
                </c:pt>
                <c:pt idx="119">
                  <c:v>498.3</c:v>
                </c:pt>
                <c:pt idx="120">
                  <c:v>502.4</c:v>
                </c:pt>
                <c:pt idx="121">
                  <c:v>492.9</c:v>
                </c:pt>
                <c:pt idx="122">
                  <c:v>490</c:v>
                </c:pt>
                <c:pt idx="123">
                  <c:v>484</c:v>
                </c:pt>
                <c:pt idx="124">
                  <c:v>481.3</c:v>
                </c:pt>
                <c:pt idx="125">
                  <c:v>443.4</c:v>
                </c:pt>
                <c:pt idx="126">
                  <c:v>445.2</c:v>
                </c:pt>
                <c:pt idx="127">
                  <c:v>448.1</c:v>
                </c:pt>
                <c:pt idx="128">
                  <c:v>450.2</c:v>
                </c:pt>
                <c:pt idx="129">
                  <c:v>452.9</c:v>
                </c:pt>
                <c:pt idx="130">
                  <c:v>454.4</c:v>
                </c:pt>
                <c:pt idx="131">
                  <c:v>455.3</c:v>
                </c:pt>
                <c:pt idx="132">
                  <c:v>456.7</c:v>
                </c:pt>
                <c:pt idx="133">
                  <c:v>458.9</c:v>
                </c:pt>
                <c:pt idx="134">
                  <c:v>459.4</c:v>
                </c:pt>
                <c:pt idx="135">
                  <c:v>459.3</c:v>
                </c:pt>
                <c:pt idx="136">
                  <c:v>461.3</c:v>
                </c:pt>
                <c:pt idx="137">
                  <c:v>533.79999999999995</c:v>
                </c:pt>
                <c:pt idx="138">
                  <c:v>536.20000000000005</c:v>
                </c:pt>
                <c:pt idx="139">
                  <c:v>539.70000000000005</c:v>
                </c:pt>
                <c:pt idx="140">
                  <c:v>540.70000000000005</c:v>
                </c:pt>
                <c:pt idx="141">
                  <c:v>542.29999999999995</c:v>
                </c:pt>
                <c:pt idx="142">
                  <c:v>542.79999999999995</c:v>
                </c:pt>
                <c:pt idx="143">
                  <c:v>543.6</c:v>
                </c:pt>
                <c:pt idx="144">
                  <c:v>544.29999999999995</c:v>
                </c:pt>
                <c:pt idx="145">
                  <c:v>545.4</c:v>
                </c:pt>
                <c:pt idx="146">
                  <c:v>545.20000000000005</c:v>
                </c:pt>
                <c:pt idx="147">
                  <c:v>546.4</c:v>
                </c:pt>
                <c:pt idx="148">
                  <c:v>545.79999999999995</c:v>
                </c:pt>
                <c:pt idx="149">
                  <c:v>547.4</c:v>
                </c:pt>
                <c:pt idx="150">
                  <c:v>537.6</c:v>
                </c:pt>
                <c:pt idx="151">
                  <c:v>539</c:v>
                </c:pt>
              </c:numCache>
            </c:numRef>
          </c:xVal>
          <c:yVal>
            <c:numRef>
              <c:f>'H&amp;N'!$AY$3:$AY$154</c:f>
              <c:numCache>
                <c:formatCode>General</c:formatCode>
                <c:ptCount val="15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96.4</c:v>
                </c:pt>
                <c:pt idx="14">
                  <c:v>96.9</c:v>
                </c:pt>
                <c:pt idx="15">
                  <c:v>97.1</c:v>
                </c:pt>
                <c:pt idx="16">
                  <c:v>96.5</c:v>
                </c:pt>
                <c:pt idx="17">
                  <c:v>97.5</c:v>
                </c:pt>
                <c:pt idx="18">
                  <c:v>96.8</c:v>
                </c:pt>
                <c:pt idx="19">
                  <c:v>96</c:v>
                </c:pt>
                <c:pt idx="20">
                  <c:v>94.1</c:v>
                </c:pt>
                <c:pt idx="21">
                  <c:v>95.5</c:v>
                </c:pt>
                <c:pt idx="22">
                  <c:v>95.6</c:v>
                </c:pt>
                <c:pt idx="23">
                  <c:v>95.8</c:v>
                </c:pt>
                <c:pt idx="24">
                  <c:v>98.8</c:v>
                </c:pt>
                <c:pt idx="25">
                  <c:v>99</c:v>
                </c:pt>
                <c:pt idx="26">
                  <c:v>100</c:v>
                </c:pt>
                <c:pt idx="27">
                  <c:v>99.9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99.9</c:v>
                </c:pt>
                <c:pt idx="34">
                  <c:v>100</c:v>
                </c:pt>
                <c:pt idx="35">
                  <c:v>100</c:v>
                </c:pt>
                <c:pt idx="36">
                  <c:v>100</c:v>
                </c:pt>
                <c:pt idx="37">
                  <c:v>100</c:v>
                </c:pt>
                <c:pt idx="38">
                  <c:v>99.8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99.5</c:v>
                </c:pt>
                <c:pt idx="43">
                  <c:v>99.7</c:v>
                </c:pt>
                <c:pt idx="44">
                  <c:v>100</c:v>
                </c:pt>
                <c:pt idx="45">
                  <c:v>100</c:v>
                </c:pt>
                <c:pt idx="46">
                  <c:v>100</c:v>
                </c:pt>
                <c:pt idx="47">
                  <c:v>100</c:v>
                </c:pt>
                <c:pt idx="48">
                  <c:v>100</c:v>
                </c:pt>
                <c:pt idx="49">
                  <c:v>100</c:v>
                </c:pt>
                <c:pt idx="50">
                  <c:v>100</c:v>
                </c:pt>
                <c:pt idx="51">
                  <c:v>99.6</c:v>
                </c:pt>
                <c:pt idx="52">
                  <c:v>99.4</c:v>
                </c:pt>
                <c:pt idx="53">
                  <c:v>99.6</c:v>
                </c:pt>
                <c:pt idx="54">
                  <c:v>100</c:v>
                </c:pt>
                <c:pt idx="55">
                  <c:v>100</c:v>
                </c:pt>
                <c:pt idx="56">
                  <c:v>100</c:v>
                </c:pt>
                <c:pt idx="57">
                  <c:v>100</c:v>
                </c:pt>
                <c:pt idx="58">
                  <c:v>99.8</c:v>
                </c:pt>
                <c:pt idx="59">
                  <c:v>99.8</c:v>
                </c:pt>
                <c:pt idx="60">
                  <c:v>99.8</c:v>
                </c:pt>
                <c:pt idx="61">
                  <c:v>99.8</c:v>
                </c:pt>
                <c:pt idx="62">
                  <c:v>99.3</c:v>
                </c:pt>
                <c:pt idx="63">
                  <c:v>99.6</c:v>
                </c:pt>
                <c:pt idx="64">
                  <c:v>99.6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99.8</c:v>
                </c:pt>
                <c:pt idx="71">
                  <c:v>99.8</c:v>
                </c:pt>
                <c:pt idx="72">
                  <c:v>99.8</c:v>
                </c:pt>
                <c:pt idx="73">
                  <c:v>99.8</c:v>
                </c:pt>
                <c:pt idx="74">
                  <c:v>99.5</c:v>
                </c:pt>
                <c:pt idx="75">
                  <c:v>99.5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  <c:pt idx="79">
                  <c:v>100</c:v>
                </c:pt>
                <c:pt idx="80">
                  <c:v>100</c:v>
                </c:pt>
                <c:pt idx="81">
                  <c:v>100</c:v>
                </c:pt>
                <c:pt idx="82">
                  <c:v>100</c:v>
                </c:pt>
                <c:pt idx="83">
                  <c:v>100</c:v>
                </c:pt>
                <c:pt idx="84">
                  <c:v>100</c:v>
                </c:pt>
                <c:pt idx="85">
                  <c:v>100</c:v>
                </c:pt>
                <c:pt idx="86">
                  <c:v>100</c:v>
                </c:pt>
                <c:pt idx="87">
                  <c:v>100</c:v>
                </c:pt>
                <c:pt idx="88">
                  <c:v>100</c:v>
                </c:pt>
                <c:pt idx="89">
                  <c:v>100</c:v>
                </c:pt>
                <c:pt idx="90">
                  <c:v>100</c:v>
                </c:pt>
                <c:pt idx="91">
                  <c:v>97.6</c:v>
                </c:pt>
                <c:pt idx="92">
                  <c:v>97.5</c:v>
                </c:pt>
                <c:pt idx="93">
                  <c:v>96.4</c:v>
                </c:pt>
                <c:pt idx="94">
                  <c:v>95.5</c:v>
                </c:pt>
                <c:pt idx="95">
                  <c:v>95.1</c:v>
                </c:pt>
                <c:pt idx="96">
                  <c:v>94.2</c:v>
                </c:pt>
                <c:pt idx="97">
                  <c:v>93</c:v>
                </c:pt>
                <c:pt idx="98">
                  <c:v>97.8</c:v>
                </c:pt>
                <c:pt idx="99">
                  <c:v>97.4</c:v>
                </c:pt>
                <c:pt idx="100">
                  <c:v>98</c:v>
                </c:pt>
                <c:pt idx="101">
                  <c:v>98.6</c:v>
                </c:pt>
                <c:pt idx="102">
                  <c:v>100</c:v>
                </c:pt>
                <c:pt idx="103">
                  <c:v>100</c:v>
                </c:pt>
                <c:pt idx="104">
                  <c:v>100</c:v>
                </c:pt>
                <c:pt idx="105">
                  <c:v>100</c:v>
                </c:pt>
                <c:pt idx="106">
                  <c:v>100</c:v>
                </c:pt>
                <c:pt idx="107">
                  <c:v>100</c:v>
                </c:pt>
                <c:pt idx="108">
                  <c:v>100</c:v>
                </c:pt>
                <c:pt idx="109">
                  <c:v>100</c:v>
                </c:pt>
                <c:pt idx="110">
                  <c:v>100</c:v>
                </c:pt>
                <c:pt idx="111">
                  <c:v>100</c:v>
                </c:pt>
                <c:pt idx="112">
                  <c:v>100</c:v>
                </c:pt>
                <c:pt idx="113">
                  <c:v>100</c:v>
                </c:pt>
                <c:pt idx="114">
                  <c:v>100</c:v>
                </c:pt>
                <c:pt idx="115">
                  <c:v>100</c:v>
                </c:pt>
                <c:pt idx="116">
                  <c:v>100</c:v>
                </c:pt>
                <c:pt idx="117">
                  <c:v>100</c:v>
                </c:pt>
                <c:pt idx="118">
                  <c:v>100</c:v>
                </c:pt>
                <c:pt idx="119">
                  <c:v>100</c:v>
                </c:pt>
                <c:pt idx="120">
                  <c:v>100</c:v>
                </c:pt>
                <c:pt idx="121">
                  <c:v>100</c:v>
                </c:pt>
                <c:pt idx="122">
                  <c:v>100</c:v>
                </c:pt>
                <c:pt idx="123">
                  <c:v>100</c:v>
                </c:pt>
                <c:pt idx="124">
                  <c:v>100</c:v>
                </c:pt>
                <c:pt idx="125">
                  <c:v>99.6</c:v>
                </c:pt>
                <c:pt idx="126">
                  <c:v>99.5</c:v>
                </c:pt>
                <c:pt idx="127">
                  <c:v>99.7</c:v>
                </c:pt>
                <c:pt idx="128">
                  <c:v>99.6</c:v>
                </c:pt>
                <c:pt idx="129">
                  <c:v>98.8</c:v>
                </c:pt>
                <c:pt idx="130">
                  <c:v>99.6</c:v>
                </c:pt>
                <c:pt idx="131">
                  <c:v>98.6</c:v>
                </c:pt>
                <c:pt idx="132">
                  <c:v>99.6</c:v>
                </c:pt>
                <c:pt idx="133">
                  <c:v>98.8</c:v>
                </c:pt>
                <c:pt idx="134">
                  <c:v>99.3</c:v>
                </c:pt>
                <c:pt idx="135">
                  <c:v>99.5</c:v>
                </c:pt>
                <c:pt idx="136">
                  <c:v>99.5</c:v>
                </c:pt>
                <c:pt idx="137">
                  <c:v>99.4</c:v>
                </c:pt>
                <c:pt idx="138">
                  <c:v>99.4</c:v>
                </c:pt>
                <c:pt idx="139">
                  <c:v>99.6</c:v>
                </c:pt>
                <c:pt idx="140">
                  <c:v>99.9</c:v>
                </c:pt>
                <c:pt idx="141">
                  <c:v>99.5</c:v>
                </c:pt>
                <c:pt idx="142">
                  <c:v>99.6</c:v>
                </c:pt>
                <c:pt idx="143">
                  <c:v>99.4</c:v>
                </c:pt>
                <c:pt idx="144">
                  <c:v>99.7</c:v>
                </c:pt>
                <c:pt idx="145">
                  <c:v>99.7</c:v>
                </c:pt>
                <c:pt idx="146">
                  <c:v>99.8</c:v>
                </c:pt>
                <c:pt idx="147">
                  <c:v>99.8</c:v>
                </c:pt>
                <c:pt idx="148">
                  <c:v>99.8</c:v>
                </c:pt>
                <c:pt idx="149">
                  <c:v>99.8</c:v>
                </c:pt>
                <c:pt idx="150">
                  <c:v>99.4</c:v>
                </c:pt>
                <c:pt idx="151">
                  <c:v>99.5</c:v>
                </c:pt>
              </c:numCache>
            </c:numRef>
          </c:yVal>
          <c:smooth val="0"/>
        </c:ser>
        <c:ser>
          <c:idx val="1"/>
          <c:order val="1"/>
          <c:tx>
            <c:v>Dose-mimicking</c:v>
          </c:tx>
          <c:spPr>
            <a:ln w="19050">
              <a:noFill/>
            </a:ln>
          </c:spPr>
          <c:marker>
            <c:symbol val="squar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xVal>
            <c:numRef>
              <c:f>'H&amp;N'!$BB$3:$BB$154</c:f>
              <c:numCache>
                <c:formatCode>General</c:formatCode>
                <c:ptCount val="152"/>
                <c:pt idx="0">
                  <c:v>333.9</c:v>
                </c:pt>
                <c:pt idx="1">
                  <c:v>337.8</c:v>
                </c:pt>
                <c:pt idx="2">
                  <c:v>360</c:v>
                </c:pt>
                <c:pt idx="3">
                  <c:v>363.4</c:v>
                </c:pt>
                <c:pt idx="4">
                  <c:v>335</c:v>
                </c:pt>
                <c:pt idx="5">
                  <c:v>334.7</c:v>
                </c:pt>
                <c:pt idx="6">
                  <c:v>378.2</c:v>
                </c:pt>
                <c:pt idx="7">
                  <c:v>378.8</c:v>
                </c:pt>
                <c:pt idx="8">
                  <c:v>379.1</c:v>
                </c:pt>
                <c:pt idx="9">
                  <c:v>355.6</c:v>
                </c:pt>
                <c:pt idx="10">
                  <c:v>341.8</c:v>
                </c:pt>
                <c:pt idx="11">
                  <c:v>391.6</c:v>
                </c:pt>
                <c:pt idx="12">
                  <c:v>364.8</c:v>
                </c:pt>
                <c:pt idx="13">
                  <c:v>405.6</c:v>
                </c:pt>
                <c:pt idx="14">
                  <c:v>410.6</c:v>
                </c:pt>
                <c:pt idx="15">
                  <c:v>406.6</c:v>
                </c:pt>
                <c:pt idx="16">
                  <c:v>404.8</c:v>
                </c:pt>
                <c:pt idx="17">
                  <c:v>415.7</c:v>
                </c:pt>
                <c:pt idx="18">
                  <c:v>407.6</c:v>
                </c:pt>
                <c:pt idx="19">
                  <c:v>408</c:v>
                </c:pt>
                <c:pt idx="20">
                  <c:v>352.2</c:v>
                </c:pt>
                <c:pt idx="21">
                  <c:v>406</c:v>
                </c:pt>
                <c:pt idx="22">
                  <c:v>349.7</c:v>
                </c:pt>
                <c:pt idx="23">
                  <c:v>419.2</c:v>
                </c:pt>
                <c:pt idx="24">
                  <c:v>400.9</c:v>
                </c:pt>
                <c:pt idx="25">
                  <c:v>391.9</c:v>
                </c:pt>
                <c:pt idx="26">
                  <c:v>400.1</c:v>
                </c:pt>
                <c:pt idx="27">
                  <c:v>405.4</c:v>
                </c:pt>
                <c:pt idx="28">
                  <c:v>406.6</c:v>
                </c:pt>
                <c:pt idx="29">
                  <c:v>339.9</c:v>
                </c:pt>
                <c:pt idx="30">
                  <c:v>348.9</c:v>
                </c:pt>
                <c:pt idx="31">
                  <c:v>445.1</c:v>
                </c:pt>
                <c:pt idx="32">
                  <c:v>407.9</c:v>
                </c:pt>
                <c:pt idx="33">
                  <c:v>393.9</c:v>
                </c:pt>
                <c:pt idx="34">
                  <c:v>322.39999999999969</c:v>
                </c:pt>
                <c:pt idx="35">
                  <c:v>308</c:v>
                </c:pt>
                <c:pt idx="36">
                  <c:v>338.7</c:v>
                </c:pt>
                <c:pt idx="37">
                  <c:v>338.7</c:v>
                </c:pt>
                <c:pt idx="38">
                  <c:v>393.3</c:v>
                </c:pt>
                <c:pt idx="39">
                  <c:v>249.9</c:v>
                </c:pt>
                <c:pt idx="40">
                  <c:v>239.9</c:v>
                </c:pt>
                <c:pt idx="41">
                  <c:v>262.10000000000002</c:v>
                </c:pt>
                <c:pt idx="42">
                  <c:v>265</c:v>
                </c:pt>
                <c:pt idx="43">
                  <c:v>274.2</c:v>
                </c:pt>
                <c:pt idx="44">
                  <c:v>325.39999999999969</c:v>
                </c:pt>
                <c:pt idx="45">
                  <c:v>324.8</c:v>
                </c:pt>
                <c:pt idx="46">
                  <c:v>318.60000000000002</c:v>
                </c:pt>
                <c:pt idx="47">
                  <c:v>309.7</c:v>
                </c:pt>
                <c:pt idx="48">
                  <c:v>275</c:v>
                </c:pt>
                <c:pt idx="49">
                  <c:v>274.7</c:v>
                </c:pt>
                <c:pt idx="50">
                  <c:v>270.2</c:v>
                </c:pt>
                <c:pt idx="51">
                  <c:v>297.89999999999969</c:v>
                </c:pt>
                <c:pt idx="52">
                  <c:v>262.5</c:v>
                </c:pt>
                <c:pt idx="53">
                  <c:v>268</c:v>
                </c:pt>
                <c:pt idx="54">
                  <c:v>300.7</c:v>
                </c:pt>
                <c:pt idx="55">
                  <c:v>307.7</c:v>
                </c:pt>
                <c:pt idx="56">
                  <c:v>364.4</c:v>
                </c:pt>
                <c:pt idx="57">
                  <c:v>363.7</c:v>
                </c:pt>
                <c:pt idx="58">
                  <c:v>372.2</c:v>
                </c:pt>
                <c:pt idx="59">
                  <c:v>368.8</c:v>
                </c:pt>
                <c:pt idx="60">
                  <c:v>376</c:v>
                </c:pt>
                <c:pt idx="61">
                  <c:v>364.6</c:v>
                </c:pt>
                <c:pt idx="62">
                  <c:v>261.7</c:v>
                </c:pt>
                <c:pt idx="63">
                  <c:v>265.89999999999969</c:v>
                </c:pt>
                <c:pt idx="64">
                  <c:v>306.3</c:v>
                </c:pt>
                <c:pt idx="65">
                  <c:v>280.2</c:v>
                </c:pt>
                <c:pt idx="66">
                  <c:v>381.1</c:v>
                </c:pt>
                <c:pt idx="67">
                  <c:v>397.8</c:v>
                </c:pt>
                <c:pt idx="68">
                  <c:v>377.8</c:v>
                </c:pt>
                <c:pt idx="69">
                  <c:v>398.6</c:v>
                </c:pt>
                <c:pt idx="70">
                  <c:v>366.9</c:v>
                </c:pt>
                <c:pt idx="71">
                  <c:v>375</c:v>
                </c:pt>
                <c:pt idx="72">
                  <c:v>362.4</c:v>
                </c:pt>
                <c:pt idx="73">
                  <c:v>355.2</c:v>
                </c:pt>
                <c:pt idx="74">
                  <c:v>325.8</c:v>
                </c:pt>
                <c:pt idx="75">
                  <c:v>324.5</c:v>
                </c:pt>
                <c:pt idx="76">
                  <c:v>290.10000000000002</c:v>
                </c:pt>
                <c:pt idx="77">
                  <c:v>289.3</c:v>
                </c:pt>
                <c:pt idx="78">
                  <c:v>288</c:v>
                </c:pt>
                <c:pt idx="79">
                  <c:v>308.5</c:v>
                </c:pt>
                <c:pt idx="80">
                  <c:v>301.2</c:v>
                </c:pt>
                <c:pt idx="81">
                  <c:v>359.2</c:v>
                </c:pt>
                <c:pt idx="82">
                  <c:v>348.2</c:v>
                </c:pt>
                <c:pt idx="83">
                  <c:v>358.4</c:v>
                </c:pt>
                <c:pt idx="84">
                  <c:v>361.4</c:v>
                </c:pt>
                <c:pt idx="85">
                  <c:v>359.5</c:v>
                </c:pt>
                <c:pt idx="86">
                  <c:v>363.6</c:v>
                </c:pt>
                <c:pt idx="87">
                  <c:v>353</c:v>
                </c:pt>
                <c:pt idx="88">
                  <c:v>373.6</c:v>
                </c:pt>
                <c:pt idx="89">
                  <c:v>370.1</c:v>
                </c:pt>
                <c:pt idx="90">
                  <c:v>348.3</c:v>
                </c:pt>
                <c:pt idx="91">
                  <c:v>651</c:v>
                </c:pt>
                <c:pt idx="92">
                  <c:v>619.4</c:v>
                </c:pt>
                <c:pt idx="93">
                  <c:v>620.20000000000005</c:v>
                </c:pt>
                <c:pt idx="94">
                  <c:v>666.7</c:v>
                </c:pt>
                <c:pt idx="95">
                  <c:v>720.7</c:v>
                </c:pt>
                <c:pt idx="96">
                  <c:v>789.2</c:v>
                </c:pt>
                <c:pt idx="97">
                  <c:v>780.3</c:v>
                </c:pt>
                <c:pt idx="98">
                  <c:v>640</c:v>
                </c:pt>
                <c:pt idx="99">
                  <c:v>552</c:v>
                </c:pt>
                <c:pt idx="100">
                  <c:v>548.5</c:v>
                </c:pt>
                <c:pt idx="101">
                  <c:v>402.2</c:v>
                </c:pt>
                <c:pt idx="102">
                  <c:v>353.7</c:v>
                </c:pt>
                <c:pt idx="103">
                  <c:v>389</c:v>
                </c:pt>
                <c:pt idx="104">
                  <c:v>407.7</c:v>
                </c:pt>
                <c:pt idx="105">
                  <c:v>354.4</c:v>
                </c:pt>
                <c:pt idx="106">
                  <c:v>422.8</c:v>
                </c:pt>
                <c:pt idx="107">
                  <c:v>412.7</c:v>
                </c:pt>
                <c:pt idx="108">
                  <c:v>402.7</c:v>
                </c:pt>
                <c:pt idx="109">
                  <c:v>412.5</c:v>
                </c:pt>
                <c:pt idx="110">
                  <c:v>420</c:v>
                </c:pt>
                <c:pt idx="111">
                  <c:v>392.5</c:v>
                </c:pt>
                <c:pt idx="112">
                  <c:v>370.7</c:v>
                </c:pt>
                <c:pt idx="113">
                  <c:v>366.5</c:v>
                </c:pt>
                <c:pt idx="114">
                  <c:v>365.2</c:v>
                </c:pt>
                <c:pt idx="115">
                  <c:v>363.5</c:v>
                </c:pt>
                <c:pt idx="116">
                  <c:v>360.4</c:v>
                </c:pt>
                <c:pt idx="117">
                  <c:v>346.8</c:v>
                </c:pt>
                <c:pt idx="118">
                  <c:v>350.5</c:v>
                </c:pt>
                <c:pt idx="119">
                  <c:v>357.5</c:v>
                </c:pt>
                <c:pt idx="120">
                  <c:v>344.1</c:v>
                </c:pt>
                <c:pt idx="121">
                  <c:v>355.3</c:v>
                </c:pt>
                <c:pt idx="122">
                  <c:v>356.1</c:v>
                </c:pt>
                <c:pt idx="123">
                  <c:v>345.5</c:v>
                </c:pt>
                <c:pt idx="124">
                  <c:v>343.4</c:v>
                </c:pt>
                <c:pt idx="125">
                  <c:v>304</c:v>
                </c:pt>
                <c:pt idx="126">
                  <c:v>292</c:v>
                </c:pt>
                <c:pt idx="127">
                  <c:v>299.39999999999969</c:v>
                </c:pt>
                <c:pt idx="128">
                  <c:v>309.10000000000002</c:v>
                </c:pt>
                <c:pt idx="129">
                  <c:v>314.5</c:v>
                </c:pt>
                <c:pt idx="130">
                  <c:v>313.10000000000002</c:v>
                </c:pt>
                <c:pt idx="131">
                  <c:v>303.89999999999969</c:v>
                </c:pt>
                <c:pt idx="132">
                  <c:v>307.2</c:v>
                </c:pt>
                <c:pt idx="133">
                  <c:v>320.5</c:v>
                </c:pt>
                <c:pt idx="134">
                  <c:v>408.1</c:v>
                </c:pt>
                <c:pt idx="135">
                  <c:v>319.8</c:v>
                </c:pt>
                <c:pt idx="136">
                  <c:v>409.1</c:v>
                </c:pt>
                <c:pt idx="137">
                  <c:v>431.3</c:v>
                </c:pt>
                <c:pt idx="138">
                  <c:v>424.2</c:v>
                </c:pt>
                <c:pt idx="139">
                  <c:v>435.9</c:v>
                </c:pt>
                <c:pt idx="140">
                  <c:v>445.7</c:v>
                </c:pt>
                <c:pt idx="141">
                  <c:v>449.1</c:v>
                </c:pt>
                <c:pt idx="142">
                  <c:v>442.4</c:v>
                </c:pt>
                <c:pt idx="143">
                  <c:v>435.7</c:v>
                </c:pt>
                <c:pt idx="144">
                  <c:v>466.9</c:v>
                </c:pt>
                <c:pt idx="145">
                  <c:v>462.4</c:v>
                </c:pt>
                <c:pt idx="146">
                  <c:v>450.5</c:v>
                </c:pt>
                <c:pt idx="147">
                  <c:v>455.7</c:v>
                </c:pt>
                <c:pt idx="148">
                  <c:v>445.6</c:v>
                </c:pt>
                <c:pt idx="149">
                  <c:v>465</c:v>
                </c:pt>
                <c:pt idx="150">
                  <c:v>434.7</c:v>
                </c:pt>
                <c:pt idx="151">
                  <c:v>438.7</c:v>
                </c:pt>
              </c:numCache>
            </c:numRef>
          </c:xVal>
          <c:yVal>
            <c:numRef>
              <c:f>'H&amp;N'!$BA$3:$BA$154</c:f>
              <c:numCache>
                <c:formatCode>General</c:formatCode>
                <c:ptCount val="15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  <c:pt idx="36">
                  <c:v>100</c:v>
                </c:pt>
                <c:pt idx="37">
                  <c:v>100</c:v>
                </c:pt>
                <c:pt idx="38">
                  <c:v>100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100</c:v>
                </c:pt>
                <c:pt idx="43">
                  <c:v>100</c:v>
                </c:pt>
                <c:pt idx="44">
                  <c:v>100</c:v>
                </c:pt>
                <c:pt idx="45">
                  <c:v>100</c:v>
                </c:pt>
                <c:pt idx="46">
                  <c:v>100</c:v>
                </c:pt>
                <c:pt idx="47">
                  <c:v>100</c:v>
                </c:pt>
                <c:pt idx="48">
                  <c:v>100</c:v>
                </c:pt>
                <c:pt idx="49">
                  <c:v>100</c:v>
                </c:pt>
                <c:pt idx="50">
                  <c:v>100</c:v>
                </c:pt>
                <c:pt idx="51">
                  <c:v>100</c:v>
                </c:pt>
                <c:pt idx="52">
                  <c:v>100</c:v>
                </c:pt>
                <c:pt idx="53">
                  <c:v>100</c:v>
                </c:pt>
                <c:pt idx="54">
                  <c:v>100</c:v>
                </c:pt>
                <c:pt idx="55">
                  <c:v>100</c:v>
                </c:pt>
                <c:pt idx="56">
                  <c:v>100</c:v>
                </c:pt>
                <c:pt idx="57">
                  <c:v>100</c:v>
                </c:pt>
                <c:pt idx="58">
                  <c:v>100</c:v>
                </c:pt>
                <c:pt idx="59">
                  <c:v>100</c:v>
                </c:pt>
                <c:pt idx="60">
                  <c:v>100</c:v>
                </c:pt>
                <c:pt idx="61">
                  <c:v>100</c:v>
                </c:pt>
                <c:pt idx="62">
                  <c:v>100</c:v>
                </c:pt>
                <c:pt idx="63">
                  <c:v>100</c:v>
                </c:pt>
                <c:pt idx="64">
                  <c:v>100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100</c:v>
                </c:pt>
                <c:pt idx="74">
                  <c:v>100</c:v>
                </c:pt>
                <c:pt idx="75">
                  <c:v>100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  <c:pt idx="79">
                  <c:v>100</c:v>
                </c:pt>
                <c:pt idx="80">
                  <c:v>100</c:v>
                </c:pt>
                <c:pt idx="81">
                  <c:v>100</c:v>
                </c:pt>
                <c:pt idx="82">
                  <c:v>100</c:v>
                </c:pt>
                <c:pt idx="83">
                  <c:v>100</c:v>
                </c:pt>
                <c:pt idx="84">
                  <c:v>100</c:v>
                </c:pt>
                <c:pt idx="85">
                  <c:v>100</c:v>
                </c:pt>
                <c:pt idx="86">
                  <c:v>100</c:v>
                </c:pt>
                <c:pt idx="87">
                  <c:v>100</c:v>
                </c:pt>
                <c:pt idx="88">
                  <c:v>100</c:v>
                </c:pt>
                <c:pt idx="89">
                  <c:v>100</c:v>
                </c:pt>
                <c:pt idx="90">
                  <c:v>100</c:v>
                </c:pt>
                <c:pt idx="91">
                  <c:v>100</c:v>
                </c:pt>
                <c:pt idx="92">
                  <c:v>99.9</c:v>
                </c:pt>
                <c:pt idx="93">
                  <c:v>99.3</c:v>
                </c:pt>
                <c:pt idx="94">
                  <c:v>99.9</c:v>
                </c:pt>
                <c:pt idx="95">
                  <c:v>99.9</c:v>
                </c:pt>
                <c:pt idx="96">
                  <c:v>99.3</c:v>
                </c:pt>
                <c:pt idx="97">
                  <c:v>98.6</c:v>
                </c:pt>
                <c:pt idx="98">
                  <c:v>100</c:v>
                </c:pt>
                <c:pt idx="99">
                  <c:v>99.9</c:v>
                </c:pt>
                <c:pt idx="100">
                  <c:v>99.7</c:v>
                </c:pt>
                <c:pt idx="101">
                  <c:v>100</c:v>
                </c:pt>
                <c:pt idx="102">
                  <c:v>100</c:v>
                </c:pt>
                <c:pt idx="103">
                  <c:v>100</c:v>
                </c:pt>
                <c:pt idx="104">
                  <c:v>100</c:v>
                </c:pt>
                <c:pt idx="105">
                  <c:v>100</c:v>
                </c:pt>
                <c:pt idx="106">
                  <c:v>100</c:v>
                </c:pt>
                <c:pt idx="107">
                  <c:v>100</c:v>
                </c:pt>
                <c:pt idx="108">
                  <c:v>100</c:v>
                </c:pt>
                <c:pt idx="109">
                  <c:v>100</c:v>
                </c:pt>
                <c:pt idx="110">
                  <c:v>100</c:v>
                </c:pt>
                <c:pt idx="111">
                  <c:v>100</c:v>
                </c:pt>
                <c:pt idx="112">
                  <c:v>100</c:v>
                </c:pt>
                <c:pt idx="113">
                  <c:v>100</c:v>
                </c:pt>
                <c:pt idx="114">
                  <c:v>100</c:v>
                </c:pt>
                <c:pt idx="115">
                  <c:v>100</c:v>
                </c:pt>
                <c:pt idx="116">
                  <c:v>100</c:v>
                </c:pt>
                <c:pt idx="117">
                  <c:v>99.5</c:v>
                </c:pt>
                <c:pt idx="118">
                  <c:v>100</c:v>
                </c:pt>
                <c:pt idx="119">
                  <c:v>99.5</c:v>
                </c:pt>
                <c:pt idx="120">
                  <c:v>99.9</c:v>
                </c:pt>
                <c:pt idx="121">
                  <c:v>100</c:v>
                </c:pt>
                <c:pt idx="122">
                  <c:v>100</c:v>
                </c:pt>
                <c:pt idx="123">
                  <c:v>100</c:v>
                </c:pt>
                <c:pt idx="124">
                  <c:v>100</c:v>
                </c:pt>
                <c:pt idx="125">
                  <c:v>99.9</c:v>
                </c:pt>
                <c:pt idx="126">
                  <c:v>99.4</c:v>
                </c:pt>
                <c:pt idx="127">
                  <c:v>99.7</c:v>
                </c:pt>
                <c:pt idx="128">
                  <c:v>99.7</c:v>
                </c:pt>
                <c:pt idx="129">
                  <c:v>98.7</c:v>
                </c:pt>
                <c:pt idx="130">
                  <c:v>99.7</c:v>
                </c:pt>
                <c:pt idx="131">
                  <c:v>98.8</c:v>
                </c:pt>
                <c:pt idx="132">
                  <c:v>98.9</c:v>
                </c:pt>
                <c:pt idx="133">
                  <c:v>99.1</c:v>
                </c:pt>
                <c:pt idx="134">
                  <c:v>99.3</c:v>
                </c:pt>
                <c:pt idx="135">
                  <c:v>99.6</c:v>
                </c:pt>
                <c:pt idx="136">
                  <c:v>99.6</c:v>
                </c:pt>
                <c:pt idx="137">
                  <c:v>99.9</c:v>
                </c:pt>
                <c:pt idx="138">
                  <c:v>99.9</c:v>
                </c:pt>
                <c:pt idx="139">
                  <c:v>100</c:v>
                </c:pt>
                <c:pt idx="140">
                  <c:v>100</c:v>
                </c:pt>
                <c:pt idx="141">
                  <c:v>100</c:v>
                </c:pt>
                <c:pt idx="142">
                  <c:v>100</c:v>
                </c:pt>
                <c:pt idx="143">
                  <c:v>100</c:v>
                </c:pt>
                <c:pt idx="144">
                  <c:v>100</c:v>
                </c:pt>
                <c:pt idx="145">
                  <c:v>100</c:v>
                </c:pt>
                <c:pt idx="146">
                  <c:v>100</c:v>
                </c:pt>
                <c:pt idx="147">
                  <c:v>99.9</c:v>
                </c:pt>
                <c:pt idx="148">
                  <c:v>99.6</c:v>
                </c:pt>
                <c:pt idx="149">
                  <c:v>99.9</c:v>
                </c:pt>
                <c:pt idx="150">
                  <c:v>99.7</c:v>
                </c:pt>
                <c:pt idx="151">
                  <c:v>99.6</c:v>
                </c:pt>
              </c:numCache>
            </c:numRef>
          </c:yVal>
          <c:smooth val="0"/>
        </c:ser>
        <c:ser>
          <c:idx val="2"/>
          <c:order val="2"/>
          <c:tx>
            <c:v>Total</c:v>
          </c:tx>
          <c:spPr>
            <a:ln w="50800" cmpd="sng">
              <a:noFill/>
            </a:ln>
          </c:spPr>
          <c:marker>
            <c:symbol val="none"/>
          </c:marker>
          <c:trendline>
            <c:name>Korrelation</c:name>
            <c:trendlineType val="linear"/>
            <c:dispRSqr val="0"/>
            <c:dispEq val="0"/>
          </c:trendline>
          <c:xVal>
            <c:numRef>
              <c:f>('H&amp;N'!$AZ$3:$AZ$154,'H&amp;N'!$BB$3:$BB$154)</c:f>
              <c:numCache>
                <c:formatCode>General</c:formatCode>
                <c:ptCount val="304"/>
                <c:pt idx="0">
                  <c:v>405.9</c:v>
                </c:pt>
                <c:pt idx="1">
                  <c:v>408.7</c:v>
                </c:pt>
                <c:pt idx="2">
                  <c:v>445.1</c:v>
                </c:pt>
                <c:pt idx="3">
                  <c:v>454.6</c:v>
                </c:pt>
                <c:pt idx="4">
                  <c:v>506.9</c:v>
                </c:pt>
                <c:pt idx="5">
                  <c:v>528.1</c:v>
                </c:pt>
                <c:pt idx="6">
                  <c:v>559.6</c:v>
                </c:pt>
                <c:pt idx="7">
                  <c:v>485.5</c:v>
                </c:pt>
                <c:pt idx="8">
                  <c:v>530</c:v>
                </c:pt>
                <c:pt idx="9">
                  <c:v>501.3</c:v>
                </c:pt>
                <c:pt idx="10">
                  <c:v>470.7</c:v>
                </c:pt>
                <c:pt idx="11">
                  <c:v>491.5</c:v>
                </c:pt>
                <c:pt idx="12">
                  <c:v>545.20000000000005</c:v>
                </c:pt>
                <c:pt idx="13">
                  <c:v>1166.2</c:v>
                </c:pt>
                <c:pt idx="14">
                  <c:v>1236.7</c:v>
                </c:pt>
                <c:pt idx="15">
                  <c:v>1074.4000000000001</c:v>
                </c:pt>
                <c:pt idx="16">
                  <c:v>1120.3</c:v>
                </c:pt>
                <c:pt idx="17">
                  <c:v>1013.7</c:v>
                </c:pt>
                <c:pt idx="18">
                  <c:v>960.2</c:v>
                </c:pt>
                <c:pt idx="19">
                  <c:v>944.8</c:v>
                </c:pt>
                <c:pt idx="20">
                  <c:v>1921.7</c:v>
                </c:pt>
                <c:pt idx="21">
                  <c:v>1923.1</c:v>
                </c:pt>
                <c:pt idx="22">
                  <c:v>1948.7</c:v>
                </c:pt>
                <c:pt idx="23">
                  <c:v>1760.7</c:v>
                </c:pt>
                <c:pt idx="24">
                  <c:v>1394.1</c:v>
                </c:pt>
                <c:pt idx="25">
                  <c:v>1385</c:v>
                </c:pt>
                <c:pt idx="26">
                  <c:v>463.2</c:v>
                </c:pt>
                <c:pt idx="27">
                  <c:v>436.6</c:v>
                </c:pt>
                <c:pt idx="28">
                  <c:v>378.9</c:v>
                </c:pt>
                <c:pt idx="29">
                  <c:v>375.9</c:v>
                </c:pt>
                <c:pt idx="30">
                  <c:v>372.5</c:v>
                </c:pt>
                <c:pt idx="31">
                  <c:v>385</c:v>
                </c:pt>
                <c:pt idx="32">
                  <c:v>379.6</c:v>
                </c:pt>
                <c:pt idx="33">
                  <c:v>407.9</c:v>
                </c:pt>
                <c:pt idx="34">
                  <c:v>454.2</c:v>
                </c:pt>
                <c:pt idx="35">
                  <c:v>459.9</c:v>
                </c:pt>
                <c:pt idx="36">
                  <c:v>466.2</c:v>
                </c:pt>
                <c:pt idx="37">
                  <c:v>492</c:v>
                </c:pt>
                <c:pt idx="38">
                  <c:v>515.6</c:v>
                </c:pt>
                <c:pt idx="39">
                  <c:v>421.7</c:v>
                </c:pt>
                <c:pt idx="40">
                  <c:v>440.6</c:v>
                </c:pt>
                <c:pt idx="41">
                  <c:v>456.2</c:v>
                </c:pt>
                <c:pt idx="42">
                  <c:v>490.6</c:v>
                </c:pt>
                <c:pt idx="43">
                  <c:v>503.1</c:v>
                </c:pt>
                <c:pt idx="44">
                  <c:v>434.2</c:v>
                </c:pt>
                <c:pt idx="45">
                  <c:v>415.2</c:v>
                </c:pt>
                <c:pt idx="46">
                  <c:v>403.2</c:v>
                </c:pt>
                <c:pt idx="47">
                  <c:v>388.9</c:v>
                </c:pt>
                <c:pt idx="48">
                  <c:v>380.2</c:v>
                </c:pt>
                <c:pt idx="49">
                  <c:v>381.5</c:v>
                </c:pt>
                <c:pt idx="50">
                  <c:v>367.8</c:v>
                </c:pt>
                <c:pt idx="51">
                  <c:v>478.7</c:v>
                </c:pt>
                <c:pt idx="52">
                  <c:v>497.4</c:v>
                </c:pt>
                <c:pt idx="53">
                  <c:v>500.1</c:v>
                </c:pt>
                <c:pt idx="54">
                  <c:v>407.9</c:v>
                </c:pt>
                <c:pt idx="55">
                  <c:v>419.4</c:v>
                </c:pt>
                <c:pt idx="56">
                  <c:v>424.4</c:v>
                </c:pt>
                <c:pt idx="57">
                  <c:v>439.6</c:v>
                </c:pt>
                <c:pt idx="58">
                  <c:v>444.9</c:v>
                </c:pt>
                <c:pt idx="59">
                  <c:v>448</c:v>
                </c:pt>
                <c:pt idx="60">
                  <c:v>452.6</c:v>
                </c:pt>
                <c:pt idx="61">
                  <c:v>466.7</c:v>
                </c:pt>
                <c:pt idx="62">
                  <c:v>496.5</c:v>
                </c:pt>
                <c:pt idx="63">
                  <c:v>490.3</c:v>
                </c:pt>
                <c:pt idx="64">
                  <c:v>482.7</c:v>
                </c:pt>
                <c:pt idx="65">
                  <c:v>451</c:v>
                </c:pt>
                <c:pt idx="66">
                  <c:v>506.4</c:v>
                </c:pt>
                <c:pt idx="67">
                  <c:v>502.9</c:v>
                </c:pt>
                <c:pt idx="68">
                  <c:v>493.5</c:v>
                </c:pt>
                <c:pt idx="69">
                  <c:v>508.3</c:v>
                </c:pt>
                <c:pt idx="70">
                  <c:v>510.9</c:v>
                </c:pt>
                <c:pt idx="71">
                  <c:v>507.4</c:v>
                </c:pt>
                <c:pt idx="72">
                  <c:v>511.7</c:v>
                </c:pt>
                <c:pt idx="73">
                  <c:v>519.5</c:v>
                </c:pt>
                <c:pt idx="74">
                  <c:v>538</c:v>
                </c:pt>
                <c:pt idx="75">
                  <c:v>576</c:v>
                </c:pt>
                <c:pt idx="76">
                  <c:v>453.6</c:v>
                </c:pt>
                <c:pt idx="77">
                  <c:v>504</c:v>
                </c:pt>
                <c:pt idx="78">
                  <c:v>522.5</c:v>
                </c:pt>
                <c:pt idx="79">
                  <c:v>522.79999999999995</c:v>
                </c:pt>
                <c:pt idx="80">
                  <c:v>478.9</c:v>
                </c:pt>
                <c:pt idx="81">
                  <c:v>514.70000000000005</c:v>
                </c:pt>
                <c:pt idx="82">
                  <c:v>477.2</c:v>
                </c:pt>
                <c:pt idx="83">
                  <c:v>475.9</c:v>
                </c:pt>
                <c:pt idx="84">
                  <c:v>458.7</c:v>
                </c:pt>
                <c:pt idx="85">
                  <c:v>442.8</c:v>
                </c:pt>
                <c:pt idx="86">
                  <c:v>419.1</c:v>
                </c:pt>
                <c:pt idx="87">
                  <c:v>400.5</c:v>
                </c:pt>
                <c:pt idx="88">
                  <c:v>411.9</c:v>
                </c:pt>
                <c:pt idx="89">
                  <c:v>417</c:v>
                </c:pt>
                <c:pt idx="90">
                  <c:v>581.1</c:v>
                </c:pt>
                <c:pt idx="91">
                  <c:v>771.4</c:v>
                </c:pt>
                <c:pt idx="92">
                  <c:v>756.6</c:v>
                </c:pt>
                <c:pt idx="93">
                  <c:v>780.7</c:v>
                </c:pt>
                <c:pt idx="94">
                  <c:v>819.4</c:v>
                </c:pt>
                <c:pt idx="95">
                  <c:v>857.8</c:v>
                </c:pt>
                <c:pt idx="96">
                  <c:v>920.4</c:v>
                </c:pt>
                <c:pt idx="97">
                  <c:v>939.9</c:v>
                </c:pt>
                <c:pt idx="98">
                  <c:v>763.7</c:v>
                </c:pt>
                <c:pt idx="99">
                  <c:v>764.4</c:v>
                </c:pt>
                <c:pt idx="100">
                  <c:v>759.3</c:v>
                </c:pt>
                <c:pt idx="101">
                  <c:v>742</c:v>
                </c:pt>
                <c:pt idx="102">
                  <c:v>589.6</c:v>
                </c:pt>
                <c:pt idx="103">
                  <c:v>594.6</c:v>
                </c:pt>
                <c:pt idx="104">
                  <c:v>602.5</c:v>
                </c:pt>
                <c:pt idx="105">
                  <c:v>598.79999999999995</c:v>
                </c:pt>
                <c:pt idx="106">
                  <c:v>592.4</c:v>
                </c:pt>
                <c:pt idx="107">
                  <c:v>584.5</c:v>
                </c:pt>
                <c:pt idx="108">
                  <c:v>575</c:v>
                </c:pt>
                <c:pt idx="109">
                  <c:v>554.20000000000005</c:v>
                </c:pt>
                <c:pt idx="110">
                  <c:v>555.29999999999995</c:v>
                </c:pt>
                <c:pt idx="111">
                  <c:v>539.1</c:v>
                </c:pt>
                <c:pt idx="112">
                  <c:v>500.3</c:v>
                </c:pt>
                <c:pt idx="113">
                  <c:v>502.2</c:v>
                </c:pt>
                <c:pt idx="114">
                  <c:v>504.3</c:v>
                </c:pt>
                <c:pt idx="115">
                  <c:v>503</c:v>
                </c:pt>
                <c:pt idx="116">
                  <c:v>503.2</c:v>
                </c:pt>
                <c:pt idx="117">
                  <c:v>502.3</c:v>
                </c:pt>
                <c:pt idx="118">
                  <c:v>502.5</c:v>
                </c:pt>
                <c:pt idx="119">
                  <c:v>498.3</c:v>
                </c:pt>
                <c:pt idx="120">
                  <c:v>502.4</c:v>
                </c:pt>
                <c:pt idx="121">
                  <c:v>492.9</c:v>
                </c:pt>
                <c:pt idx="122">
                  <c:v>490</c:v>
                </c:pt>
                <c:pt idx="123">
                  <c:v>484</c:v>
                </c:pt>
                <c:pt idx="124">
                  <c:v>481.3</c:v>
                </c:pt>
                <c:pt idx="125">
                  <c:v>443.4</c:v>
                </c:pt>
                <c:pt idx="126">
                  <c:v>445.2</c:v>
                </c:pt>
                <c:pt idx="127">
                  <c:v>448.1</c:v>
                </c:pt>
                <c:pt idx="128">
                  <c:v>450.2</c:v>
                </c:pt>
                <c:pt idx="129">
                  <c:v>452.9</c:v>
                </c:pt>
                <c:pt idx="130">
                  <c:v>454.4</c:v>
                </c:pt>
                <c:pt idx="131">
                  <c:v>455.3</c:v>
                </c:pt>
                <c:pt idx="132">
                  <c:v>456.7</c:v>
                </c:pt>
                <c:pt idx="133">
                  <c:v>458.9</c:v>
                </c:pt>
                <c:pt idx="134">
                  <c:v>459.4</c:v>
                </c:pt>
                <c:pt idx="135">
                  <c:v>459.3</c:v>
                </c:pt>
                <c:pt idx="136">
                  <c:v>461.3</c:v>
                </c:pt>
                <c:pt idx="137">
                  <c:v>533.79999999999995</c:v>
                </c:pt>
                <c:pt idx="138">
                  <c:v>536.20000000000005</c:v>
                </c:pt>
                <c:pt idx="139">
                  <c:v>539.70000000000005</c:v>
                </c:pt>
                <c:pt idx="140">
                  <c:v>540.70000000000005</c:v>
                </c:pt>
                <c:pt idx="141">
                  <c:v>542.29999999999995</c:v>
                </c:pt>
                <c:pt idx="142">
                  <c:v>542.79999999999995</c:v>
                </c:pt>
                <c:pt idx="143">
                  <c:v>543.6</c:v>
                </c:pt>
                <c:pt idx="144">
                  <c:v>544.29999999999995</c:v>
                </c:pt>
                <c:pt idx="145">
                  <c:v>545.4</c:v>
                </c:pt>
                <c:pt idx="146">
                  <c:v>545.20000000000005</c:v>
                </c:pt>
                <c:pt idx="147">
                  <c:v>546.4</c:v>
                </c:pt>
                <c:pt idx="148">
                  <c:v>545.79999999999995</c:v>
                </c:pt>
                <c:pt idx="149">
                  <c:v>547.4</c:v>
                </c:pt>
                <c:pt idx="150">
                  <c:v>537.6</c:v>
                </c:pt>
                <c:pt idx="151">
                  <c:v>539</c:v>
                </c:pt>
                <c:pt idx="152">
                  <c:v>333.9</c:v>
                </c:pt>
                <c:pt idx="153">
                  <c:v>337.8</c:v>
                </c:pt>
                <c:pt idx="154">
                  <c:v>360</c:v>
                </c:pt>
                <c:pt idx="155">
                  <c:v>363.4</c:v>
                </c:pt>
                <c:pt idx="156">
                  <c:v>335</c:v>
                </c:pt>
                <c:pt idx="157">
                  <c:v>334.7</c:v>
                </c:pt>
                <c:pt idx="158">
                  <c:v>378.2</c:v>
                </c:pt>
                <c:pt idx="159">
                  <c:v>378.8</c:v>
                </c:pt>
                <c:pt idx="160">
                  <c:v>379.1</c:v>
                </c:pt>
                <c:pt idx="161">
                  <c:v>355.6</c:v>
                </c:pt>
                <c:pt idx="162">
                  <c:v>341.8</c:v>
                </c:pt>
                <c:pt idx="163">
                  <c:v>391.6</c:v>
                </c:pt>
                <c:pt idx="164">
                  <c:v>364.8</c:v>
                </c:pt>
                <c:pt idx="165">
                  <c:v>405.6</c:v>
                </c:pt>
                <c:pt idx="166">
                  <c:v>410.6</c:v>
                </c:pt>
                <c:pt idx="167">
                  <c:v>406.6</c:v>
                </c:pt>
                <c:pt idx="168">
                  <c:v>404.8</c:v>
                </c:pt>
                <c:pt idx="169">
                  <c:v>415.7</c:v>
                </c:pt>
                <c:pt idx="170">
                  <c:v>407.6</c:v>
                </c:pt>
                <c:pt idx="171">
                  <c:v>408</c:v>
                </c:pt>
                <c:pt idx="172">
                  <c:v>352.2</c:v>
                </c:pt>
                <c:pt idx="173">
                  <c:v>406</c:v>
                </c:pt>
                <c:pt idx="174">
                  <c:v>349.7</c:v>
                </c:pt>
                <c:pt idx="175">
                  <c:v>419.2</c:v>
                </c:pt>
                <c:pt idx="176">
                  <c:v>400.9</c:v>
                </c:pt>
                <c:pt idx="177">
                  <c:v>391.9</c:v>
                </c:pt>
                <c:pt idx="178">
                  <c:v>400.1</c:v>
                </c:pt>
                <c:pt idx="179">
                  <c:v>405.4</c:v>
                </c:pt>
                <c:pt idx="180">
                  <c:v>406.6</c:v>
                </c:pt>
                <c:pt idx="181">
                  <c:v>339.9</c:v>
                </c:pt>
                <c:pt idx="182">
                  <c:v>348.9</c:v>
                </c:pt>
                <c:pt idx="183">
                  <c:v>445.1</c:v>
                </c:pt>
                <c:pt idx="184">
                  <c:v>407.9</c:v>
                </c:pt>
                <c:pt idx="185">
                  <c:v>393.9</c:v>
                </c:pt>
                <c:pt idx="186">
                  <c:v>322.39999999999969</c:v>
                </c:pt>
                <c:pt idx="187">
                  <c:v>308</c:v>
                </c:pt>
                <c:pt idx="188">
                  <c:v>338.7</c:v>
                </c:pt>
                <c:pt idx="189">
                  <c:v>338.7</c:v>
                </c:pt>
                <c:pt idx="190">
                  <c:v>393.3</c:v>
                </c:pt>
                <c:pt idx="191">
                  <c:v>249.9</c:v>
                </c:pt>
                <c:pt idx="192">
                  <c:v>239.9</c:v>
                </c:pt>
                <c:pt idx="193">
                  <c:v>262.10000000000002</c:v>
                </c:pt>
                <c:pt idx="194">
                  <c:v>265</c:v>
                </c:pt>
                <c:pt idx="195">
                  <c:v>274.2</c:v>
                </c:pt>
                <c:pt idx="196">
                  <c:v>325.39999999999969</c:v>
                </c:pt>
                <c:pt idx="197">
                  <c:v>324.8</c:v>
                </c:pt>
                <c:pt idx="198">
                  <c:v>318.60000000000002</c:v>
                </c:pt>
                <c:pt idx="199">
                  <c:v>309.7</c:v>
                </c:pt>
                <c:pt idx="200">
                  <c:v>275</c:v>
                </c:pt>
                <c:pt idx="201">
                  <c:v>274.7</c:v>
                </c:pt>
                <c:pt idx="202">
                  <c:v>270.2</c:v>
                </c:pt>
                <c:pt idx="203">
                  <c:v>297.89999999999969</c:v>
                </c:pt>
                <c:pt idx="204">
                  <c:v>262.5</c:v>
                </c:pt>
                <c:pt idx="205">
                  <c:v>268</c:v>
                </c:pt>
                <c:pt idx="206">
                  <c:v>300.7</c:v>
                </c:pt>
                <c:pt idx="207">
                  <c:v>307.7</c:v>
                </c:pt>
                <c:pt idx="208">
                  <c:v>364.4</c:v>
                </c:pt>
                <c:pt idx="209">
                  <c:v>363.7</c:v>
                </c:pt>
                <c:pt idx="210">
                  <c:v>372.2</c:v>
                </c:pt>
                <c:pt idx="211">
                  <c:v>368.8</c:v>
                </c:pt>
                <c:pt idx="212">
                  <c:v>376</c:v>
                </c:pt>
                <c:pt idx="213">
                  <c:v>364.6</c:v>
                </c:pt>
                <c:pt idx="214">
                  <c:v>261.7</c:v>
                </c:pt>
                <c:pt idx="215">
                  <c:v>265.89999999999969</c:v>
                </c:pt>
                <c:pt idx="216">
                  <c:v>306.3</c:v>
                </c:pt>
                <c:pt idx="217">
                  <c:v>280.2</c:v>
                </c:pt>
                <c:pt idx="218">
                  <c:v>381.1</c:v>
                </c:pt>
                <c:pt idx="219">
                  <c:v>397.8</c:v>
                </c:pt>
                <c:pt idx="220">
                  <c:v>377.8</c:v>
                </c:pt>
                <c:pt idx="221">
                  <c:v>398.6</c:v>
                </c:pt>
                <c:pt idx="222">
                  <c:v>366.9</c:v>
                </c:pt>
                <c:pt idx="223">
                  <c:v>375</c:v>
                </c:pt>
                <c:pt idx="224">
                  <c:v>362.4</c:v>
                </c:pt>
                <c:pt idx="225">
                  <c:v>355.2</c:v>
                </c:pt>
                <c:pt idx="226">
                  <c:v>325.8</c:v>
                </c:pt>
                <c:pt idx="227">
                  <c:v>324.5</c:v>
                </c:pt>
                <c:pt idx="228">
                  <c:v>290.10000000000002</c:v>
                </c:pt>
                <c:pt idx="229">
                  <c:v>289.3</c:v>
                </c:pt>
                <c:pt idx="230">
                  <c:v>288</c:v>
                </c:pt>
                <c:pt idx="231">
                  <c:v>308.5</c:v>
                </c:pt>
                <c:pt idx="232">
                  <c:v>301.2</c:v>
                </c:pt>
                <c:pt idx="233">
                  <c:v>359.2</c:v>
                </c:pt>
                <c:pt idx="234">
                  <c:v>348.2</c:v>
                </c:pt>
                <c:pt idx="235">
                  <c:v>358.4</c:v>
                </c:pt>
                <c:pt idx="236">
                  <c:v>361.4</c:v>
                </c:pt>
                <c:pt idx="237">
                  <c:v>359.5</c:v>
                </c:pt>
                <c:pt idx="238">
                  <c:v>363.6</c:v>
                </c:pt>
                <c:pt idx="239">
                  <c:v>353</c:v>
                </c:pt>
                <c:pt idx="240">
                  <c:v>373.6</c:v>
                </c:pt>
                <c:pt idx="241">
                  <c:v>370.1</c:v>
                </c:pt>
                <c:pt idx="242">
                  <c:v>348.3</c:v>
                </c:pt>
                <c:pt idx="243">
                  <c:v>651</c:v>
                </c:pt>
                <c:pt idx="244">
                  <c:v>619.4</c:v>
                </c:pt>
                <c:pt idx="245">
                  <c:v>620.20000000000005</c:v>
                </c:pt>
                <c:pt idx="246">
                  <c:v>666.7</c:v>
                </c:pt>
                <c:pt idx="247">
                  <c:v>720.7</c:v>
                </c:pt>
                <c:pt idx="248">
                  <c:v>789.2</c:v>
                </c:pt>
                <c:pt idx="249">
                  <c:v>780.3</c:v>
                </c:pt>
                <c:pt idx="250">
                  <c:v>640</c:v>
                </c:pt>
                <c:pt idx="251">
                  <c:v>552</c:v>
                </c:pt>
                <c:pt idx="252">
                  <c:v>548.5</c:v>
                </c:pt>
                <c:pt idx="253">
                  <c:v>402.2</c:v>
                </c:pt>
                <c:pt idx="254">
                  <c:v>353.7</c:v>
                </c:pt>
                <c:pt idx="255">
                  <c:v>389</c:v>
                </c:pt>
                <c:pt idx="256">
                  <c:v>407.7</c:v>
                </c:pt>
                <c:pt idx="257">
                  <c:v>354.4</c:v>
                </c:pt>
                <c:pt idx="258">
                  <c:v>422.8</c:v>
                </c:pt>
                <c:pt idx="259">
                  <c:v>412.7</c:v>
                </c:pt>
                <c:pt idx="260">
                  <c:v>402.7</c:v>
                </c:pt>
                <c:pt idx="261">
                  <c:v>412.5</c:v>
                </c:pt>
                <c:pt idx="262">
                  <c:v>420</c:v>
                </c:pt>
                <c:pt idx="263">
                  <c:v>392.5</c:v>
                </c:pt>
                <c:pt idx="264">
                  <c:v>370.7</c:v>
                </c:pt>
                <c:pt idx="265">
                  <c:v>366.5</c:v>
                </c:pt>
                <c:pt idx="266">
                  <c:v>365.2</c:v>
                </c:pt>
                <c:pt idx="267">
                  <c:v>363.5</c:v>
                </c:pt>
                <c:pt idx="268">
                  <c:v>360.4</c:v>
                </c:pt>
                <c:pt idx="269">
                  <c:v>346.8</c:v>
                </c:pt>
                <c:pt idx="270">
                  <c:v>350.5</c:v>
                </c:pt>
                <c:pt idx="271">
                  <c:v>357.5</c:v>
                </c:pt>
                <c:pt idx="272">
                  <c:v>344.1</c:v>
                </c:pt>
                <c:pt idx="273">
                  <c:v>355.3</c:v>
                </c:pt>
                <c:pt idx="274">
                  <c:v>356.1</c:v>
                </c:pt>
                <c:pt idx="275">
                  <c:v>345.5</c:v>
                </c:pt>
                <c:pt idx="276">
                  <c:v>343.4</c:v>
                </c:pt>
                <c:pt idx="277">
                  <c:v>304</c:v>
                </c:pt>
                <c:pt idx="278">
                  <c:v>292</c:v>
                </c:pt>
                <c:pt idx="279">
                  <c:v>299.39999999999969</c:v>
                </c:pt>
                <c:pt idx="280">
                  <c:v>309.10000000000002</c:v>
                </c:pt>
                <c:pt idx="281">
                  <c:v>314.5</c:v>
                </c:pt>
                <c:pt idx="282">
                  <c:v>313.10000000000002</c:v>
                </c:pt>
                <c:pt idx="283">
                  <c:v>303.89999999999969</c:v>
                </c:pt>
                <c:pt idx="284">
                  <c:v>307.2</c:v>
                </c:pt>
                <c:pt idx="285">
                  <c:v>320.5</c:v>
                </c:pt>
                <c:pt idx="286">
                  <c:v>408.1</c:v>
                </c:pt>
                <c:pt idx="287">
                  <c:v>319.8</c:v>
                </c:pt>
                <c:pt idx="288">
                  <c:v>409.1</c:v>
                </c:pt>
                <c:pt idx="289">
                  <c:v>431.3</c:v>
                </c:pt>
                <c:pt idx="290">
                  <c:v>424.2</c:v>
                </c:pt>
                <c:pt idx="291">
                  <c:v>435.9</c:v>
                </c:pt>
                <c:pt idx="292">
                  <c:v>445.7</c:v>
                </c:pt>
                <c:pt idx="293">
                  <c:v>449.1</c:v>
                </c:pt>
                <c:pt idx="294">
                  <c:v>442.4</c:v>
                </c:pt>
                <c:pt idx="295">
                  <c:v>435.7</c:v>
                </c:pt>
                <c:pt idx="296">
                  <c:v>466.9</c:v>
                </c:pt>
                <c:pt idx="297">
                  <c:v>462.4</c:v>
                </c:pt>
                <c:pt idx="298">
                  <c:v>450.5</c:v>
                </c:pt>
                <c:pt idx="299">
                  <c:v>455.7</c:v>
                </c:pt>
                <c:pt idx="300">
                  <c:v>445.6</c:v>
                </c:pt>
                <c:pt idx="301">
                  <c:v>465</c:v>
                </c:pt>
                <c:pt idx="302">
                  <c:v>434.7</c:v>
                </c:pt>
                <c:pt idx="303">
                  <c:v>438.7</c:v>
                </c:pt>
              </c:numCache>
            </c:numRef>
          </c:xVal>
          <c:yVal>
            <c:numRef>
              <c:f>('H&amp;N'!$AY$3:$AY$154,'H&amp;N'!$BA$3:$BA$154)</c:f>
              <c:numCache>
                <c:formatCode>General</c:formatCode>
                <c:ptCount val="30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96.4</c:v>
                </c:pt>
                <c:pt idx="14">
                  <c:v>96.9</c:v>
                </c:pt>
                <c:pt idx="15">
                  <c:v>97.1</c:v>
                </c:pt>
                <c:pt idx="16">
                  <c:v>96.5</c:v>
                </c:pt>
                <c:pt idx="17">
                  <c:v>97.5</c:v>
                </c:pt>
                <c:pt idx="18">
                  <c:v>96.8</c:v>
                </c:pt>
                <c:pt idx="19">
                  <c:v>96</c:v>
                </c:pt>
                <c:pt idx="20">
                  <c:v>94.1</c:v>
                </c:pt>
                <c:pt idx="21">
                  <c:v>95.5</c:v>
                </c:pt>
                <c:pt idx="22">
                  <c:v>95.6</c:v>
                </c:pt>
                <c:pt idx="23">
                  <c:v>95.8</c:v>
                </c:pt>
                <c:pt idx="24">
                  <c:v>98.8</c:v>
                </c:pt>
                <c:pt idx="25">
                  <c:v>99</c:v>
                </c:pt>
                <c:pt idx="26">
                  <c:v>100</c:v>
                </c:pt>
                <c:pt idx="27">
                  <c:v>99.9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99.9</c:v>
                </c:pt>
                <c:pt idx="34">
                  <c:v>100</c:v>
                </c:pt>
                <c:pt idx="35">
                  <c:v>100</c:v>
                </c:pt>
                <c:pt idx="36">
                  <c:v>100</c:v>
                </c:pt>
                <c:pt idx="37">
                  <c:v>100</c:v>
                </c:pt>
                <c:pt idx="38">
                  <c:v>99.8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99.5</c:v>
                </c:pt>
                <c:pt idx="43">
                  <c:v>99.7</c:v>
                </c:pt>
                <c:pt idx="44">
                  <c:v>100</c:v>
                </c:pt>
                <c:pt idx="45">
                  <c:v>100</c:v>
                </c:pt>
                <c:pt idx="46">
                  <c:v>100</c:v>
                </c:pt>
                <c:pt idx="47">
                  <c:v>100</c:v>
                </c:pt>
                <c:pt idx="48">
                  <c:v>100</c:v>
                </c:pt>
                <c:pt idx="49">
                  <c:v>100</c:v>
                </c:pt>
                <c:pt idx="50">
                  <c:v>100</c:v>
                </c:pt>
                <c:pt idx="51">
                  <c:v>99.6</c:v>
                </c:pt>
                <c:pt idx="52">
                  <c:v>99.4</c:v>
                </c:pt>
                <c:pt idx="53">
                  <c:v>99.6</c:v>
                </c:pt>
                <c:pt idx="54">
                  <c:v>100</c:v>
                </c:pt>
                <c:pt idx="55">
                  <c:v>100</c:v>
                </c:pt>
                <c:pt idx="56">
                  <c:v>100</c:v>
                </c:pt>
                <c:pt idx="57">
                  <c:v>100</c:v>
                </c:pt>
                <c:pt idx="58">
                  <c:v>99.8</c:v>
                </c:pt>
                <c:pt idx="59">
                  <c:v>99.8</c:v>
                </c:pt>
                <c:pt idx="60">
                  <c:v>99.8</c:v>
                </c:pt>
                <c:pt idx="61">
                  <c:v>99.8</c:v>
                </c:pt>
                <c:pt idx="62">
                  <c:v>99.3</c:v>
                </c:pt>
                <c:pt idx="63">
                  <c:v>99.6</c:v>
                </c:pt>
                <c:pt idx="64">
                  <c:v>99.6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99.8</c:v>
                </c:pt>
                <c:pt idx="71">
                  <c:v>99.8</c:v>
                </c:pt>
                <c:pt idx="72">
                  <c:v>99.8</c:v>
                </c:pt>
                <c:pt idx="73">
                  <c:v>99.8</c:v>
                </c:pt>
                <c:pt idx="74">
                  <c:v>99.5</c:v>
                </c:pt>
                <c:pt idx="75">
                  <c:v>99.5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  <c:pt idx="79">
                  <c:v>100</c:v>
                </c:pt>
                <c:pt idx="80">
                  <c:v>100</c:v>
                </c:pt>
                <c:pt idx="81">
                  <c:v>100</c:v>
                </c:pt>
                <c:pt idx="82">
                  <c:v>100</c:v>
                </c:pt>
                <c:pt idx="83">
                  <c:v>100</c:v>
                </c:pt>
                <c:pt idx="84">
                  <c:v>100</c:v>
                </c:pt>
                <c:pt idx="85">
                  <c:v>100</c:v>
                </c:pt>
                <c:pt idx="86">
                  <c:v>100</c:v>
                </c:pt>
                <c:pt idx="87">
                  <c:v>100</c:v>
                </c:pt>
                <c:pt idx="88">
                  <c:v>100</c:v>
                </c:pt>
                <c:pt idx="89">
                  <c:v>100</c:v>
                </c:pt>
                <c:pt idx="90">
                  <c:v>100</c:v>
                </c:pt>
                <c:pt idx="91">
                  <c:v>97.6</c:v>
                </c:pt>
                <c:pt idx="92">
                  <c:v>97.5</c:v>
                </c:pt>
                <c:pt idx="93">
                  <c:v>96.4</c:v>
                </c:pt>
                <c:pt idx="94">
                  <c:v>95.5</c:v>
                </c:pt>
                <c:pt idx="95">
                  <c:v>95.1</c:v>
                </c:pt>
                <c:pt idx="96">
                  <c:v>94.2</c:v>
                </c:pt>
                <c:pt idx="97">
                  <c:v>93</c:v>
                </c:pt>
                <c:pt idx="98">
                  <c:v>97.8</c:v>
                </c:pt>
                <c:pt idx="99">
                  <c:v>97.4</c:v>
                </c:pt>
                <c:pt idx="100">
                  <c:v>98</c:v>
                </c:pt>
                <c:pt idx="101">
                  <c:v>98.6</c:v>
                </c:pt>
                <c:pt idx="102">
                  <c:v>100</c:v>
                </c:pt>
                <c:pt idx="103">
                  <c:v>100</c:v>
                </c:pt>
                <c:pt idx="104">
                  <c:v>100</c:v>
                </c:pt>
                <c:pt idx="105">
                  <c:v>100</c:v>
                </c:pt>
                <c:pt idx="106">
                  <c:v>100</c:v>
                </c:pt>
                <c:pt idx="107">
                  <c:v>100</c:v>
                </c:pt>
                <c:pt idx="108">
                  <c:v>100</c:v>
                </c:pt>
                <c:pt idx="109">
                  <c:v>100</c:v>
                </c:pt>
                <c:pt idx="110">
                  <c:v>100</c:v>
                </c:pt>
                <c:pt idx="111">
                  <c:v>100</c:v>
                </c:pt>
                <c:pt idx="112">
                  <c:v>100</c:v>
                </c:pt>
                <c:pt idx="113">
                  <c:v>100</c:v>
                </c:pt>
                <c:pt idx="114">
                  <c:v>100</c:v>
                </c:pt>
                <c:pt idx="115">
                  <c:v>100</c:v>
                </c:pt>
                <c:pt idx="116">
                  <c:v>100</c:v>
                </c:pt>
                <c:pt idx="117">
                  <c:v>100</c:v>
                </c:pt>
                <c:pt idx="118">
                  <c:v>100</c:v>
                </c:pt>
                <c:pt idx="119">
                  <c:v>100</c:v>
                </c:pt>
                <c:pt idx="120">
                  <c:v>100</c:v>
                </c:pt>
                <c:pt idx="121">
                  <c:v>100</c:v>
                </c:pt>
                <c:pt idx="122">
                  <c:v>100</c:v>
                </c:pt>
                <c:pt idx="123">
                  <c:v>100</c:v>
                </c:pt>
                <c:pt idx="124">
                  <c:v>100</c:v>
                </c:pt>
                <c:pt idx="125">
                  <c:v>99.6</c:v>
                </c:pt>
                <c:pt idx="126">
                  <c:v>99.5</c:v>
                </c:pt>
                <c:pt idx="127">
                  <c:v>99.7</c:v>
                </c:pt>
                <c:pt idx="128">
                  <c:v>99.6</c:v>
                </c:pt>
                <c:pt idx="129">
                  <c:v>98.8</c:v>
                </c:pt>
                <c:pt idx="130">
                  <c:v>99.6</c:v>
                </c:pt>
                <c:pt idx="131">
                  <c:v>98.6</c:v>
                </c:pt>
                <c:pt idx="132">
                  <c:v>99.6</c:v>
                </c:pt>
                <c:pt idx="133">
                  <c:v>98.8</c:v>
                </c:pt>
                <c:pt idx="134">
                  <c:v>99.3</c:v>
                </c:pt>
                <c:pt idx="135">
                  <c:v>99.5</c:v>
                </c:pt>
                <c:pt idx="136">
                  <c:v>99.5</c:v>
                </c:pt>
                <c:pt idx="137">
                  <c:v>99.4</c:v>
                </c:pt>
                <c:pt idx="138">
                  <c:v>99.4</c:v>
                </c:pt>
                <c:pt idx="139">
                  <c:v>99.6</c:v>
                </c:pt>
                <c:pt idx="140">
                  <c:v>99.9</c:v>
                </c:pt>
                <c:pt idx="141">
                  <c:v>99.5</c:v>
                </c:pt>
                <c:pt idx="142">
                  <c:v>99.6</c:v>
                </c:pt>
                <c:pt idx="143">
                  <c:v>99.4</c:v>
                </c:pt>
                <c:pt idx="144">
                  <c:v>99.7</c:v>
                </c:pt>
                <c:pt idx="145">
                  <c:v>99.7</c:v>
                </c:pt>
                <c:pt idx="146">
                  <c:v>99.8</c:v>
                </c:pt>
                <c:pt idx="147">
                  <c:v>99.8</c:v>
                </c:pt>
                <c:pt idx="148">
                  <c:v>99.8</c:v>
                </c:pt>
                <c:pt idx="149">
                  <c:v>99.8</c:v>
                </c:pt>
                <c:pt idx="150">
                  <c:v>99.4</c:v>
                </c:pt>
                <c:pt idx="151">
                  <c:v>99.5</c:v>
                </c:pt>
                <c:pt idx="152">
                  <c:v>100</c:v>
                </c:pt>
                <c:pt idx="153">
                  <c:v>100</c:v>
                </c:pt>
                <c:pt idx="154">
                  <c:v>100</c:v>
                </c:pt>
                <c:pt idx="155">
                  <c:v>100</c:v>
                </c:pt>
                <c:pt idx="156">
                  <c:v>100</c:v>
                </c:pt>
                <c:pt idx="157">
                  <c:v>100</c:v>
                </c:pt>
                <c:pt idx="158">
                  <c:v>100</c:v>
                </c:pt>
                <c:pt idx="159">
                  <c:v>100</c:v>
                </c:pt>
                <c:pt idx="160">
                  <c:v>100</c:v>
                </c:pt>
                <c:pt idx="161">
                  <c:v>100</c:v>
                </c:pt>
                <c:pt idx="162">
                  <c:v>100</c:v>
                </c:pt>
                <c:pt idx="163">
                  <c:v>100</c:v>
                </c:pt>
                <c:pt idx="164">
                  <c:v>100</c:v>
                </c:pt>
                <c:pt idx="165">
                  <c:v>100</c:v>
                </c:pt>
                <c:pt idx="166">
                  <c:v>100</c:v>
                </c:pt>
                <c:pt idx="167">
                  <c:v>100</c:v>
                </c:pt>
                <c:pt idx="168">
                  <c:v>100</c:v>
                </c:pt>
                <c:pt idx="169">
                  <c:v>100</c:v>
                </c:pt>
                <c:pt idx="170">
                  <c:v>100</c:v>
                </c:pt>
                <c:pt idx="171">
                  <c:v>100</c:v>
                </c:pt>
                <c:pt idx="172">
                  <c:v>100</c:v>
                </c:pt>
                <c:pt idx="173">
                  <c:v>100</c:v>
                </c:pt>
                <c:pt idx="174">
                  <c:v>100</c:v>
                </c:pt>
                <c:pt idx="175">
                  <c:v>100</c:v>
                </c:pt>
                <c:pt idx="176">
                  <c:v>100</c:v>
                </c:pt>
                <c:pt idx="177">
                  <c:v>100</c:v>
                </c:pt>
                <c:pt idx="178">
                  <c:v>100</c:v>
                </c:pt>
                <c:pt idx="179">
                  <c:v>100</c:v>
                </c:pt>
                <c:pt idx="180">
                  <c:v>100</c:v>
                </c:pt>
                <c:pt idx="181">
                  <c:v>100</c:v>
                </c:pt>
                <c:pt idx="182">
                  <c:v>100</c:v>
                </c:pt>
                <c:pt idx="183">
                  <c:v>100</c:v>
                </c:pt>
                <c:pt idx="184">
                  <c:v>100</c:v>
                </c:pt>
                <c:pt idx="185">
                  <c:v>100</c:v>
                </c:pt>
                <c:pt idx="186">
                  <c:v>100</c:v>
                </c:pt>
                <c:pt idx="187">
                  <c:v>100</c:v>
                </c:pt>
                <c:pt idx="188">
                  <c:v>100</c:v>
                </c:pt>
                <c:pt idx="189">
                  <c:v>100</c:v>
                </c:pt>
                <c:pt idx="190">
                  <c:v>100</c:v>
                </c:pt>
                <c:pt idx="191">
                  <c:v>100</c:v>
                </c:pt>
                <c:pt idx="192">
                  <c:v>100</c:v>
                </c:pt>
                <c:pt idx="193">
                  <c:v>100</c:v>
                </c:pt>
                <c:pt idx="194">
                  <c:v>100</c:v>
                </c:pt>
                <c:pt idx="195">
                  <c:v>100</c:v>
                </c:pt>
                <c:pt idx="196">
                  <c:v>100</c:v>
                </c:pt>
                <c:pt idx="197">
                  <c:v>100</c:v>
                </c:pt>
                <c:pt idx="198">
                  <c:v>100</c:v>
                </c:pt>
                <c:pt idx="199">
                  <c:v>100</c:v>
                </c:pt>
                <c:pt idx="200">
                  <c:v>100</c:v>
                </c:pt>
                <c:pt idx="201">
                  <c:v>100</c:v>
                </c:pt>
                <c:pt idx="202">
                  <c:v>100</c:v>
                </c:pt>
                <c:pt idx="203">
                  <c:v>100</c:v>
                </c:pt>
                <c:pt idx="204">
                  <c:v>100</c:v>
                </c:pt>
                <c:pt idx="205">
                  <c:v>100</c:v>
                </c:pt>
                <c:pt idx="206">
                  <c:v>100</c:v>
                </c:pt>
                <c:pt idx="207">
                  <c:v>100</c:v>
                </c:pt>
                <c:pt idx="208">
                  <c:v>100</c:v>
                </c:pt>
                <c:pt idx="209">
                  <c:v>100</c:v>
                </c:pt>
                <c:pt idx="210">
                  <c:v>100</c:v>
                </c:pt>
                <c:pt idx="211">
                  <c:v>100</c:v>
                </c:pt>
                <c:pt idx="212">
                  <c:v>100</c:v>
                </c:pt>
                <c:pt idx="213">
                  <c:v>100</c:v>
                </c:pt>
                <c:pt idx="214">
                  <c:v>100</c:v>
                </c:pt>
                <c:pt idx="215">
                  <c:v>100</c:v>
                </c:pt>
                <c:pt idx="216">
                  <c:v>100</c:v>
                </c:pt>
                <c:pt idx="217">
                  <c:v>100</c:v>
                </c:pt>
                <c:pt idx="218">
                  <c:v>100</c:v>
                </c:pt>
                <c:pt idx="219">
                  <c:v>100</c:v>
                </c:pt>
                <c:pt idx="220">
                  <c:v>100</c:v>
                </c:pt>
                <c:pt idx="221">
                  <c:v>100</c:v>
                </c:pt>
                <c:pt idx="222">
                  <c:v>100</c:v>
                </c:pt>
                <c:pt idx="223">
                  <c:v>100</c:v>
                </c:pt>
                <c:pt idx="224">
                  <c:v>100</c:v>
                </c:pt>
                <c:pt idx="225">
                  <c:v>100</c:v>
                </c:pt>
                <c:pt idx="226">
                  <c:v>100</c:v>
                </c:pt>
                <c:pt idx="227">
                  <c:v>100</c:v>
                </c:pt>
                <c:pt idx="228">
                  <c:v>100</c:v>
                </c:pt>
                <c:pt idx="229">
                  <c:v>100</c:v>
                </c:pt>
                <c:pt idx="230">
                  <c:v>100</c:v>
                </c:pt>
                <c:pt idx="231">
                  <c:v>100</c:v>
                </c:pt>
                <c:pt idx="232">
                  <c:v>100</c:v>
                </c:pt>
                <c:pt idx="233">
                  <c:v>100</c:v>
                </c:pt>
                <c:pt idx="234">
                  <c:v>100</c:v>
                </c:pt>
                <c:pt idx="235">
                  <c:v>100</c:v>
                </c:pt>
                <c:pt idx="236">
                  <c:v>100</c:v>
                </c:pt>
                <c:pt idx="237">
                  <c:v>100</c:v>
                </c:pt>
                <c:pt idx="238">
                  <c:v>100</c:v>
                </c:pt>
                <c:pt idx="239">
                  <c:v>100</c:v>
                </c:pt>
                <c:pt idx="240">
                  <c:v>100</c:v>
                </c:pt>
                <c:pt idx="241">
                  <c:v>100</c:v>
                </c:pt>
                <c:pt idx="242">
                  <c:v>100</c:v>
                </c:pt>
                <c:pt idx="243">
                  <c:v>100</c:v>
                </c:pt>
                <c:pt idx="244">
                  <c:v>99.9</c:v>
                </c:pt>
                <c:pt idx="245">
                  <c:v>99.3</c:v>
                </c:pt>
                <c:pt idx="246">
                  <c:v>99.9</c:v>
                </c:pt>
                <c:pt idx="247">
                  <c:v>99.9</c:v>
                </c:pt>
                <c:pt idx="248">
                  <c:v>99.3</c:v>
                </c:pt>
                <c:pt idx="249">
                  <c:v>98.6</c:v>
                </c:pt>
                <c:pt idx="250">
                  <c:v>100</c:v>
                </c:pt>
                <c:pt idx="251">
                  <c:v>99.9</c:v>
                </c:pt>
                <c:pt idx="252">
                  <c:v>99.7</c:v>
                </c:pt>
                <c:pt idx="253">
                  <c:v>100</c:v>
                </c:pt>
                <c:pt idx="254">
                  <c:v>100</c:v>
                </c:pt>
                <c:pt idx="255">
                  <c:v>100</c:v>
                </c:pt>
                <c:pt idx="256">
                  <c:v>100</c:v>
                </c:pt>
                <c:pt idx="257">
                  <c:v>100</c:v>
                </c:pt>
                <c:pt idx="258">
                  <c:v>100</c:v>
                </c:pt>
                <c:pt idx="259">
                  <c:v>100</c:v>
                </c:pt>
                <c:pt idx="260">
                  <c:v>100</c:v>
                </c:pt>
                <c:pt idx="261">
                  <c:v>100</c:v>
                </c:pt>
                <c:pt idx="262">
                  <c:v>100</c:v>
                </c:pt>
                <c:pt idx="263">
                  <c:v>100</c:v>
                </c:pt>
                <c:pt idx="264">
                  <c:v>100</c:v>
                </c:pt>
                <c:pt idx="265">
                  <c:v>100</c:v>
                </c:pt>
                <c:pt idx="266">
                  <c:v>100</c:v>
                </c:pt>
                <c:pt idx="267">
                  <c:v>100</c:v>
                </c:pt>
                <c:pt idx="268">
                  <c:v>100</c:v>
                </c:pt>
                <c:pt idx="269">
                  <c:v>99.5</c:v>
                </c:pt>
                <c:pt idx="270">
                  <c:v>100</c:v>
                </c:pt>
                <c:pt idx="271">
                  <c:v>99.5</c:v>
                </c:pt>
                <c:pt idx="272">
                  <c:v>99.9</c:v>
                </c:pt>
                <c:pt idx="273">
                  <c:v>100</c:v>
                </c:pt>
                <c:pt idx="274">
                  <c:v>100</c:v>
                </c:pt>
                <c:pt idx="275">
                  <c:v>100</c:v>
                </c:pt>
                <c:pt idx="276">
                  <c:v>100</c:v>
                </c:pt>
                <c:pt idx="277">
                  <c:v>99.9</c:v>
                </c:pt>
                <c:pt idx="278">
                  <c:v>99.4</c:v>
                </c:pt>
                <c:pt idx="279">
                  <c:v>99.7</c:v>
                </c:pt>
                <c:pt idx="280">
                  <c:v>99.7</c:v>
                </c:pt>
                <c:pt idx="281">
                  <c:v>98.7</c:v>
                </c:pt>
                <c:pt idx="282">
                  <c:v>99.7</c:v>
                </c:pt>
                <c:pt idx="283">
                  <c:v>98.8</c:v>
                </c:pt>
                <c:pt idx="284">
                  <c:v>98.9</c:v>
                </c:pt>
                <c:pt idx="285">
                  <c:v>99.1</c:v>
                </c:pt>
                <c:pt idx="286">
                  <c:v>99.3</c:v>
                </c:pt>
                <c:pt idx="287">
                  <c:v>99.6</c:v>
                </c:pt>
                <c:pt idx="288">
                  <c:v>99.6</c:v>
                </c:pt>
                <c:pt idx="289">
                  <c:v>99.9</c:v>
                </c:pt>
                <c:pt idx="290">
                  <c:v>99.9</c:v>
                </c:pt>
                <c:pt idx="291">
                  <c:v>100</c:v>
                </c:pt>
                <c:pt idx="292">
                  <c:v>100</c:v>
                </c:pt>
                <c:pt idx="293">
                  <c:v>100</c:v>
                </c:pt>
                <c:pt idx="294">
                  <c:v>100</c:v>
                </c:pt>
                <c:pt idx="295">
                  <c:v>100</c:v>
                </c:pt>
                <c:pt idx="296">
                  <c:v>100</c:v>
                </c:pt>
                <c:pt idx="297">
                  <c:v>100</c:v>
                </c:pt>
                <c:pt idx="298">
                  <c:v>100</c:v>
                </c:pt>
                <c:pt idx="299">
                  <c:v>99.9</c:v>
                </c:pt>
                <c:pt idx="300">
                  <c:v>99.6</c:v>
                </c:pt>
                <c:pt idx="301">
                  <c:v>99.9</c:v>
                </c:pt>
                <c:pt idx="302">
                  <c:v>99.7</c:v>
                </c:pt>
                <c:pt idx="303">
                  <c:v>99.6</c:v>
                </c:pt>
              </c:numCache>
            </c:numRef>
          </c:yVal>
          <c:smooth val="0"/>
        </c:ser>
        <c:ser>
          <c:idx val="3"/>
          <c:order val="3"/>
          <c:tx>
            <c:v>clinical criteria</c:v>
          </c:tx>
          <c:spPr>
            <a:ln w="12700"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'H&amp;N'!$AW$34:$AW$35</c:f>
              <c:numCache>
                <c:formatCode>General</c:formatCode>
                <c:ptCount val="2"/>
                <c:pt idx="0">
                  <c:v>0</c:v>
                </c:pt>
                <c:pt idx="1">
                  <c:v>2500</c:v>
                </c:pt>
              </c:numCache>
            </c:numRef>
          </c:xVal>
          <c:yVal>
            <c:numRef>
              <c:f>'H&amp;N'!$AV$34:$AV$35</c:f>
              <c:numCache>
                <c:formatCode>General</c:formatCode>
                <c:ptCount val="2"/>
                <c:pt idx="0">
                  <c:v>95</c:v>
                </c:pt>
                <c:pt idx="1">
                  <c:v>95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7808512"/>
        <c:axId val="137814784"/>
      </c:scatterChart>
      <c:valAx>
        <c:axId val="137808512"/>
        <c:scaling>
          <c:orientation val="minMax"/>
          <c:max val="20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sv-SE" sz="1200">
                    <a:latin typeface="Arial" panose="020B0604020202020204" pitchFamily="34" charset="0"/>
                    <a:cs typeface="Arial" panose="020B0604020202020204" pitchFamily="34" charset="0"/>
                  </a:rPr>
                  <a:t>MU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Arial" panose="020B0604020202020204" pitchFamily="34" charset="0"/>
                <a:ea typeface="Calibri"/>
                <a:cs typeface="Arial" panose="020B0604020202020204" pitchFamily="34" charset="0"/>
              </a:defRPr>
            </a:pPr>
            <a:endParaRPr lang="en-US"/>
          </a:p>
        </c:txPr>
        <c:crossAx val="137814784"/>
        <c:crosses val="autoZero"/>
        <c:crossBetween val="midCat"/>
      </c:valAx>
      <c:valAx>
        <c:axId val="137814784"/>
        <c:scaling>
          <c:orientation val="minMax"/>
          <c:max val="100"/>
          <c:min val="92"/>
        </c:scaling>
        <c:delete val="0"/>
        <c:axPos val="l"/>
        <c:title>
          <c:tx>
            <c:rich>
              <a:bodyPr/>
              <a:lstStyle/>
              <a:p>
                <a:pPr>
                  <a:defRPr sz="12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sv-SE" sz="1200">
                    <a:latin typeface="Arial" panose="020B0604020202020204" pitchFamily="34" charset="0"/>
                    <a:cs typeface="Arial" panose="020B0604020202020204" pitchFamily="34" charset="0"/>
                  </a:rPr>
                  <a:t>Fraction approved data points [%]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7808512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8677488944019058"/>
          <c:y val="2.5760464152507216E-3"/>
          <c:w val="0.21322511055981036"/>
          <c:h val="0.22154938527420937"/>
        </c:manualLayout>
      </c:layout>
      <c:overlay val="0"/>
      <c:txPr>
        <a:bodyPr/>
        <a:lstStyle/>
        <a:p>
          <a:pPr>
            <a:defRPr sz="12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0.2067</cdr:x>
      <cdr:y>0</cdr:y>
    </cdr:from>
    <cdr:to>
      <cdr:x>0.99877</cdr:x>
      <cdr:y>0.85527</cdr:y>
    </cdr:to>
    <cdr:grpSp>
      <cdr:nvGrpSpPr>
        <cdr:cNvPr id="4" name="Grupp 3"/>
        <cdr:cNvGrpSpPr/>
      </cdr:nvGrpSpPr>
      <cdr:grpSpPr>
        <a:xfrm xmlns:a="http://schemas.openxmlformats.org/drawingml/2006/main">
          <a:off x="1071430" y="0"/>
          <a:ext cx="4105699" cy="3078814"/>
          <a:chOff x="-1803264" y="-885210"/>
          <a:chExt cx="4105726" cy="3055602"/>
        </a:xfrm>
      </cdr:grpSpPr>
      <cdr:sp macro="" textlink="">
        <cdr:nvSpPr>
          <cdr:cNvPr id="5" name="Ellips 4"/>
          <cdr:cNvSpPr/>
        </cdr:nvSpPr>
        <cdr:spPr>
          <a:xfrm xmlns:a="http://schemas.openxmlformats.org/drawingml/2006/main" rot="1800000">
            <a:off x="-1803264" y="-350342"/>
            <a:ext cx="4105726" cy="1401498"/>
          </a:xfrm>
          <a:prstGeom xmlns:a="http://schemas.openxmlformats.org/drawingml/2006/main" prst="ellipse">
            <a:avLst/>
          </a:prstGeom>
          <a:noFill xmlns:a="http://schemas.openxmlformats.org/drawingml/2006/main"/>
          <a:ln xmlns:a="http://schemas.openxmlformats.org/drawingml/2006/main" w="6350"/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  <a:prstTxWarp prst="textNoShape">
              <a:avLst/>
            </a:prstTxWarp>
            <a:noAutofit/>
          </a:bodyPr>
          <a:lstStyle xmlns:a="http://schemas.openxmlformats.org/drawingml/2006/main"/>
          <a:p xmlns:a="http://schemas.openxmlformats.org/drawingml/2006/main">
            <a:endParaRPr lang="sv-SE"/>
          </a:p>
        </cdr:txBody>
      </cdr:sp>
      <cdr:sp macro="" textlink="">
        <cdr:nvSpPr>
          <cdr:cNvPr id="6" name="Ellips 5"/>
          <cdr:cNvSpPr/>
        </cdr:nvSpPr>
        <cdr:spPr>
          <a:xfrm xmlns:a="http://schemas.openxmlformats.org/drawingml/2006/main" rot="4396941">
            <a:off x="-2295716" y="58659"/>
            <a:ext cx="3055602" cy="1167863"/>
          </a:xfrm>
          <a:prstGeom xmlns:a="http://schemas.openxmlformats.org/drawingml/2006/main" prst="ellipse">
            <a:avLst/>
          </a:prstGeom>
          <a:noFill xmlns:a="http://schemas.openxmlformats.org/drawingml/2006/main"/>
          <a:ln xmlns:a="http://schemas.openxmlformats.org/drawingml/2006/main" w="6350"/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  <a:prstTxWarp prst="textNoShape">
              <a:avLst/>
            </a:prstTxWarp>
            <a:noAutofit/>
          </a:bodyPr>
          <a:lstStyle xmlns:a="http://schemas.openxmlformats.org/drawingml/2006/main"/>
          <a:p xmlns:a="http://schemas.openxmlformats.org/drawingml/2006/main">
            <a:endParaRPr lang="sv-SE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Petersson</dc:creator>
  <cp:keywords/>
  <dc:description/>
  <cp:lastModifiedBy>Julie</cp:lastModifiedBy>
  <cp:revision>11</cp:revision>
  <cp:lastPrinted>2015-07-22T13:24:00Z</cp:lastPrinted>
  <dcterms:created xsi:type="dcterms:W3CDTF">2015-07-18T08:16:00Z</dcterms:created>
  <dcterms:modified xsi:type="dcterms:W3CDTF">2015-08-10T01:00:00Z</dcterms:modified>
</cp:coreProperties>
</file>