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C4" w:rsidRPr="00ED6EC6" w:rsidRDefault="00ED6EC6">
      <w:pPr>
        <w:rPr>
          <w:rFonts w:ascii="Times New Roman" w:hAnsi="Times New Roman" w:cs="Times New Roman"/>
          <w:sz w:val="20"/>
        </w:rPr>
      </w:pPr>
      <w:r>
        <w:rPr>
          <w:rFonts w:ascii="Times New Roman" w:hAnsi="Times New Roman" w:cs="Times New Roman"/>
          <w:sz w:val="20"/>
        </w:rPr>
        <w:t>Online-Only</w:t>
      </w:r>
      <w:r w:rsidRPr="00ED6EC6">
        <w:rPr>
          <w:rFonts w:ascii="Times New Roman" w:hAnsi="Times New Roman" w:cs="Times New Roman"/>
          <w:sz w:val="20"/>
        </w:rPr>
        <w:t xml:space="preserve"> references</w:t>
      </w:r>
    </w:p>
    <w:p w:rsidR="00ED6EC6" w:rsidRPr="00ED6EC6" w:rsidRDefault="009B1CD5">
      <w:pPr>
        <w:rPr>
          <w:rFonts w:ascii="Times New Roman" w:hAnsi="Times New Roman" w:cs="Times New Roman"/>
          <w:sz w:val="20"/>
        </w:rPr>
      </w:pPr>
      <w:r>
        <w:rPr>
          <w:rFonts w:ascii="Times New Roman" w:hAnsi="Times New Roman" w:cs="Times New Roman"/>
          <w:sz w:val="20"/>
        </w:rPr>
        <w:t>Supplementary Table S1</w:t>
      </w:r>
      <w:r w:rsidR="00ED6EC6" w:rsidRPr="00ED6EC6">
        <w:rPr>
          <w:rFonts w:ascii="Times New Roman" w:hAnsi="Times New Roman" w:cs="Times New Roman"/>
          <w:sz w:val="20"/>
        </w:rPr>
        <w:t>. Criteria for evaluation of the methodological quality of studies</w:t>
      </w:r>
    </w:p>
    <w:p w:rsidR="00ED6EC6" w:rsidRPr="00ED6EC6" w:rsidRDefault="009B1CD5">
      <w:pPr>
        <w:rPr>
          <w:rFonts w:ascii="Times New Roman" w:hAnsi="Times New Roman" w:cs="Times New Roman"/>
          <w:sz w:val="20"/>
        </w:rPr>
      </w:pPr>
      <w:r>
        <w:rPr>
          <w:rFonts w:ascii="Times New Roman" w:hAnsi="Times New Roman" w:cs="Times New Roman"/>
          <w:sz w:val="20"/>
        </w:rPr>
        <w:t>Supplementary Table S2</w:t>
      </w:r>
      <w:r w:rsidR="00ED6EC6" w:rsidRPr="00ED6EC6">
        <w:rPr>
          <w:rFonts w:ascii="Times New Roman" w:hAnsi="Times New Roman" w:cs="Times New Roman"/>
          <w:sz w:val="20"/>
        </w:rPr>
        <w:t>. Characteri</w:t>
      </w:r>
      <w:r w:rsidR="00ED6EC6">
        <w:rPr>
          <w:rFonts w:ascii="Times New Roman" w:hAnsi="Times New Roman" w:cs="Times New Roman"/>
          <w:sz w:val="20"/>
        </w:rPr>
        <w:t>s</w:t>
      </w:r>
      <w:r w:rsidR="00ED6EC6" w:rsidRPr="00ED6EC6">
        <w:rPr>
          <w:rFonts w:ascii="Times New Roman" w:hAnsi="Times New Roman" w:cs="Times New Roman"/>
          <w:sz w:val="20"/>
        </w:rPr>
        <w:t>tics of eligible studies</w:t>
      </w:r>
    </w:p>
    <w:p w:rsidR="00ED6EC6" w:rsidRDefault="009B1CD5">
      <w:pPr>
        <w:rPr>
          <w:rFonts w:ascii="Times New Roman" w:hAnsi="Times New Roman" w:cs="Times New Roman"/>
          <w:sz w:val="20"/>
        </w:rPr>
      </w:pPr>
      <w:r>
        <w:rPr>
          <w:rFonts w:ascii="Times New Roman" w:hAnsi="Times New Roman" w:cs="Times New Roman"/>
          <w:sz w:val="20"/>
        </w:rPr>
        <w:t>Supplementary Table S3</w:t>
      </w:r>
      <w:r w:rsidR="00ED6EC6" w:rsidRPr="00ED6EC6">
        <w:rPr>
          <w:rFonts w:ascii="Times New Roman" w:hAnsi="Times New Roman" w:cs="Times New Roman"/>
          <w:sz w:val="20"/>
        </w:rPr>
        <w:t>. Criteria used to define chemotherapy-induced amenorrhea in eligible studies</w:t>
      </w:r>
    </w:p>
    <w:p w:rsidR="00ED6EC6" w:rsidRDefault="00ED6EC6">
      <w:pPr>
        <w:rPr>
          <w:rFonts w:ascii="Times New Roman" w:hAnsi="Times New Roman" w:cs="Times New Roman"/>
          <w:sz w:val="20"/>
        </w:rPr>
      </w:pPr>
      <w:r>
        <w:rPr>
          <w:rFonts w:ascii="Times New Roman" w:hAnsi="Times New Roman" w:cs="Times New Roman"/>
          <w:sz w:val="20"/>
        </w:rPr>
        <w:br w:type="page"/>
      </w:r>
    </w:p>
    <w:p w:rsidR="00ED6EC6" w:rsidRDefault="00ED6EC6">
      <w:pPr>
        <w:rPr>
          <w:rFonts w:ascii="Times New Roman" w:hAnsi="Times New Roman" w:cs="Times New Roman"/>
          <w:sz w:val="20"/>
        </w:rPr>
      </w:pPr>
      <w:r>
        <w:rPr>
          <w:rFonts w:ascii="Times New Roman" w:hAnsi="Times New Roman" w:cs="Times New Roman"/>
          <w:sz w:val="20"/>
        </w:rPr>
        <w:lastRenderedPageBreak/>
        <w:t>Online-Only references</w:t>
      </w:r>
    </w:p>
    <w:p w:rsidR="004D5C76" w:rsidRPr="009B1CD5" w:rsidRDefault="004D5C76" w:rsidP="004D5C7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Abusief ME, Missmer SA, Ginsburg ES, Weeks JC, Partridge AH. The effects of paclitaxel, dose density, and trastuzumab on treatment-related amenorrhea in premenopausal women with breast cancer. Cancer. 2010</w:t>
      </w:r>
      <w:r w:rsidR="009B1CD5">
        <w:rPr>
          <w:rFonts w:ascii="Times New Roman" w:hAnsi="Times New Roman" w:cs="Times New Roman"/>
          <w:sz w:val="20"/>
        </w:rPr>
        <w:t>; 116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791-798.</w:t>
      </w:r>
    </w:p>
    <w:p w:rsidR="00BC285F" w:rsidRPr="009B1CD5" w:rsidRDefault="00BC285F"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lang w:val="sv-SE"/>
        </w:rPr>
        <w:t xml:space="preserve">Andersson M, Kamby C, Jensen MB, </w:t>
      </w:r>
      <w:r w:rsidR="000A0756" w:rsidRPr="000A0756">
        <w:rPr>
          <w:rFonts w:ascii="Times New Roman" w:hAnsi="Times New Roman" w:cs="Times New Roman"/>
          <w:sz w:val="20"/>
          <w:lang w:val="sv-SE"/>
        </w:rPr>
        <w:t xml:space="preserve">Mouridsen H, Ejlertsen B, Dombernowsky P, </w:t>
      </w:r>
      <w:r w:rsidRPr="009B1CD5">
        <w:rPr>
          <w:rFonts w:ascii="Times New Roman" w:hAnsi="Times New Roman" w:cs="Times New Roman"/>
          <w:sz w:val="20"/>
          <w:lang w:val="sv-SE"/>
        </w:rPr>
        <w:t xml:space="preserve">et al. </w:t>
      </w:r>
      <w:r w:rsidRPr="009B1CD5">
        <w:rPr>
          <w:rFonts w:ascii="Times New Roman" w:hAnsi="Times New Roman" w:cs="Times New Roman"/>
          <w:sz w:val="20"/>
        </w:rPr>
        <w:t>Tamoxifen in high-risk premenopausal women with primary breast cancer receiving adjuvant chemotherapy. Report from the Danish Breast Cancer co-operative Group DBCG 82B Trial. Eur J Cancer. 1999</w:t>
      </w:r>
      <w:r w:rsidR="009B1CD5">
        <w:rPr>
          <w:rFonts w:ascii="Times New Roman" w:hAnsi="Times New Roman" w:cs="Times New Roman"/>
          <w:sz w:val="20"/>
        </w:rPr>
        <w:t>; 35</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1659-1666.</w:t>
      </w:r>
    </w:p>
    <w:p w:rsidR="00936946" w:rsidRPr="009B1CD5" w:rsidRDefault="00936946" w:rsidP="0093694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Badawy A, Elnashar A, El-Ashry M, Shahat M. Gonadotropin-releasing hormone agonists for prevention of chemotherapy-induced ovarian damage: prospective randomized study. Fertil Steril. 2009</w:t>
      </w:r>
      <w:r w:rsidR="009B1CD5">
        <w:rPr>
          <w:rFonts w:ascii="Times New Roman" w:hAnsi="Times New Roman" w:cs="Times New Roman"/>
          <w:sz w:val="20"/>
        </w:rPr>
        <w:t>; 91</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694-697.</w:t>
      </w:r>
    </w:p>
    <w:p w:rsidR="004D5C76" w:rsidRPr="009B1CD5" w:rsidRDefault="004D5C76" w:rsidP="004D5C7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Beex LV, Mackenzie MA, Raemaekers JM, Smals AG, Benraad TJ, Kloppenborg PW. Adjuvant chemotherapy in premenopausal patients with primary breast cancer; relation to drug-induced amenorrhoea, age and the progesterone receptor status of the tumour. Eur J Cancer Clin Oncol. 1988;</w:t>
      </w:r>
      <w:r w:rsidR="009B1CD5">
        <w:rPr>
          <w:rFonts w:ascii="Times New Roman" w:hAnsi="Times New Roman" w:cs="Times New Roman"/>
          <w:sz w:val="20"/>
        </w:rPr>
        <w:t xml:space="preserve"> 24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719-21.</w:t>
      </w:r>
    </w:p>
    <w:p w:rsidR="00D2198E" w:rsidRPr="009B1CD5" w:rsidRDefault="00D2198E"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Berliere M, Dalenc F, Malingret N, </w:t>
      </w:r>
      <w:r w:rsidR="000A0756" w:rsidRPr="000A0756">
        <w:rPr>
          <w:rFonts w:ascii="Times New Roman" w:hAnsi="Times New Roman" w:cs="Times New Roman"/>
          <w:sz w:val="20"/>
        </w:rPr>
        <w:t xml:space="preserve">Vindevogel A, Piette P, Roche </w:t>
      </w:r>
      <w:r w:rsidR="000A0756">
        <w:rPr>
          <w:rFonts w:ascii="Times New Roman" w:hAnsi="Times New Roman" w:cs="Times New Roman"/>
          <w:sz w:val="20"/>
        </w:rPr>
        <w:t xml:space="preserve">H, </w:t>
      </w:r>
      <w:r w:rsidRPr="009B1CD5">
        <w:rPr>
          <w:rFonts w:ascii="Times New Roman" w:hAnsi="Times New Roman" w:cs="Times New Roman"/>
          <w:sz w:val="20"/>
        </w:rPr>
        <w:t>et al. Incidence of reversible amenorrhea in women with breast cancer undergoing adjuvant anthracycline-based chemotherapy with or without docetaxel. BMC Cancer. 2008;</w:t>
      </w:r>
      <w:r w:rsidR="009B1CD5">
        <w:rPr>
          <w:rFonts w:ascii="Times New Roman" w:hAnsi="Times New Roman" w:cs="Times New Roman"/>
          <w:sz w:val="20"/>
        </w:rPr>
        <w:t xml:space="preserve"> </w:t>
      </w:r>
      <w:r w:rsidRPr="009B1CD5">
        <w:rPr>
          <w:rFonts w:ascii="Times New Roman" w:hAnsi="Times New Roman" w:cs="Times New Roman"/>
          <w:sz w:val="20"/>
        </w:rPr>
        <w:t>8:</w:t>
      </w:r>
      <w:r w:rsidR="009B1CD5">
        <w:rPr>
          <w:rFonts w:ascii="Times New Roman" w:hAnsi="Times New Roman" w:cs="Times New Roman"/>
          <w:sz w:val="20"/>
        </w:rPr>
        <w:t xml:space="preserve"> </w:t>
      </w:r>
      <w:r w:rsidRPr="009B1CD5">
        <w:rPr>
          <w:rFonts w:ascii="Times New Roman" w:hAnsi="Times New Roman" w:cs="Times New Roman"/>
          <w:sz w:val="20"/>
        </w:rPr>
        <w:t>56.</w:t>
      </w:r>
    </w:p>
    <w:p w:rsidR="00936946" w:rsidRPr="009B1CD5" w:rsidRDefault="00936946"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Bianco AR, Del Mastro L, Gallo C, </w:t>
      </w:r>
      <w:r w:rsidR="000A0756" w:rsidRPr="000A0756">
        <w:rPr>
          <w:rFonts w:ascii="Times New Roman" w:hAnsi="Times New Roman" w:cs="Times New Roman"/>
          <w:sz w:val="20"/>
        </w:rPr>
        <w:t>Perrone F, Matano E, Pagliarulo C</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00D2198E" w:rsidRPr="009B1CD5">
        <w:rPr>
          <w:rFonts w:ascii="Times New Roman" w:hAnsi="Times New Roman" w:cs="Times New Roman"/>
          <w:sz w:val="20"/>
        </w:rPr>
        <w:t>et al</w:t>
      </w:r>
      <w:r w:rsidRPr="009B1CD5">
        <w:rPr>
          <w:rFonts w:ascii="Times New Roman" w:hAnsi="Times New Roman" w:cs="Times New Roman"/>
          <w:sz w:val="20"/>
        </w:rPr>
        <w:t>. Prognostic role of amenorrhea induced by adjuvant chemotherapy in</w:t>
      </w:r>
      <w:r w:rsidR="00D2198E" w:rsidRPr="009B1CD5">
        <w:rPr>
          <w:rFonts w:ascii="Times New Roman" w:hAnsi="Times New Roman" w:cs="Times New Roman"/>
          <w:sz w:val="20"/>
        </w:rPr>
        <w:t xml:space="preserve"> </w:t>
      </w:r>
      <w:r w:rsidRPr="009B1CD5">
        <w:rPr>
          <w:rFonts w:ascii="Times New Roman" w:hAnsi="Times New Roman" w:cs="Times New Roman"/>
          <w:sz w:val="20"/>
        </w:rPr>
        <w:t>premenopausal patients with early breast cancer. Br J Cancer. 1991;</w:t>
      </w:r>
      <w:r w:rsidR="009B1CD5">
        <w:rPr>
          <w:rFonts w:ascii="Times New Roman" w:hAnsi="Times New Roman" w:cs="Times New Roman"/>
          <w:sz w:val="20"/>
        </w:rPr>
        <w:t xml:space="preserve"> 63</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799-803.</w:t>
      </w:r>
    </w:p>
    <w:p w:rsidR="00BC285F" w:rsidRPr="009B1CD5" w:rsidRDefault="00BC285F"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Boccardo F, Rubagotti A, Bruzzi P, </w:t>
      </w:r>
      <w:r w:rsidR="000A0756" w:rsidRPr="000A0756">
        <w:rPr>
          <w:rFonts w:ascii="Times New Roman" w:hAnsi="Times New Roman" w:cs="Times New Roman"/>
          <w:sz w:val="20"/>
        </w:rPr>
        <w:t>Cappellini M, Isola G, Nenci I</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Chemotherapy versus tamoxifen versus chemotherapy plus tamoxifen in node-positive, estrogen receptor-positive breast cancer patients: results of a multicentric Italian study. Breast Cancer Adjuvant Chemo-Hormone Therapy Cooperative Group. J Clin Oncol. 1990</w:t>
      </w:r>
      <w:r w:rsidR="009B1CD5">
        <w:rPr>
          <w:rFonts w:ascii="Times New Roman" w:hAnsi="Times New Roman" w:cs="Times New Roman"/>
          <w:sz w:val="20"/>
        </w:rPr>
        <w:t>; 8</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1310-1320.</w:t>
      </w:r>
    </w:p>
    <w:p w:rsidR="00936946" w:rsidRPr="009B1CD5" w:rsidRDefault="00936946" w:rsidP="0093694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Bonadonna G, Rossi A, Valagussa P, Banfi A, Veronesi U. The CMF program for operable breast cancer with positive axillary nodes. Updated analysis on the disease-free interval, site of relapse and drug tolerance. Cancer. 1977</w:t>
      </w:r>
      <w:r w:rsidR="009B1CD5">
        <w:rPr>
          <w:rFonts w:ascii="Times New Roman" w:hAnsi="Times New Roman" w:cs="Times New Roman"/>
          <w:sz w:val="20"/>
        </w:rPr>
        <w:t>; 39</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2904-2915.</w:t>
      </w:r>
    </w:p>
    <w:p w:rsidR="00936946" w:rsidRPr="009B1CD5" w:rsidRDefault="00936946"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Brincker H, Rose C, Rank F, </w:t>
      </w:r>
      <w:r w:rsidR="000A0756" w:rsidRPr="000A0756">
        <w:rPr>
          <w:rFonts w:ascii="Times New Roman" w:hAnsi="Times New Roman" w:cs="Times New Roman"/>
          <w:sz w:val="20"/>
        </w:rPr>
        <w:t>Mouridsen HT, Jakobsen A, Dombernowsky P</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Evidence of a castration-mediated effect of adjuvant cytotoxic chemotherapy in premenopausal breast cancer. J Clin Oncol. 1987</w:t>
      </w:r>
      <w:r w:rsidR="009B1CD5">
        <w:rPr>
          <w:rFonts w:ascii="Times New Roman" w:hAnsi="Times New Roman" w:cs="Times New Roman"/>
          <w:sz w:val="20"/>
        </w:rPr>
        <w:t>; 5</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1771-1778.</w:t>
      </w:r>
    </w:p>
    <w:p w:rsidR="00936946" w:rsidRPr="009B1CD5" w:rsidRDefault="00936946"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Campora E, Pronzato P, Amoroso D, </w:t>
      </w:r>
      <w:r w:rsidR="000A0756" w:rsidRPr="000A0756">
        <w:rPr>
          <w:rFonts w:ascii="Times New Roman" w:hAnsi="Times New Roman" w:cs="Times New Roman"/>
          <w:sz w:val="20"/>
        </w:rPr>
        <w:t>Bertelli GF, Venturini M, Baldini E</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Prognostic factors in node positive primary breast cancer patients treated with adjuvant CMF. Anticancer Res.</w:t>
      </w:r>
      <w:r w:rsidR="009B1CD5">
        <w:rPr>
          <w:rFonts w:ascii="Times New Roman" w:hAnsi="Times New Roman" w:cs="Times New Roman"/>
          <w:sz w:val="20"/>
        </w:rPr>
        <w:t xml:space="preserve"> 1992; 12</w:t>
      </w:r>
      <w:r w:rsidRPr="009B1CD5">
        <w:rPr>
          <w:rFonts w:ascii="Times New Roman" w:hAnsi="Times New Roman" w:cs="Times New Roman"/>
          <w:sz w:val="20"/>
        </w:rPr>
        <w:t>:</w:t>
      </w:r>
      <w:r w:rsidR="009B1CD5" w:rsidRPr="009B1CD5">
        <w:rPr>
          <w:rFonts w:ascii="Times New Roman" w:hAnsi="Times New Roman" w:cs="Times New Roman"/>
          <w:sz w:val="20"/>
        </w:rPr>
        <w:t xml:space="preserve"> </w:t>
      </w:r>
      <w:r w:rsidRPr="009B1CD5">
        <w:rPr>
          <w:rFonts w:ascii="Times New Roman" w:hAnsi="Times New Roman" w:cs="Times New Roman"/>
          <w:sz w:val="20"/>
        </w:rPr>
        <w:t>1555-1558.</w:t>
      </w:r>
    </w:p>
    <w:p w:rsidR="00936946" w:rsidRPr="009B1CD5" w:rsidRDefault="00936946"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Colleoni M, Sun Z, Martinelli G, </w:t>
      </w:r>
      <w:r w:rsidR="000A0756" w:rsidRPr="000A0756">
        <w:rPr>
          <w:rFonts w:ascii="Times New Roman" w:hAnsi="Times New Roman" w:cs="Times New Roman"/>
          <w:sz w:val="20"/>
        </w:rPr>
        <w:t>Basser RL, Coates AS, Gelber RD</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International Breast Cancer Study Group. The effect of endocrine responsiveness on high-risk breast cancer treated with dose-intensive chemotherapy: results of International Breast Cancer Study Group Trial 15-95 after prolonged follow-up. Ann Oncol. 2009;</w:t>
      </w:r>
      <w:r w:rsidR="009B1CD5">
        <w:rPr>
          <w:rFonts w:ascii="Times New Roman" w:hAnsi="Times New Roman" w:cs="Times New Roman"/>
          <w:sz w:val="20"/>
        </w:rPr>
        <w:t xml:space="preserve"> 20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1344-1351.</w:t>
      </w:r>
    </w:p>
    <w:p w:rsidR="004D5C76" w:rsidRPr="009B1CD5" w:rsidRDefault="004D5C76" w:rsidP="004D5C76">
      <w:pPr>
        <w:pStyle w:val="ListParagraph"/>
        <w:numPr>
          <w:ilvl w:val="0"/>
          <w:numId w:val="3"/>
        </w:numPr>
        <w:rPr>
          <w:rFonts w:ascii="Times New Roman" w:hAnsi="Times New Roman" w:cs="Times New Roman"/>
          <w:sz w:val="20"/>
        </w:rPr>
      </w:pPr>
      <w:r w:rsidRPr="009B1CD5">
        <w:rPr>
          <w:rFonts w:ascii="Times New Roman" w:hAnsi="Times New Roman" w:cs="Times New Roman"/>
          <w:sz w:val="20"/>
          <w:lang w:val="sv-SE"/>
        </w:rPr>
        <w:t xml:space="preserve">Davis AL, Klitus M, Mintzer DM. </w:t>
      </w:r>
      <w:r w:rsidRPr="009B1CD5">
        <w:rPr>
          <w:rFonts w:ascii="Times New Roman" w:hAnsi="Times New Roman" w:cs="Times New Roman"/>
          <w:sz w:val="20"/>
        </w:rPr>
        <w:t>Chemotherapy-induced amenorrhea from adjuvant breast cancer treatment: the effect of the addition of taxanes. Clin Breast Cancer. 2005;</w:t>
      </w:r>
      <w:r w:rsidR="009B1CD5">
        <w:rPr>
          <w:rFonts w:ascii="Times New Roman" w:hAnsi="Times New Roman" w:cs="Times New Roman"/>
          <w:sz w:val="20"/>
        </w:rPr>
        <w:t xml:space="preserve"> 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421-424.</w:t>
      </w:r>
    </w:p>
    <w:p w:rsidR="00776FC4" w:rsidRPr="009B1CD5" w:rsidRDefault="00776FC4"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Del Mastro L, Boni L, Michelotti A, </w:t>
      </w:r>
      <w:r w:rsidR="000A0756" w:rsidRPr="000A0756">
        <w:rPr>
          <w:rFonts w:ascii="Times New Roman" w:hAnsi="Times New Roman" w:cs="Times New Roman"/>
          <w:sz w:val="20"/>
        </w:rPr>
        <w:t>Gamucci T, Olmeo N, Gori S</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Effect of the gonadotropin-releasing hormone analogue triptorelin on the occurrence of chemotherapy-induced early menopause in premenopausal women with breast cancer: a randomized trial. JAMA. 2011</w:t>
      </w:r>
      <w:r w:rsidR="009B1CD5">
        <w:rPr>
          <w:rFonts w:ascii="Times New Roman" w:hAnsi="Times New Roman" w:cs="Times New Roman"/>
          <w:sz w:val="20"/>
        </w:rPr>
        <w:t>; 306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269-276.</w:t>
      </w:r>
    </w:p>
    <w:p w:rsidR="00936946" w:rsidRPr="009B1CD5" w:rsidRDefault="00936946"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Di Cosimo S, Alimonti A, Ferretti G,</w:t>
      </w:r>
      <w:r w:rsidR="000A0756" w:rsidRPr="000A0756">
        <w:t xml:space="preserve"> </w:t>
      </w:r>
      <w:r w:rsidR="000A0756" w:rsidRPr="000A0756">
        <w:rPr>
          <w:rFonts w:ascii="Times New Roman" w:hAnsi="Times New Roman" w:cs="Times New Roman"/>
          <w:sz w:val="20"/>
        </w:rPr>
        <w:t>Sperduti I, Carlini P, Papaldo P</w:t>
      </w:r>
      <w:r w:rsidR="000A0756">
        <w:rPr>
          <w:rFonts w:ascii="Times New Roman" w:hAnsi="Times New Roman" w:cs="Times New Roman"/>
          <w:sz w:val="20"/>
        </w:rPr>
        <w:t>,</w:t>
      </w:r>
      <w:r w:rsidRPr="009B1CD5">
        <w:rPr>
          <w:rFonts w:ascii="Times New Roman" w:hAnsi="Times New Roman" w:cs="Times New Roman"/>
          <w:sz w:val="20"/>
        </w:rPr>
        <w:t xml:space="preserve"> et al. Incidence of chemotherapy-induced amenorrhea depending on the timing of treatment by menstrual cycle phase in women with early breast cancer. Ann Oncol.</w:t>
      </w:r>
      <w:r w:rsidR="009B1CD5">
        <w:rPr>
          <w:rFonts w:ascii="Times New Roman" w:hAnsi="Times New Roman" w:cs="Times New Roman"/>
          <w:sz w:val="20"/>
        </w:rPr>
        <w:t xml:space="preserve"> 2004; 15</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1065-1071.</w:t>
      </w:r>
    </w:p>
    <w:p w:rsidR="00790AE4" w:rsidRPr="009B1CD5" w:rsidRDefault="00790AE4" w:rsidP="00790AE4">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Fornier MN, Modi S, Panageas KS, Norton L, Hudis C. Incidence of chemotherapy-induced, long-term amenorrhea in patients with breast carcinoma age 40 years and younger after adjuvant anthracycline and taxane. Cancer. 2005</w:t>
      </w:r>
      <w:r w:rsidR="009B1CD5">
        <w:rPr>
          <w:rFonts w:ascii="Times New Roman" w:hAnsi="Times New Roman" w:cs="Times New Roman"/>
          <w:sz w:val="20"/>
        </w:rPr>
        <w:t>; 104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1575-1579.</w:t>
      </w:r>
    </w:p>
    <w:p w:rsidR="004D5C76" w:rsidRPr="009B1CD5" w:rsidRDefault="004D5C76"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lastRenderedPageBreak/>
        <w:t xml:space="preserve">Ganz PA, Land SR, Geyer CE Jr, </w:t>
      </w:r>
      <w:r w:rsidR="000A0756" w:rsidRPr="000A0756">
        <w:rPr>
          <w:rFonts w:ascii="Times New Roman" w:hAnsi="Times New Roman" w:cs="Times New Roman"/>
          <w:sz w:val="20"/>
        </w:rPr>
        <w:t>Cecchini RS, Costantino JP, Pajon ER</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Menstrual history and quality-of-life outcomes in women with node-positive breast cancer treated with adjuvant therapy on the NSABP B-30 trial. J Clin Oncol. 2011</w:t>
      </w:r>
      <w:r w:rsidR="009B1CD5">
        <w:rPr>
          <w:rFonts w:ascii="Times New Roman" w:hAnsi="Times New Roman" w:cs="Times New Roman"/>
          <w:sz w:val="20"/>
        </w:rPr>
        <w:t>; 29</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1110-1116.</w:t>
      </w:r>
    </w:p>
    <w:p w:rsidR="00CB271B" w:rsidRPr="009B1CD5" w:rsidRDefault="00CB271B"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Gerber B, von Minckwitz G, Stehle H, </w:t>
      </w:r>
      <w:r w:rsidR="000A0756" w:rsidRPr="000A0756">
        <w:rPr>
          <w:rFonts w:ascii="Times New Roman" w:hAnsi="Times New Roman" w:cs="Times New Roman"/>
          <w:sz w:val="20"/>
        </w:rPr>
        <w:t>Reimer T, Felberbaum R, Maass N</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German Breast Group Investigators. Effect of luteinizing hormone-releasing hormone agonist on ovarian function after modern adjuvant breast cancer chemotherapy: the GBG 37 ZORO study. J Clin Oncol. 2011;</w:t>
      </w:r>
      <w:r w:rsidR="009B1CD5">
        <w:rPr>
          <w:rFonts w:ascii="Times New Roman" w:hAnsi="Times New Roman" w:cs="Times New Roman"/>
          <w:sz w:val="20"/>
        </w:rPr>
        <w:t xml:space="preserve"> 29</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2334-2341.</w:t>
      </w:r>
    </w:p>
    <w:p w:rsidR="00790AE4" w:rsidRPr="009B1CD5" w:rsidRDefault="00790AE4" w:rsidP="00790AE4">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Goldhirsch A, Gelber RD, Castiglione M. The magnitude of endocrine effects of adjuvant chemotherapy for premenopausal breast cancer patients. The International Breast Cancer Study Group. Ann Oncol.</w:t>
      </w:r>
      <w:r w:rsidR="009B1CD5">
        <w:rPr>
          <w:rFonts w:ascii="Times New Roman" w:hAnsi="Times New Roman" w:cs="Times New Roman"/>
          <w:sz w:val="20"/>
        </w:rPr>
        <w:t xml:space="preserve"> 1990; 1</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183-188.</w:t>
      </w:r>
    </w:p>
    <w:p w:rsidR="007159A9" w:rsidRPr="009B1CD5" w:rsidRDefault="007159A9" w:rsidP="007159A9">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Goodwin PJ, Ennis M, Pritchard KI, Trudeau M, Hood N. Risk of menopause during the first year after breast cancer diagnosis. J Clin Oncol. 1999;</w:t>
      </w:r>
      <w:r w:rsidR="009B1CD5">
        <w:rPr>
          <w:rFonts w:ascii="Times New Roman" w:hAnsi="Times New Roman" w:cs="Times New Roman"/>
          <w:sz w:val="20"/>
        </w:rPr>
        <w:t xml:space="preserve"> 17</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2365-2370.</w:t>
      </w:r>
    </w:p>
    <w:p w:rsidR="00C955CB" w:rsidRPr="009B1CD5" w:rsidRDefault="00C955CB"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lang w:val="sv-SE"/>
        </w:rPr>
        <w:t xml:space="preserve">Han HS, Ro J, Lee KS, </w:t>
      </w:r>
      <w:r w:rsidR="000A0756" w:rsidRPr="000A0756">
        <w:rPr>
          <w:rFonts w:ascii="Times New Roman" w:hAnsi="Times New Roman" w:cs="Times New Roman"/>
          <w:sz w:val="20"/>
          <w:lang w:val="sv-SE"/>
        </w:rPr>
        <w:t>Nam BH, Seo JA, Lee DH</w:t>
      </w:r>
      <w:r w:rsidR="000A0756">
        <w:rPr>
          <w:rFonts w:ascii="Times New Roman" w:hAnsi="Times New Roman" w:cs="Times New Roman"/>
          <w:sz w:val="20"/>
          <w:lang w:val="sv-SE"/>
        </w:rPr>
        <w:t>,</w:t>
      </w:r>
      <w:r w:rsidR="000A0756" w:rsidRPr="000A0756">
        <w:rPr>
          <w:rFonts w:ascii="Times New Roman" w:hAnsi="Times New Roman" w:cs="Times New Roman"/>
          <w:sz w:val="20"/>
          <w:lang w:val="sv-SE"/>
        </w:rPr>
        <w:t xml:space="preserve"> </w:t>
      </w:r>
      <w:r w:rsidRPr="009B1CD5">
        <w:rPr>
          <w:rFonts w:ascii="Times New Roman" w:hAnsi="Times New Roman" w:cs="Times New Roman"/>
          <w:sz w:val="20"/>
          <w:lang w:val="sv-SE"/>
        </w:rPr>
        <w:t xml:space="preserve">et al. </w:t>
      </w:r>
      <w:r w:rsidRPr="009B1CD5">
        <w:rPr>
          <w:rFonts w:ascii="Times New Roman" w:hAnsi="Times New Roman" w:cs="Times New Roman"/>
          <w:sz w:val="20"/>
        </w:rPr>
        <w:t>Analysis of chemotherapy-induced amenorrhea rates by three different anthracycline and taxane containing regimens for early breast cancer. Breast Cancer Res Treat. 2009</w:t>
      </w:r>
      <w:r w:rsidR="009B1CD5">
        <w:rPr>
          <w:rFonts w:ascii="Times New Roman" w:hAnsi="Times New Roman" w:cs="Times New Roman"/>
          <w:sz w:val="20"/>
        </w:rPr>
        <w:t>; 115</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335-342.</w:t>
      </w:r>
    </w:p>
    <w:p w:rsidR="005E0F65" w:rsidRPr="009B1CD5" w:rsidRDefault="005E0F65" w:rsidP="005E0F65">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Hortobagyi GN, Buzdar AU, Marcus CE, Smith TL. Immediate and long-term toxicity of adjuvant chemotherapy regimens containing doxorubicin in trials at M.D. Anderson Hospital and Tumor Institute. NCI Monogr. 1986;</w:t>
      </w:r>
      <w:r w:rsidR="009B1CD5">
        <w:rPr>
          <w:rFonts w:ascii="Times New Roman" w:hAnsi="Times New Roman" w:cs="Times New Roman"/>
          <w:sz w:val="20"/>
        </w:rPr>
        <w:t xml:space="preserve"> 1</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105-109.</w:t>
      </w:r>
    </w:p>
    <w:p w:rsidR="007159A9" w:rsidRPr="009B1CD5" w:rsidRDefault="007159A9"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Howell A, Bush H, George WD, </w:t>
      </w:r>
      <w:r w:rsidR="000A0756" w:rsidRPr="000A0756">
        <w:rPr>
          <w:rFonts w:ascii="Times New Roman" w:hAnsi="Times New Roman" w:cs="Times New Roman"/>
          <w:sz w:val="20"/>
        </w:rPr>
        <w:t>Howat JM, Crowther D, Sellwood RA</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Controlled trial of adjuvant chemotherapy with cyclophosphamide, methotrexate, and fluorouracil for breast cancer. Lancet. 1984;</w:t>
      </w:r>
      <w:r w:rsidR="009B1CD5">
        <w:rPr>
          <w:rFonts w:ascii="Times New Roman" w:hAnsi="Times New Roman" w:cs="Times New Roman"/>
          <w:sz w:val="20"/>
        </w:rPr>
        <w:t xml:space="preserve"> 2</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307-311.</w:t>
      </w:r>
    </w:p>
    <w:p w:rsidR="007159A9" w:rsidRPr="009B1CD5" w:rsidRDefault="007159A9"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International Breast Cancer Study Group, Colleoni M, Gelber S, Goldhirsch A, </w:t>
      </w:r>
      <w:r w:rsidR="000A0756" w:rsidRPr="000A0756">
        <w:rPr>
          <w:rFonts w:ascii="Times New Roman" w:hAnsi="Times New Roman" w:cs="Times New Roman"/>
          <w:sz w:val="20"/>
        </w:rPr>
        <w:t>Aebi S, Castiglione-Gertsch M, Price KN</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Tamoxifen after adjuvant chemotherapy for premenopausal women with lymph node-positive breast cancer: International Breast Cancer Study Group Trial 13-93. J Clin Oncol.</w:t>
      </w:r>
      <w:r w:rsidR="009B1CD5">
        <w:rPr>
          <w:rFonts w:ascii="Times New Roman" w:hAnsi="Times New Roman" w:cs="Times New Roman"/>
          <w:sz w:val="20"/>
        </w:rPr>
        <w:t xml:space="preserve"> 2006; 24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1332-1341.</w:t>
      </w:r>
    </w:p>
    <w:p w:rsidR="00BC285F" w:rsidRPr="009B1CD5" w:rsidRDefault="00BC285F"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International Breast Cancer Study Group (IBCSG), Castiglione-Gertsch M, O'Neill A, Price KN, </w:t>
      </w:r>
      <w:r w:rsidR="000A0756" w:rsidRPr="000A0756">
        <w:rPr>
          <w:rFonts w:ascii="Times New Roman" w:hAnsi="Times New Roman" w:cs="Times New Roman"/>
          <w:sz w:val="20"/>
        </w:rPr>
        <w:t>Goldhirsch A, Coates AS, Colleoni M</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Adjuvant chemotherapy followed by goserelin versus either modality alone for premenopausal lymph node-negative breast cancer: a randomized trial. J Natl Cancer Inst. 2003</w:t>
      </w:r>
      <w:r w:rsidR="009B1CD5">
        <w:rPr>
          <w:rFonts w:ascii="Times New Roman" w:hAnsi="Times New Roman" w:cs="Times New Roman"/>
          <w:sz w:val="20"/>
        </w:rPr>
        <w:t>; 95</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1833-1846.</w:t>
      </w:r>
    </w:p>
    <w:p w:rsidR="00CB271B" w:rsidRPr="009B1CD5" w:rsidRDefault="00CB271B" w:rsidP="000A075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Kil WJ, Ahn SD, Shin SS, </w:t>
      </w:r>
      <w:r w:rsidR="000A0756" w:rsidRPr="000A0756">
        <w:rPr>
          <w:rFonts w:ascii="Times New Roman" w:hAnsi="Times New Roman" w:cs="Times New Roman"/>
          <w:sz w:val="20"/>
        </w:rPr>
        <w:t>Lee SW, Choi EK, Kim JH</w:t>
      </w:r>
      <w:r w:rsidR="000A0756">
        <w:rPr>
          <w:rFonts w:ascii="Times New Roman" w:hAnsi="Times New Roman" w:cs="Times New Roman"/>
          <w:sz w:val="20"/>
        </w:rPr>
        <w:t>,</w:t>
      </w:r>
      <w:r w:rsidR="000A0756" w:rsidRPr="000A0756">
        <w:rPr>
          <w:rFonts w:ascii="Times New Roman" w:hAnsi="Times New Roman" w:cs="Times New Roman"/>
          <w:sz w:val="20"/>
        </w:rPr>
        <w:t xml:space="preserve"> </w:t>
      </w:r>
      <w:r w:rsidRPr="009B1CD5">
        <w:rPr>
          <w:rFonts w:ascii="Times New Roman" w:hAnsi="Times New Roman" w:cs="Times New Roman"/>
          <w:sz w:val="20"/>
        </w:rPr>
        <w:t>et al. Treatment-induced menstrual changes in very young (&lt;35 years old) breast cancer patients. Breast Cancer Res Treat. 2006</w:t>
      </w:r>
      <w:r w:rsidR="009B1CD5">
        <w:rPr>
          <w:rFonts w:ascii="Times New Roman" w:hAnsi="Times New Roman" w:cs="Times New Roman"/>
          <w:sz w:val="20"/>
        </w:rPr>
        <w:t>; 96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245-250.</w:t>
      </w:r>
    </w:p>
    <w:p w:rsidR="007159A9" w:rsidRPr="009B1CD5" w:rsidRDefault="007159A9"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Jonat W, Kaufmann M, Sauerbrei W, </w:t>
      </w:r>
      <w:r w:rsidR="00277CF6" w:rsidRPr="00277CF6">
        <w:rPr>
          <w:rFonts w:ascii="Times New Roman" w:hAnsi="Times New Roman" w:cs="Times New Roman"/>
          <w:sz w:val="20"/>
        </w:rPr>
        <w:t>Blamey R, Cuzick J, Namer M</w:t>
      </w:r>
      <w:r w:rsidR="00277CF6">
        <w:rPr>
          <w:rFonts w:ascii="Times New Roman" w:hAnsi="Times New Roman" w:cs="Times New Roman"/>
          <w:sz w:val="20"/>
        </w:rPr>
        <w:t>,</w:t>
      </w:r>
      <w:r w:rsidR="00277CF6" w:rsidRPr="00277CF6">
        <w:rPr>
          <w:rFonts w:ascii="Times New Roman" w:hAnsi="Times New Roman" w:cs="Times New Roman"/>
          <w:sz w:val="20"/>
        </w:rPr>
        <w:t xml:space="preserve"> </w:t>
      </w:r>
      <w:r w:rsidRPr="009B1CD5">
        <w:rPr>
          <w:rFonts w:ascii="Times New Roman" w:hAnsi="Times New Roman" w:cs="Times New Roman"/>
          <w:sz w:val="20"/>
        </w:rPr>
        <w:t>et al; Zoladex Early Breast Cancer Research Association Study. Goserelin versus cyclophosphamide, methotrexate, and fluorouracil as adjuvant therapy in premenopausal patients with node-positive breast cancer: The Zoladex Early Breast Cancer Research Association Study. J Clin Oncol. 2002</w:t>
      </w:r>
      <w:r w:rsidR="009B1CD5">
        <w:rPr>
          <w:rFonts w:ascii="Times New Roman" w:hAnsi="Times New Roman" w:cs="Times New Roman"/>
          <w:sz w:val="20"/>
        </w:rPr>
        <w:t>; 20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4628-</w:t>
      </w:r>
      <w:r w:rsidR="009B1CD5">
        <w:rPr>
          <w:rFonts w:ascii="Times New Roman" w:hAnsi="Times New Roman" w:cs="Times New Roman"/>
          <w:sz w:val="20"/>
        </w:rPr>
        <w:t>46</w:t>
      </w:r>
      <w:r w:rsidRPr="009B1CD5">
        <w:rPr>
          <w:rFonts w:ascii="Times New Roman" w:hAnsi="Times New Roman" w:cs="Times New Roman"/>
          <w:sz w:val="20"/>
        </w:rPr>
        <w:t>35.</w:t>
      </w:r>
    </w:p>
    <w:p w:rsidR="00B86075" w:rsidRPr="009B1CD5" w:rsidRDefault="00B86075"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Jung M, Shin HJ, Rha SY, </w:t>
      </w:r>
      <w:r w:rsidR="00277CF6" w:rsidRPr="00277CF6">
        <w:rPr>
          <w:rFonts w:ascii="Times New Roman" w:hAnsi="Times New Roman" w:cs="Times New Roman"/>
          <w:sz w:val="20"/>
        </w:rPr>
        <w:t>Jeung HC, Hong S, Moon YW</w:t>
      </w:r>
      <w:r w:rsidR="00277CF6">
        <w:rPr>
          <w:rFonts w:ascii="Times New Roman" w:hAnsi="Times New Roman" w:cs="Times New Roman"/>
          <w:sz w:val="20"/>
        </w:rPr>
        <w:t>,</w:t>
      </w:r>
      <w:r w:rsidR="00277CF6" w:rsidRPr="00277CF6">
        <w:rPr>
          <w:rFonts w:ascii="Times New Roman" w:hAnsi="Times New Roman" w:cs="Times New Roman"/>
          <w:sz w:val="20"/>
        </w:rPr>
        <w:t xml:space="preserve"> </w:t>
      </w:r>
      <w:r w:rsidRPr="009B1CD5">
        <w:rPr>
          <w:rFonts w:ascii="Times New Roman" w:hAnsi="Times New Roman" w:cs="Times New Roman"/>
          <w:sz w:val="20"/>
        </w:rPr>
        <w:t>et al. The clinical outcome of chemotherapy-induced amenorrhea in premenopausal young patients with breast cancer with long-term follow-up. Ann Surg Oncol. 2010</w:t>
      </w:r>
      <w:r w:rsidR="009B1CD5">
        <w:rPr>
          <w:rFonts w:ascii="Times New Roman" w:hAnsi="Times New Roman" w:cs="Times New Roman"/>
          <w:sz w:val="20"/>
        </w:rPr>
        <w:t>; 17</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3259-3268.</w:t>
      </w:r>
    </w:p>
    <w:p w:rsidR="004D5C76" w:rsidRPr="009B1CD5" w:rsidRDefault="004D5C76"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Lee S, Kil WJ, Chun M, </w:t>
      </w:r>
      <w:r w:rsidR="00277CF6" w:rsidRPr="00277CF6">
        <w:rPr>
          <w:rFonts w:ascii="Times New Roman" w:hAnsi="Times New Roman" w:cs="Times New Roman"/>
          <w:sz w:val="20"/>
        </w:rPr>
        <w:t xml:space="preserve">Jung YS, Kang SY, Kang SH, </w:t>
      </w:r>
      <w:r w:rsidRPr="009B1CD5">
        <w:rPr>
          <w:rFonts w:ascii="Times New Roman" w:hAnsi="Times New Roman" w:cs="Times New Roman"/>
          <w:sz w:val="20"/>
        </w:rPr>
        <w:t>et al. Chemotherapy-related amenorrhea in premenopausal women with breast cancer. Menopause.</w:t>
      </w:r>
      <w:r w:rsidR="009B1CD5">
        <w:rPr>
          <w:rFonts w:ascii="Times New Roman" w:hAnsi="Times New Roman" w:cs="Times New Roman"/>
          <w:sz w:val="20"/>
        </w:rPr>
        <w:t xml:space="preserve"> 2009; 16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98-103.</w:t>
      </w:r>
    </w:p>
    <w:p w:rsidR="00CB271B" w:rsidRPr="009B1CD5" w:rsidRDefault="00CB271B" w:rsidP="00CB271B">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Lower EE, Blau R, Gazder P, Tummala R. The risk of premature menopause induced by chemotherapy for early breast cancer. J Womens Health Gend Based Med. 1999;</w:t>
      </w:r>
      <w:r w:rsidR="009B1CD5">
        <w:rPr>
          <w:rFonts w:ascii="Times New Roman" w:hAnsi="Times New Roman" w:cs="Times New Roman"/>
          <w:sz w:val="20"/>
        </w:rPr>
        <w:t xml:space="preserve"> 8</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949-954.</w:t>
      </w:r>
    </w:p>
    <w:p w:rsidR="00936946" w:rsidRPr="009B1CD5" w:rsidRDefault="00936946" w:rsidP="0093694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Ludwig Breast Cancer Study Group. A randomized trial of adjuvant combination chemotherapy with or without prednisone in premenopausal breast cancer patients with metastases in one to three axillary lymph nodes. Cancer Res.</w:t>
      </w:r>
      <w:r w:rsidR="009B1CD5">
        <w:rPr>
          <w:rFonts w:ascii="Times New Roman" w:hAnsi="Times New Roman" w:cs="Times New Roman"/>
          <w:sz w:val="20"/>
        </w:rPr>
        <w:t xml:space="preserve"> 1985; 45</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4454-4459.</w:t>
      </w:r>
    </w:p>
    <w:p w:rsidR="004D5C76" w:rsidRPr="009B1CD5" w:rsidRDefault="004D5C76"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Marini G, Murray S, Goldhirsch A, </w:t>
      </w:r>
      <w:r w:rsidR="00277CF6" w:rsidRPr="00277CF6">
        <w:rPr>
          <w:rFonts w:ascii="Times New Roman" w:hAnsi="Times New Roman" w:cs="Times New Roman"/>
          <w:sz w:val="20"/>
        </w:rPr>
        <w:t>Gelber RD, Castiglione-Gertsch M, Price KN</w:t>
      </w:r>
      <w:r w:rsidR="00277CF6">
        <w:rPr>
          <w:rFonts w:ascii="Times New Roman" w:hAnsi="Times New Roman" w:cs="Times New Roman"/>
          <w:sz w:val="20"/>
        </w:rPr>
        <w:t>,</w:t>
      </w:r>
      <w:r w:rsidR="00277CF6" w:rsidRPr="00277CF6">
        <w:rPr>
          <w:rFonts w:ascii="Times New Roman" w:hAnsi="Times New Roman" w:cs="Times New Roman"/>
          <w:sz w:val="20"/>
        </w:rPr>
        <w:t xml:space="preserve"> </w:t>
      </w:r>
      <w:r w:rsidRPr="009B1CD5">
        <w:rPr>
          <w:rFonts w:ascii="Times New Roman" w:hAnsi="Times New Roman" w:cs="Times New Roman"/>
          <w:sz w:val="20"/>
        </w:rPr>
        <w:t>et al. The effect of adjuvant prednisone combined with CMF on patterns of relapse and occurrence of second malignancies in patients with breast cancer. International (Ludwig) Breast Cancer Study Group. Ann Oncol. 1996</w:t>
      </w:r>
      <w:r w:rsidR="009B1CD5">
        <w:rPr>
          <w:rFonts w:ascii="Times New Roman" w:hAnsi="Times New Roman" w:cs="Times New Roman"/>
          <w:sz w:val="20"/>
        </w:rPr>
        <w:t>; 7</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245-250.</w:t>
      </w:r>
    </w:p>
    <w:p w:rsidR="00CB271B" w:rsidRPr="009B1CD5" w:rsidRDefault="00CB271B"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lastRenderedPageBreak/>
        <w:t xml:space="preserve">Martin M, Pienkowski T, Mackey J, </w:t>
      </w:r>
      <w:r w:rsidR="00277CF6" w:rsidRPr="00277CF6">
        <w:rPr>
          <w:rFonts w:ascii="Times New Roman" w:hAnsi="Times New Roman" w:cs="Times New Roman"/>
          <w:sz w:val="20"/>
        </w:rPr>
        <w:t>Pawlicki M, Guastalla JP, Weaver C</w:t>
      </w:r>
      <w:r w:rsidR="00277CF6">
        <w:rPr>
          <w:rFonts w:ascii="Times New Roman" w:hAnsi="Times New Roman" w:cs="Times New Roman"/>
          <w:sz w:val="20"/>
        </w:rPr>
        <w:t>,</w:t>
      </w:r>
      <w:r w:rsidR="00277CF6" w:rsidRPr="00277CF6">
        <w:rPr>
          <w:rFonts w:ascii="Times New Roman" w:hAnsi="Times New Roman" w:cs="Times New Roman"/>
          <w:sz w:val="20"/>
        </w:rPr>
        <w:t xml:space="preserve"> </w:t>
      </w:r>
      <w:r w:rsidRPr="009B1CD5">
        <w:rPr>
          <w:rFonts w:ascii="Times New Roman" w:hAnsi="Times New Roman" w:cs="Times New Roman"/>
          <w:sz w:val="20"/>
        </w:rPr>
        <w:t>et al; Breast Cancer International Research Group 001 Investigators. Adjuvant docetaxel for node-positive breast cancer. N Engl J Med. 2005</w:t>
      </w:r>
      <w:r w:rsidR="009B1CD5">
        <w:rPr>
          <w:rFonts w:ascii="Times New Roman" w:hAnsi="Times New Roman" w:cs="Times New Roman"/>
          <w:sz w:val="20"/>
        </w:rPr>
        <w:t>; 352</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2302-2313.</w:t>
      </w:r>
    </w:p>
    <w:p w:rsidR="00BC285F" w:rsidRPr="009B1CD5" w:rsidRDefault="00BC285F" w:rsidP="00BC285F">
      <w:pPr>
        <w:pStyle w:val="ListParagraph"/>
        <w:numPr>
          <w:ilvl w:val="0"/>
          <w:numId w:val="3"/>
        </w:numPr>
        <w:rPr>
          <w:rFonts w:ascii="Times New Roman" w:hAnsi="Times New Roman" w:cs="Times New Roman"/>
          <w:sz w:val="20"/>
        </w:rPr>
      </w:pPr>
      <w:r w:rsidRPr="009B1CD5">
        <w:rPr>
          <w:rFonts w:ascii="Times New Roman" w:hAnsi="Times New Roman" w:cs="Times New Roman"/>
          <w:sz w:val="20"/>
          <w:lang w:val="sv-SE"/>
        </w:rPr>
        <w:t xml:space="preserve">Mehta RR, Beattie CW, Das Gupta TK. </w:t>
      </w:r>
      <w:r w:rsidRPr="009B1CD5">
        <w:rPr>
          <w:rFonts w:ascii="Times New Roman" w:hAnsi="Times New Roman" w:cs="Times New Roman"/>
          <w:sz w:val="20"/>
        </w:rPr>
        <w:t>Endocrine profile in breast cancer patients receiving chemotherapy. Breast Cancer Res Treat. 1992;</w:t>
      </w:r>
      <w:r w:rsidR="009B1CD5">
        <w:rPr>
          <w:rFonts w:ascii="Times New Roman" w:hAnsi="Times New Roman" w:cs="Times New Roman"/>
          <w:sz w:val="20"/>
        </w:rPr>
        <w:t xml:space="preserve"> 20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125-132.</w:t>
      </w:r>
    </w:p>
    <w:p w:rsidR="00B86075" w:rsidRPr="009B1CD5" w:rsidRDefault="00B86075" w:rsidP="00B86075">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Meng K, Tian W, Zhou M, Chen H, Deng Y. Impact of chemotherapy-induced amenorrhea in breast cancer patients: the evaluation of ovarian function by menstrual history and hormonal levels. World J Surg Oncol. 2013;</w:t>
      </w:r>
      <w:r w:rsidR="009B1CD5">
        <w:rPr>
          <w:rFonts w:ascii="Times New Roman" w:hAnsi="Times New Roman" w:cs="Times New Roman"/>
          <w:sz w:val="20"/>
        </w:rPr>
        <w:t xml:space="preserve"> </w:t>
      </w:r>
      <w:r w:rsidRPr="009B1CD5">
        <w:rPr>
          <w:rFonts w:ascii="Times New Roman" w:hAnsi="Times New Roman" w:cs="Times New Roman"/>
          <w:sz w:val="20"/>
        </w:rPr>
        <w:t>11:</w:t>
      </w:r>
      <w:r w:rsidR="009B1CD5">
        <w:rPr>
          <w:rFonts w:ascii="Times New Roman" w:hAnsi="Times New Roman" w:cs="Times New Roman"/>
          <w:sz w:val="20"/>
        </w:rPr>
        <w:t xml:space="preserve"> </w:t>
      </w:r>
      <w:r w:rsidRPr="009B1CD5">
        <w:rPr>
          <w:rFonts w:ascii="Times New Roman" w:hAnsi="Times New Roman" w:cs="Times New Roman"/>
          <w:sz w:val="20"/>
        </w:rPr>
        <w:t>101.</w:t>
      </w:r>
    </w:p>
    <w:p w:rsidR="00CB271B" w:rsidRPr="009B1CD5" w:rsidRDefault="00CB271B"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Minisini AM, Menis J, Valent F,</w:t>
      </w:r>
      <w:r w:rsidR="00277CF6" w:rsidRPr="00277CF6">
        <w:rPr>
          <w:rFonts w:ascii="Times New Roman" w:hAnsi="Times New Roman" w:cs="Times New Roman"/>
          <w:sz w:val="20"/>
        </w:rPr>
        <w:t xml:space="preserve"> Andreetta C, Alessi B, Pascoletti G</w:t>
      </w:r>
      <w:r w:rsidR="00277CF6">
        <w:rPr>
          <w:rFonts w:ascii="Times New Roman" w:hAnsi="Times New Roman" w:cs="Times New Roman"/>
          <w:sz w:val="20"/>
        </w:rPr>
        <w:t>,</w:t>
      </w:r>
      <w:r w:rsidRPr="009B1CD5">
        <w:rPr>
          <w:rFonts w:ascii="Times New Roman" w:hAnsi="Times New Roman" w:cs="Times New Roman"/>
          <w:sz w:val="20"/>
        </w:rPr>
        <w:t xml:space="preserve"> et al. Determinants of recovery from amenorrhea in premenopausal breast cancer patients receiving adjuvant chemotherapy in the taxane era. Anticancer Drugs. 2009</w:t>
      </w:r>
      <w:r w:rsidR="009B1CD5">
        <w:rPr>
          <w:rFonts w:ascii="Times New Roman" w:hAnsi="Times New Roman" w:cs="Times New Roman"/>
          <w:sz w:val="20"/>
        </w:rPr>
        <w:t>; 20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503-507.</w:t>
      </w:r>
    </w:p>
    <w:p w:rsidR="00CB271B" w:rsidRPr="009B1CD5" w:rsidRDefault="00CB271B"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Munster PN, Moore AP, Ismail-Khan R, </w:t>
      </w:r>
      <w:r w:rsidR="00277CF6" w:rsidRPr="00277CF6">
        <w:rPr>
          <w:rFonts w:ascii="Times New Roman" w:hAnsi="Times New Roman" w:cs="Times New Roman"/>
          <w:sz w:val="20"/>
        </w:rPr>
        <w:t xml:space="preserve">Cox CE, Lacevic M, Gross-King M, </w:t>
      </w:r>
      <w:r w:rsidRPr="009B1CD5">
        <w:rPr>
          <w:rFonts w:ascii="Times New Roman" w:hAnsi="Times New Roman" w:cs="Times New Roman"/>
          <w:sz w:val="20"/>
        </w:rPr>
        <w:t>et al. Randomized trial using gonadotropin-releasing hormone agonist triptorelin for the preservation of ovarian function during (neo)adjuvant chemotherapy for breast cancer. J Clin Oncol. 2012</w:t>
      </w:r>
      <w:r w:rsidR="009B1CD5">
        <w:rPr>
          <w:rFonts w:ascii="Times New Roman" w:hAnsi="Times New Roman" w:cs="Times New Roman"/>
          <w:sz w:val="20"/>
        </w:rPr>
        <w:t>; 30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533-538.</w:t>
      </w:r>
    </w:p>
    <w:p w:rsidR="00CB271B" w:rsidRPr="009B1CD5" w:rsidRDefault="00CB271B" w:rsidP="00277CF6">
      <w:pPr>
        <w:pStyle w:val="ListParagraph"/>
        <w:numPr>
          <w:ilvl w:val="0"/>
          <w:numId w:val="3"/>
        </w:numPr>
        <w:rPr>
          <w:rFonts w:ascii="Times New Roman" w:hAnsi="Times New Roman" w:cs="Times New Roman"/>
          <w:sz w:val="20"/>
        </w:rPr>
      </w:pPr>
      <w:r w:rsidRPr="00277CF6">
        <w:rPr>
          <w:rFonts w:ascii="Times New Roman" w:hAnsi="Times New Roman" w:cs="Times New Roman"/>
          <w:sz w:val="20"/>
        </w:rPr>
        <w:t xml:space="preserve">Najafi S, Djavid GE, Mehrdad N, </w:t>
      </w:r>
      <w:r w:rsidR="00277CF6" w:rsidRPr="00277CF6">
        <w:rPr>
          <w:rFonts w:ascii="Times New Roman" w:hAnsi="Times New Roman" w:cs="Times New Roman"/>
          <w:sz w:val="20"/>
        </w:rPr>
        <w:t xml:space="preserve">Rajaii E, Alavi N, Olfatbakhsh A, </w:t>
      </w:r>
      <w:r w:rsidRPr="00277CF6">
        <w:rPr>
          <w:rFonts w:ascii="Times New Roman" w:hAnsi="Times New Roman" w:cs="Times New Roman"/>
          <w:sz w:val="20"/>
        </w:rPr>
        <w:t xml:space="preserve">et al. </w:t>
      </w:r>
      <w:r w:rsidRPr="009B1CD5">
        <w:rPr>
          <w:rFonts w:ascii="Times New Roman" w:hAnsi="Times New Roman" w:cs="Times New Roman"/>
          <w:sz w:val="20"/>
        </w:rPr>
        <w:t>Taxane-based regimens as a risk factor for chemotherapy-induced amenorrhea. Menopause. 2011</w:t>
      </w:r>
      <w:r w:rsidR="009B1CD5">
        <w:rPr>
          <w:rFonts w:ascii="Times New Roman" w:hAnsi="Times New Roman" w:cs="Times New Roman"/>
          <w:sz w:val="20"/>
        </w:rPr>
        <w:t>; 18</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208-212.</w:t>
      </w:r>
    </w:p>
    <w:p w:rsidR="004F15C7" w:rsidRPr="009B1CD5" w:rsidRDefault="004F15C7" w:rsidP="004F15C7">
      <w:pPr>
        <w:pStyle w:val="ListParagraph"/>
        <w:numPr>
          <w:ilvl w:val="0"/>
          <w:numId w:val="3"/>
        </w:numPr>
        <w:rPr>
          <w:rFonts w:ascii="Times New Roman" w:hAnsi="Times New Roman" w:cs="Times New Roman"/>
          <w:sz w:val="20"/>
        </w:rPr>
      </w:pPr>
      <w:r w:rsidRPr="009B1CD5">
        <w:rPr>
          <w:rFonts w:ascii="Times New Roman" w:hAnsi="Times New Roman" w:cs="Times New Roman"/>
          <w:sz w:val="20"/>
          <w:lang w:val="sv-SE"/>
        </w:rPr>
        <w:t xml:space="preserve">Narmadha MP, Malaikkal V, Rajendran NN. </w:t>
      </w:r>
      <w:r w:rsidRPr="009B1CD5">
        <w:rPr>
          <w:rFonts w:ascii="Times New Roman" w:hAnsi="Times New Roman" w:cs="Times New Roman"/>
          <w:sz w:val="20"/>
        </w:rPr>
        <w:t>Assessment of chemotherapy induced amenorrhea (CIA) in hormone receptor positive premenopausal women with breast cancer. Research Journal of Pharmaceutical, Biological and Chemical Sciences</w:t>
      </w:r>
      <w:r w:rsidR="009B1CD5">
        <w:rPr>
          <w:rFonts w:ascii="Times New Roman" w:hAnsi="Times New Roman" w:cs="Times New Roman"/>
          <w:sz w:val="20"/>
        </w:rPr>
        <w:t xml:space="preserve"> 2012; 3</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97-106.</w:t>
      </w:r>
    </w:p>
    <w:p w:rsidR="00B86075" w:rsidRPr="009B1CD5" w:rsidRDefault="00B86075"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Okanami Y, Ito Y, Watanabe C, </w:t>
      </w:r>
      <w:r w:rsidR="00277CF6">
        <w:rPr>
          <w:rFonts w:ascii="Times New Roman" w:hAnsi="Times New Roman" w:cs="Times New Roman"/>
          <w:sz w:val="20"/>
        </w:rPr>
        <w:t>I</w:t>
      </w:r>
      <w:r w:rsidR="00277CF6" w:rsidRPr="00277CF6">
        <w:rPr>
          <w:rFonts w:ascii="Times New Roman" w:hAnsi="Times New Roman" w:cs="Times New Roman"/>
          <w:sz w:val="20"/>
        </w:rPr>
        <w:t xml:space="preserve">ijima K, Iwase T, Tokudome N, </w:t>
      </w:r>
      <w:r w:rsidRPr="009B1CD5">
        <w:rPr>
          <w:rFonts w:ascii="Times New Roman" w:hAnsi="Times New Roman" w:cs="Times New Roman"/>
          <w:sz w:val="20"/>
        </w:rPr>
        <w:t>et al. Incidence of chemotherapy-induced amenorrhea in premenopausal patients with breast cancer following adjuvant anthracycline and taxane. Breast Cancer. 2011; (3):182-188.</w:t>
      </w:r>
    </w:p>
    <w:p w:rsidR="004C16ED" w:rsidRPr="009B1CD5" w:rsidRDefault="004C16ED" w:rsidP="004C16ED">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Padmanabhan N, Wang DY, Moore JW, Rubens RD. Ovarian function and adjuvant chemotherapy for early breast cancer. Eur J Cancer Clin Oncol.</w:t>
      </w:r>
      <w:r w:rsidR="009B1CD5">
        <w:rPr>
          <w:rFonts w:ascii="Times New Roman" w:hAnsi="Times New Roman" w:cs="Times New Roman"/>
          <w:sz w:val="20"/>
        </w:rPr>
        <w:t xml:space="preserve"> 1987; 23</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745-748.</w:t>
      </w:r>
    </w:p>
    <w:p w:rsidR="004C16ED" w:rsidRPr="009B1CD5" w:rsidRDefault="004C16ED"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Pagani O, O'Neill A, Castiglione M, </w:t>
      </w:r>
      <w:r w:rsidR="00277CF6" w:rsidRPr="00277CF6">
        <w:rPr>
          <w:rFonts w:ascii="Times New Roman" w:hAnsi="Times New Roman" w:cs="Times New Roman"/>
          <w:sz w:val="20"/>
        </w:rPr>
        <w:t>Gelber RD, Goldhirsch A, Rudenstam CM</w:t>
      </w:r>
      <w:r w:rsidR="00277CF6">
        <w:rPr>
          <w:rFonts w:ascii="Times New Roman" w:hAnsi="Times New Roman" w:cs="Times New Roman"/>
          <w:sz w:val="20"/>
        </w:rPr>
        <w:t>,</w:t>
      </w:r>
      <w:r w:rsidR="00277CF6" w:rsidRPr="00277CF6">
        <w:rPr>
          <w:rFonts w:ascii="Times New Roman" w:hAnsi="Times New Roman" w:cs="Times New Roman"/>
          <w:sz w:val="20"/>
        </w:rPr>
        <w:t xml:space="preserve"> </w:t>
      </w:r>
      <w:r w:rsidRPr="009B1CD5">
        <w:rPr>
          <w:rFonts w:ascii="Times New Roman" w:hAnsi="Times New Roman" w:cs="Times New Roman"/>
          <w:sz w:val="20"/>
        </w:rPr>
        <w:t>et al. Prognostic impact of amenorrhoea after adjuvant chemotherapy in premenopausal breast cancer patients with axillary node involvement: results of the International Breast Cancer Study Group (IBCSG) Trial VI. Eur J Cancer.</w:t>
      </w:r>
      <w:r w:rsidR="009B1CD5">
        <w:rPr>
          <w:rFonts w:ascii="Times New Roman" w:hAnsi="Times New Roman" w:cs="Times New Roman"/>
          <w:sz w:val="20"/>
        </w:rPr>
        <w:t xml:space="preserve"> 1998; 34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632-640.</w:t>
      </w:r>
    </w:p>
    <w:p w:rsidR="004C16ED" w:rsidRPr="009B1CD5" w:rsidRDefault="004C16ED" w:rsidP="004C16ED">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Partridge A, Gelber S, Gelber RD, Castiglione-Gertsch M, Goldhirsch A, Winer E. Age of menopause among women who remain premenopausal following treatment for early breast cancer: long-term results from International Breast Cancer Study Group Trials V and VI. Eur J Cancer. 2007;</w:t>
      </w:r>
      <w:r w:rsidR="009B1CD5">
        <w:rPr>
          <w:rFonts w:ascii="Times New Roman" w:hAnsi="Times New Roman" w:cs="Times New Roman"/>
          <w:sz w:val="20"/>
        </w:rPr>
        <w:t xml:space="preserve"> 43</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1646-1653.</w:t>
      </w:r>
    </w:p>
    <w:p w:rsidR="00F64D03" w:rsidRPr="009B1CD5" w:rsidRDefault="00F64D03"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Parulekar WR, Day AG, Ottaway JA, </w:t>
      </w:r>
      <w:r w:rsidR="00277CF6" w:rsidRPr="00277CF6">
        <w:rPr>
          <w:rFonts w:ascii="Times New Roman" w:hAnsi="Times New Roman" w:cs="Times New Roman"/>
          <w:sz w:val="20"/>
        </w:rPr>
        <w:t>Shepherd LE, Trudeau ME, Bramwell V</w:t>
      </w:r>
      <w:r w:rsidR="00277CF6">
        <w:rPr>
          <w:rFonts w:ascii="Times New Roman" w:hAnsi="Times New Roman" w:cs="Times New Roman"/>
          <w:sz w:val="20"/>
        </w:rPr>
        <w:t>,</w:t>
      </w:r>
      <w:r w:rsidR="00277CF6" w:rsidRPr="00277CF6">
        <w:rPr>
          <w:rFonts w:ascii="Times New Roman" w:hAnsi="Times New Roman" w:cs="Times New Roman"/>
          <w:sz w:val="20"/>
        </w:rPr>
        <w:t xml:space="preserve"> </w:t>
      </w:r>
      <w:r w:rsidRPr="009B1CD5">
        <w:rPr>
          <w:rFonts w:ascii="Times New Roman" w:hAnsi="Times New Roman" w:cs="Times New Roman"/>
          <w:sz w:val="20"/>
        </w:rPr>
        <w:t>et al; National Cancer Institute of Canada Clinical Trials Group. Incidence and prognostic impact of amenorrhea during adjuvant therapy in high-risk premenopausal breast cancer: analysis of a National Cancer Institute of Canada Clinical Trials Group Study--NCIC CTG MA.5. J Clin Oncol. 2005</w:t>
      </w:r>
      <w:r w:rsidR="009B1CD5">
        <w:rPr>
          <w:rFonts w:ascii="Times New Roman" w:hAnsi="Times New Roman" w:cs="Times New Roman"/>
          <w:sz w:val="20"/>
        </w:rPr>
        <w:t>; 23</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6002-6008.</w:t>
      </w:r>
    </w:p>
    <w:p w:rsidR="00B86075" w:rsidRPr="009B1CD5" w:rsidRDefault="00B86075"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Pérez-Fidalgo JA, Roselló S, García-Garré E, </w:t>
      </w:r>
      <w:r w:rsidR="00277CF6">
        <w:rPr>
          <w:rFonts w:ascii="Times New Roman" w:hAnsi="Times New Roman" w:cs="Times New Roman"/>
          <w:sz w:val="20"/>
        </w:rPr>
        <w:t>J</w:t>
      </w:r>
      <w:r w:rsidR="00277CF6" w:rsidRPr="00277CF6">
        <w:rPr>
          <w:rFonts w:ascii="Times New Roman" w:hAnsi="Times New Roman" w:cs="Times New Roman"/>
          <w:sz w:val="20"/>
        </w:rPr>
        <w:t xml:space="preserve">ordá E, Martín-Martorell P, Bermejo B, </w:t>
      </w:r>
      <w:r w:rsidRPr="009B1CD5">
        <w:rPr>
          <w:rFonts w:ascii="Times New Roman" w:hAnsi="Times New Roman" w:cs="Times New Roman"/>
          <w:sz w:val="20"/>
        </w:rPr>
        <w:t>et al. Incidence of chemotherapy-induced amenorrhea in hormone-sensitive breast cancer patients: the impact of addition of taxanes to anthracycline-based regimens. Breast Cancer Res Treat.</w:t>
      </w:r>
      <w:r w:rsidR="009B1CD5">
        <w:rPr>
          <w:rFonts w:ascii="Times New Roman" w:hAnsi="Times New Roman" w:cs="Times New Roman"/>
          <w:sz w:val="20"/>
        </w:rPr>
        <w:t xml:space="preserve"> 2010; 120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245-251.</w:t>
      </w:r>
    </w:p>
    <w:p w:rsidR="00DA5E52" w:rsidRPr="009B1CD5" w:rsidRDefault="00DA5E52"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Petrek JA, Naughton MJ, Case LD, </w:t>
      </w:r>
      <w:r w:rsidR="00277CF6" w:rsidRPr="00277CF6">
        <w:rPr>
          <w:rFonts w:ascii="Times New Roman" w:hAnsi="Times New Roman" w:cs="Times New Roman"/>
          <w:sz w:val="20"/>
        </w:rPr>
        <w:t>Paskett ED, Naftalis EZ, Singletary SE</w:t>
      </w:r>
      <w:r w:rsidR="00277CF6">
        <w:rPr>
          <w:rFonts w:ascii="Times New Roman" w:hAnsi="Times New Roman" w:cs="Times New Roman"/>
          <w:sz w:val="20"/>
        </w:rPr>
        <w:t>,</w:t>
      </w:r>
      <w:r w:rsidR="00277CF6" w:rsidRPr="00277CF6">
        <w:rPr>
          <w:rFonts w:ascii="Times New Roman" w:hAnsi="Times New Roman" w:cs="Times New Roman"/>
          <w:sz w:val="20"/>
        </w:rPr>
        <w:t xml:space="preserve"> </w:t>
      </w:r>
      <w:r w:rsidRPr="009B1CD5">
        <w:rPr>
          <w:rFonts w:ascii="Times New Roman" w:hAnsi="Times New Roman" w:cs="Times New Roman"/>
          <w:sz w:val="20"/>
        </w:rPr>
        <w:t>et al. Incidence, time course, and determinants of menstrual bleeding after breast cancer treatment: a prospective study. J Clin Oncol. 2006</w:t>
      </w:r>
      <w:r w:rsidR="009B1CD5">
        <w:rPr>
          <w:rFonts w:ascii="Times New Roman" w:hAnsi="Times New Roman" w:cs="Times New Roman"/>
          <w:sz w:val="20"/>
        </w:rPr>
        <w:t>; 24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1045-1051.</w:t>
      </w:r>
    </w:p>
    <w:p w:rsidR="004C16ED" w:rsidRPr="009B1CD5" w:rsidRDefault="004C16ED" w:rsidP="00BC285F">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Poikonen P, Saarto T, Elomaa I, Joensuu H, Blomqvist C. Prognostic effect of</w:t>
      </w:r>
      <w:r w:rsidR="00BC285F" w:rsidRPr="009B1CD5">
        <w:rPr>
          <w:rFonts w:ascii="Times New Roman" w:hAnsi="Times New Roman" w:cs="Times New Roman"/>
          <w:sz w:val="20"/>
        </w:rPr>
        <w:t xml:space="preserve"> </w:t>
      </w:r>
      <w:r w:rsidRPr="009B1CD5">
        <w:rPr>
          <w:rFonts w:ascii="Times New Roman" w:hAnsi="Times New Roman" w:cs="Times New Roman"/>
          <w:sz w:val="20"/>
        </w:rPr>
        <w:t>amenorrhoea and elevated serum gonadotropin levels induced by adjuvant</w:t>
      </w:r>
      <w:r w:rsidR="00BC285F" w:rsidRPr="009B1CD5">
        <w:rPr>
          <w:rFonts w:ascii="Times New Roman" w:hAnsi="Times New Roman" w:cs="Times New Roman"/>
          <w:sz w:val="20"/>
        </w:rPr>
        <w:t xml:space="preserve"> </w:t>
      </w:r>
      <w:r w:rsidRPr="009B1CD5">
        <w:rPr>
          <w:rFonts w:ascii="Times New Roman" w:hAnsi="Times New Roman" w:cs="Times New Roman"/>
          <w:sz w:val="20"/>
        </w:rPr>
        <w:t>chemotherapy in premenopausal node-positive breast cancer patients. Eur J Cancer.</w:t>
      </w:r>
      <w:r w:rsidR="00BC285F" w:rsidRPr="009B1CD5">
        <w:rPr>
          <w:rFonts w:ascii="Times New Roman" w:hAnsi="Times New Roman" w:cs="Times New Roman"/>
          <w:sz w:val="20"/>
        </w:rPr>
        <w:t xml:space="preserve"> 2000</w:t>
      </w:r>
      <w:r w:rsidRPr="009B1CD5">
        <w:rPr>
          <w:rFonts w:ascii="Times New Roman" w:hAnsi="Times New Roman" w:cs="Times New Roman"/>
          <w:sz w:val="20"/>
        </w:rPr>
        <w:t>;</w:t>
      </w:r>
      <w:r w:rsidR="009B1CD5">
        <w:rPr>
          <w:rFonts w:ascii="Times New Roman" w:hAnsi="Times New Roman" w:cs="Times New Roman"/>
          <w:sz w:val="20"/>
        </w:rPr>
        <w:t xml:space="preserve"> 36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43-</w:t>
      </w:r>
      <w:r w:rsidR="00BC285F" w:rsidRPr="009B1CD5">
        <w:rPr>
          <w:rFonts w:ascii="Times New Roman" w:hAnsi="Times New Roman" w:cs="Times New Roman"/>
          <w:sz w:val="20"/>
        </w:rPr>
        <w:t>4</w:t>
      </w:r>
      <w:r w:rsidRPr="009B1CD5">
        <w:rPr>
          <w:rFonts w:ascii="Times New Roman" w:hAnsi="Times New Roman" w:cs="Times New Roman"/>
          <w:sz w:val="20"/>
        </w:rPr>
        <w:t>8.</w:t>
      </w:r>
    </w:p>
    <w:p w:rsidR="004C16ED" w:rsidRPr="009B1CD5" w:rsidRDefault="004C16ED"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Pourali L, Taghizadeh Kermani A, Ghavamnasiri MR, </w:t>
      </w:r>
      <w:r w:rsidR="00277CF6" w:rsidRPr="00277CF6">
        <w:rPr>
          <w:rFonts w:ascii="Times New Roman" w:hAnsi="Times New Roman" w:cs="Times New Roman"/>
          <w:sz w:val="20"/>
        </w:rPr>
        <w:t>Khoshroo F, Hosseini S, Asadi M</w:t>
      </w:r>
      <w:r w:rsidR="00277CF6">
        <w:rPr>
          <w:rFonts w:ascii="Times New Roman" w:hAnsi="Times New Roman" w:cs="Times New Roman"/>
          <w:sz w:val="20"/>
        </w:rPr>
        <w:t>,</w:t>
      </w:r>
      <w:r w:rsidR="00277CF6" w:rsidRPr="00277CF6">
        <w:rPr>
          <w:rFonts w:ascii="Times New Roman" w:hAnsi="Times New Roman" w:cs="Times New Roman"/>
          <w:sz w:val="20"/>
        </w:rPr>
        <w:t xml:space="preserve"> </w:t>
      </w:r>
      <w:r w:rsidRPr="009B1CD5">
        <w:rPr>
          <w:rFonts w:ascii="Times New Roman" w:hAnsi="Times New Roman" w:cs="Times New Roman"/>
          <w:sz w:val="20"/>
        </w:rPr>
        <w:t>et al. Incidence of chemotherapy-induced amenorrhea after adjuvant chemotherapy with taxane and anthracyclines in young patients with breast cancer. Iran J Cancer Prev.</w:t>
      </w:r>
      <w:r w:rsidR="009B1CD5">
        <w:rPr>
          <w:rFonts w:ascii="Times New Roman" w:hAnsi="Times New Roman" w:cs="Times New Roman"/>
          <w:sz w:val="20"/>
        </w:rPr>
        <w:t xml:space="preserve"> 2013; 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147-150.</w:t>
      </w:r>
    </w:p>
    <w:p w:rsidR="00DA5E52" w:rsidRPr="009B1CD5" w:rsidRDefault="00DA5E52" w:rsidP="00DA5E52">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Reh A, Oktem O, Oktay K. Impact of breast cancer chemotherapy on ovarian reserve: a prospective observational analysis by menstrual history and ovarian reserve markers. Fertil Steril. 2008</w:t>
      </w:r>
      <w:r w:rsidR="009B1CD5">
        <w:rPr>
          <w:rFonts w:ascii="Times New Roman" w:hAnsi="Times New Roman" w:cs="Times New Roman"/>
          <w:sz w:val="20"/>
        </w:rPr>
        <w:t>; 90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1635-1639.</w:t>
      </w:r>
    </w:p>
    <w:p w:rsidR="00776FC4" w:rsidRPr="009B1CD5" w:rsidRDefault="00776FC4" w:rsidP="00776FC4">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lastRenderedPageBreak/>
        <w:t>Reyno LM, Levine MN, Skingley P, Arnold A, Abu Zahra H. Chemotherapy induced amenorrhoea in a randomised trial of adjuvant chemotherapy duration in breast cancer. Eur J Cancer. 1992;</w:t>
      </w:r>
      <w:r w:rsidR="009B1CD5">
        <w:rPr>
          <w:rFonts w:ascii="Times New Roman" w:hAnsi="Times New Roman" w:cs="Times New Roman"/>
          <w:sz w:val="20"/>
        </w:rPr>
        <w:t xml:space="preserve"> 29A</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21-23.</w:t>
      </w:r>
    </w:p>
    <w:p w:rsidR="00776FC4" w:rsidRPr="009B1CD5" w:rsidRDefault="00776FC4"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Richards MA, O'Reilly SM, Howell A, </w:t>
      </w:r>
      <w:r w:rsidR="00277CF6" w:rsidRPr="00277CF6">
        <w:rPr>
          <w:rFonts w:ascii="Times New Roman" w:hAnsi="Times New Roman" w:cs="Times New Roman"/>
          <w:sz w:val="20"/>
        </w:rPr>
        <w:t xml:space="preserve">George WD, Fentiman IS, Chaudary MA, </w:t>
      </w:r>
      <w:r w:rsidRPr="009B1CD5">
        <w:rPr>
          <w:rFonts w:ascii="Times New Roman" w:hAnsi="Times New Roman" w:cs="Times New Roman"/>
          <w:sz w:val="20"/>
        </w:rPr>
        <w:t>et al. Adjuvant cyclophosphamide, methotrexate, and fluorouracil in patients with axillary node-positive breast cancer: an update of the Guy's/Manchester trial. J Clin Oncol. 1990;</w:t>
      </w:r>
      <w:r w:rsidR="009B1CD5">
        <w:rPr>
          <w:rFonts w:ascii="Times New Roman" w:hAnsi="Times New Roman" w:cs="Times New Roman"/>
          <w:sz w:val="20"/>
        </w:rPr>
        <w:t xml:space="preserve"> </w:t>
      </w:r>
      <w:r w:rsidRPr="009B1CD5">
        <w:rPr>
          <w:rFonts w:ascii="Times New Roman" w:hAnsi="Times New Roman" w:cs="Times New Roman"/>
          <w:sz w:val="20"/>
        </w:rPr>
        <w:t>8:</w:t>
      </w:r>
      <w:r w:rsidR="009B1CD5">
        <w:rPr>
          <w:rFonts w:ascii="Times New Roman" w:hAnsi="Times New Roman" w:cs="Times New Roman"/>
          <w:sz w:val="20"/>
        </w:rPr>
        <w:t xml:space="preserve"> </w:t>
      </w:r>
      <w:r w:rsidRPr="009B1CD5">
        <w:rPr>
          <w:rFonts w:ascii="Times New Roman" w:hAnsi="Times New Roman" w:cs="Times New Roman"/>
          <w:sz w:val="20"/>
        </w:rPr>
        <w:t>2032-2039.</w:t>
      </w:r>
    </w:p>
    <w:p w:rsidR="004D5C76" w:rsidRPr="009B1CD5" w:rsidRDefault="004D5C76"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Roché H, Kerbrat P, Bonneterre J, </w:t>
      </w:r>
      <w:r w:rsidR="00277CF6" w:rsidRPr="00277CF6">
        <w:rPr>
          <w:rFonts w:ascii="Times New Roman" w:hAnsi="Times New Roman" w:cs="Times New Roman"/>
          <w:sz w:val="20"/>
        </w:rPr>
        <w:t>Fargeot P, Fumoleau P, Monnier A</w:t>
      </w:r>
      <w:r w:rsidR="00277CF6">
        <w:rPr>
          <w:rFonts w:ascii="Times New Roman" w:hAnsi="Times New Roman" w:cs="Times New Roman"/>
          <w:sz w:val="20"/>
        </w:rPr>
        <w:t xml:space="preserve">, </w:t>
      </w:r>
      <w:r w:rsidRPr="009B1CD5">
        <w:rPr>
          <w:rFonts w:ascii="Times New Roman" w:hAnsi="Times New Roman" w:cs="Times New Roman"/>
          <w:sz w:val="20"/>
        </w:rPr>
        <w:t>et al. Complete hormonal blockade versus epirubicin-based chemotherapy in premenopausal, one to three node-positive, and hormone-receptor positive, early breast cancer patients: 7-year follow-up results of French Adjuvant Study Group 06 randomised trial. Ann Oncol.</w:t>
      </w:r>
      <w:r w:rsidR="009B1CD5">
        <w:rPr>
          <w:rFonts w:ascii="Times New Roman" w:hAnsi="Times New Roman" w:cs="Times New Roman"/>
          <w:sz w:val="20"/>
        </w:rPr>
        <w:t xml:space="preserve"> 2006; 17</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1221-1227.</w:t>
      </w:r>
    </w:p>
    <w:p w:rsidR="00936946" w:rsidRPr="009B1CD5" w:rsidRDefault="00936946" w:rsidP="00936946">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Rose DP, Davis TE. Effects of adjuvant chemohormonal therapy on the ovarian and adrenal function of breast cancer patients. Cancer Res.</w:t>
      </w:r>
      <w:r w:rsidR="009B1CD5">
        <w:rPr>
          <w:rFonts w:ascii="Times New Roman" w:hAnsi="Times New Roman" w:cs="Times New Roman"/>
          <w:sz w:val="20"/>
        </w:rPr>
        <w:t xml:space="preserve"> 1980; 40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4043-4047.</w:t>
      </w:r>
    </w:p>
    <w:p w:rsidR="007159A9" w:rsidRPr="009B1CD5" w:rsidRDefault="007159A9" w:rsidP="00277CF6">
      <w:pPr>
        <w:pStyle w:val="ListParagraph"/>
        <w:numPr>
          <w:ilvl w:val="0"/>
          <w:numId w:val="3"/>
        </w:numPr>
        <w:rPr>
          <w:rFonts w:ascii="Times New Roman" w:hAnsi="Times New Roman" w:cs="Times New Roman"/>
          <w:sz w:val="20"/>
        </w:rPr>
      </w:pPr>
      <w:r w:rsidRPr="009B1CD5">
        <w:rPr>
          <w:rFonts w:ascii="Times New Roman" w:hAnsi="Times New Roman" w:cs="Times New Roman"/>
          <w:sz w:val="20"/>
          <w:lang w:val="sv-SE"/>
        </w:rPr>
        <w:t xml:space="preserve">Rosendahl M, Ahlgren J, Andersen J, </w:t>
      </w:r>
      <w:r w:rsidR="00277CF6" w:rsidRPr="00277CF6">
        <w:rPr>
          <w:rFonts w:ascii="Times New Roman" w:hAnsi="Times New Roman" w:cs="Times New Roman"/>
          <w:sz w:val="20"/>
          <w:lang w:val="sv-SE"/>
        </w:rPr>
        <w:t>Bergh J, Blomquist C, Lidbrink E</w:t>
      </w:r>
      <w:r w:rsidR="00277CF6">
        <w:rPr>
          <w:rFonts w:ascii="Times New Roman" w:hAnsi="Times New Roman" w:cs="Times New Roman"/>
          <w:sz w:val="20"/>
          <w:lang w:val="sv-SE"/>
        </w:rPr>
        <w:t>,</w:t>
      </w:r>
      <w:r w:rsidR="00277CF6" w:rsidRPr="00277CF6">
        <w:rPr>
          <w:rFonts w:ascii="Times New Roman" w:hAnsi="Times New Roman" w:cs="Times New Roman"/>
          <w:sz w:val="20"/>
          <w:lang w:val="sv-SE"/>
        </w:rPr>
        <w:t xml:space="preserve"> </w:t>
      </w:r>
      <w:r w:rsidRPr="009B1CD5">
        <w:rPr>
          <w:rFonts w:ascii="Times New Roman" w:hAnsi="Times New Roman" w:cs="Times New Roman"/>
          <w:sz w:val="20"/>
          <w:lang w:val="sv-SE"/>
        </w:rPr>
        <w:t xml:space="preserve">et al. </w:t>
      </w:r>
      <w:r w:rsidRPr="009B1CD5">
        <w:rPr>
          <w:rFonts w:ascii="Times New Roman" w:hAnsi="Times New Roman" w:cs="Times New Roman"/>
          <w:sz w:val="20"/>
        </w:rPr>
        <w:t>The risk of amenorrhoea after adjuvant chemotherapy for early stage breast cancer is related to inter-individual variations in chemotherapy-induced leukocyte nadir in young patients: data from the randomised SBG 2000-1 study. Eur J Cancer. 2009</w:t>
      </w:r>
      <w:r w:rsidR="009B1CD5">
        <w:rPr>
          <w:rFonts w:ascii="Times New Roman" w:hAnsi="Times New Roman" w:cs="Times New Roman"/>
          <w:sz w:val="20"/>
        </w:rPr>
        <w:t>; 45</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3198-3204.</w:t>
      </w:r>
    </w:p>
    <w:p w:rsidR="00C955CB" w:rsidRPr="009B1CD5" w:rsidRDefault="00C955CB" w:rsidP="00F61AA7">
      <w:pPr>
        <w:pStyle w:val="ListParagraph"/>
        <w:numPr>
          <w:ilvl w:val="0"/>
          <w:numId w:val="3"/>
        </w:numPr>
        <w:rPr>
          <w:rFonts w:ascii="Times New Roman" w:hAnsi="Times New Roman" w:cs="Times New Roman"/>
          <w:sz w:val="20"/>
        </w:rPr>
      </w:pPr>
      <w:r w:rsidRPr="00F61AA7">
        <w:rPr>
          <w:rFonts w:ascii="Times New Roman" w:hAnsi="Times New Roman" w:cs="Times New Roman"/>
          <w:sz w:val="20"/>
          <w:lang w:val="sv-SE"/>
        </w:rPr>
        <w:t xml:space="preserve">Ruddy KJ, O'Neill A, Miller KD, </w:t>
      </w:r>
      <w:r w:rsidR="00F61AA7" w:rsidRPr="00F61AA7">
        <w:rPr>
          <w:rFonts w:ascii="Times New Roman" w:hAnsi="Times New Roman" w:cs="Times New Roman"/>
          <w:sz w:val="20"/>
          <w:lang w:val="sv-SE"/>
        </w:rPr>
        <w:t xml:space="preserve">Schneider BP, Baker E, Sparano JA, </w:t>
      </w:r>
      <w:r w:rsidR="007159A9" w:rsidRPr="00F61AA7">
        <w:rPr>
          <w:rFonts w:ascii="Times New Roman" w:hAnsi="Times New Roman" w:cs="Times New Roman"/>
          <w:sz w:val="20"/>
          <w:lang w:val="sv-SE"/>
        </w:rPr>
        <w:t>et al</w:t>
      </w:r>
      <w:r w:rsidRPr="00F61AA7">
        <w:rPr>
          <w:rFonts w:ascii="Times New Roman" w:hAnsi="Times New Roman" w:cs="Times New Roman"/>
          <w:sz w:val="20"/>
          <w:lang w:val="sv-SE"/>
        </w:rPr>
        <w:t xml:space="preserve">. </w:t>
      </w:r>
      <w:r w:rsidRPr="009B1CD5">
        <w:rPr>
          <w:rFonts w:ascii="Times New Roman" w:hAnsi="Times New Roman" w:cs="Times New Roman"/>
          <w:sz w:val="20"/>
        </w:rPr>
        <w:t>Biomarker prediction of</w:t>
      </w:r>
      <w:r w:rsidR="007159A9" w:rsidRPr="009B1CD5">
        <w:rPr>
          <w:rFonts w:ascii="Times New Roman" w:hAnsi="Times New Roman" w:cs="Times New Roman"/>
          <w:sz w:val="20"/>
        </w:rPr>
        <w:t xml:space="preserve"> </w:t>
      </w:r>
      <w:r w:rsidRPr="009B1CD5">
        <w:rPr>
          <w:rFonts w:ascii="Times New Roman" w:hAnsi="Times New Roman" w:cs="Times New Roman"/>
          <w:sz w:val="20"/>
        </w:rPr>
        <w:t>chemotherapy-related amenorrhea in premenopausal women with breast cancer</w:t>
      </w:r>
      <w:r w:rsidR="007159A9" w:rsidRPr="009B1CD5">
        <w:rPr>
          <w:rFonts w:ascii="Times New Roman" w:hAnsi="Times New Roman" w:cs="Times New Roman"/>
          <w:sz w:val="20"/>
        </w:rPr>
        <w:t xml:space="preserve"> </w:t>
      </w:r>
      <w:r w:rsidRPr="009B1CD5">
        <w:rPr>
          <w:rFonts w:ascii="Times New Roman" w:hAnsi="Times New Roman" w:cs="Times New Roman"/>
          <w:sz w:val="20"/>
        </w:rPr>
        <w:t>participating in E5103. B</w:t>
      </w:r>
      <w:r w:rsidR="007159A9" w:rsidRPr="009B1CD5">
        <w:rPr>
          <w:rFonts w:ascii="Times New Roman" w:hAnsi="Times New Roman" w:cs="Times New Roman"/>
          <w:sz w:val="20"/>
        </w:rPr>
        <w:t>reast Cancer Res Treat. 2014</w:t>
      </w:r>
      <w:r w:rsidR="009B1CD5">
        <w:rPr>
          <w:rFonts w:ascii="Times New Roman" w:hAnsi="Times New Roman" w:cs="Times New Roman"/>
          <w:sz w:val="20"/>
        </w:rPr>
        <w:t>; 144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591-</w:t>
      </w:r>
      <w:r w:rsidR="007159A9" w:rsidRPr="009B1CD5">
        <w:rPr>
          <w:rFonts w:ascii="Times New Roman" w:hAnsi="Times New Roman" w:cs="Times New Roman"/>
          <w:sz w:val="20"/>
        </w:rPr>
        <w:t>59</w:t>
      </w:r>
      <w:r w:rsidRPr="009B1CD5">
        <w:rPr>
          <w:rFonts w:ascii="Times New Roman" w:hAnsi="Times New Roman" w:cs="Times New Roman"/>
          <w:sz w:val="20"/>
        </w:rPr>
        <w:t>7.</w:t>
      </w:r>
    </w:p>
    <w:p w:rsidR="007159A9" w:rsidRPr="009B1CD5" w:rsidRDefault="007159A9" w:rsidP="007159A9">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Saarto T, Blomqvist C, Ehnholm C, Taskinen MR, Elomaa I. Effects of chemotherapy-induced castration on serum lipids and apoproteins in premenopausal women with node-positive breast cancer. J Clin Endocrinol Metab.</w:t>
      </w:r>
      <w:r w:rsidR="009B1CD5">
        <w:rPr>
          <w:rFonts w:ascii="Times New Roman" w:hAnsi="Times New Roman" w:cs="Times New Roman"/>
          <w:sz w:val="20"/>
        </w:rPr>
        <w:t xml:space="preserve"> 1996; 81</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4453-4457.</w:t>
      </w:r>
    </w:p>
    <w:p w:rsidR="004C16ED" w:rsidRPr="009B1CD5" w:rsidRDefault="004C16ED" w:rsidP="004C16ED">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Samaan NA, deAsis DN Jr, Buzdar AU, Blumenschein GR. Pituitary-ovarian function in breast cancer patients on adjuvant chemoimmunotherapy. Cancer.</w:t>
      </w:r>
      <w:r w:rsidR="009B1CD5">
        <w:rPr>
          <w:rFonts w:ascii="Times New Roman" w:hAnsi="Times New Roman" w:cs="Times New Roman"/>
          <w:sz w:val="20"/>
        </w:rPr>
        <w:t xml:space="preserve"> 1978; 41</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2084-2087.</w:t>
      </w:r>
    </w:p>
    <w:p w:rsidR="004C16ED" w:rsidRPr="009B1CD5" w:rsidRDefault="004C16ED"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Shapiro CL, Phillips G, Van Poznak CH, </w:t>
      </w:r>
      <w:r w:rsidR="00F61AA7" w:rsidRPr="00F61AA7">
        <w:rPr>
          <w:rFonts w:ascii="Times New Roman" w:hAnsi="Times New Roman" w:cs="Times New Roman"/>
          <w:sz w:val="20"/>
        </w:rPr>
        <w:t xml:space="preserve">Jackson R, Leboff MS, Woodard S, </w:t>
      </w:r>
      <w:r w:rsidRPr="009B1CD5">
        <w:rPr>
          <w:rFonts w:ascii="Times New Roman" w:hAnsi="Times New Roman" w:cs="Times New Roman"/>
          <w:sz w:val="20"/>
        </w:rPr>
        <w:t>et al. Baseline bone mineral density of the total lumbar spine may predict for chemotherapy-induced ovarian failure. Breast Cancer Res Treat.</w:t>
      </w:r>
      <w:r w:rsidR="009B1CD5">
        <w:rPr>
          <w:rFonts w:ascii="Times New Roman" w:hAnsi="Times New Roman" w:cs="Times New Roman"/>
          <w:sz w:val="20"/>
        </w:rPr>
        <w:t xml:space="preserve"> 2005; 90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41-46.</w:t>
      </w:r>
    </w:p>
    <w:p w:rsidR="00F64D03" w:rsidRPr="009B1CD5" w:rsidRDefault="00F64D03"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lang w:val="sv-SE"/>
        </w:rPr>
        <w:t xml:space="preserve">Su HI, Sammel MD, Velders L, </w:t>
      </w:r>
      <w:r w:rsidR="00F61AA7" w:rsidRPr="00F61AA7">
        <w:rPr>
          <w:rFonts w:ascii="Times New Roman" w:hAnsi="Times New Roman" w:cs="Times New Roman"/>
          <w:sz w:val="20"/>
          <w:lang w:val="sv-SE"/>
        </w:rPr>
        <w:t>Horn M, Stankiewicz C, Matro J,</w:t>
      </w:r>
      <w:r w:rsidR="00F61AA7">
        <w:rPr>
          <w:rFonts w:ascii="Times New Roman" w:hAnsi="Times New Roman" w:cs="Times New Roman"/>
          <w:sz w:val="20"/>
          <w:lang w:val="sv-SE"/>
        </w:rPr>
        <w:t xml:space="preserve"> </w:t>
      </w:r>
      <w:r w:rsidRPr="009B1CD5">
        <w:rPr>
          <w:rFonts w:ascii="Times New Roman" w:hAnsi="Times New Roman" w:cs="Times New Roman"/>
          <w:sz w:val="20"/>
          <w:lang w:val="sv-SE"/>
        </w:rPr>
        <w:t xml:space="preserve">et al. </w:t>
      </w:r>
      <w:r w:rsidRPr="009B1CD5">
        <w:rPr>
          <w:rFonts w:ascii="Times New Roman" w:hAnsi="Times New Roman" w:cs="Times New Roman"/>
          <w:sz w:val="20"/>
        </w:rPr>
        <w:t>Association of cyclophosphamide drug-metabolizing enzyme polymorphisms and chemotherapy-related ovarian failure in breast cancer survivors. Fertil Steril. 2010</w:t>
      </w:r>
      <w:r w:rsidR="009B1CD5">
        <w:rPr>
          <w:rFonts w:ascii="Times New Roman" w:hAnsi="Times New Roman" w:cs="Times New Roman"/>
          <w:sz w:val="20"/>
        </w:rPr>
        <w:t xml:space="preserve"> ;94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645-654.</w:t>
      </w:r>
    </w:p>
    <w:p w:rsidR="00B86075" w:rsidRPr="009B1CD5" w:rsidRDefault="00B86075"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Sukumvanich P, Case LD, Van Zee K, </w:t>
      </w:r>
      <w:r w:rsidR="00F61AA7" w:rsidRPr="00F61AA7">
        <w:rPr>
          <w:rFonts w:ascii="Times New Roman" w:hAnsi="Times New Roman" w:cs="Times New Roman"/>
          <w:sz w:val="20"/>
        </w:rPr>
        <w:t xml:space="preserve">Singletary SE, Paskett ED, Petrek JA, </w:t>
      </w:r>
      <w:r w:rsidRPr="009B1CD5">
        <w:rPr>
          <w:rFonts w:ascii="Times New Roman" w:hAnsi="Times New Roman" w:cs="Times New Roman"/>
          <w:sz w:val="20"/>
        </w:rPr>
        <w:t>et al. Incidence and time course of bleeding after long-term amenorrhea after breast cancer treatment: a prospective study. Cancer. 2010;</w:t>
      </w:r>
      <w:r w:rsidR="009B1CD5">
        <w:rPr>
          <w:rFonts w:ascii="Times New Roman" w:hAnsi="Times New Roman" w:cs="Times New Roman"/>
          <w:sz w:val="20"/>
        </w:rPr>
        <w:t xml:space="preserve"> 116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3102-3111.</w:t>
      </w:r>
    </w:p>
    <w:p w:rsidR="00DA5E52" w:rsidRPr="009B1CD5" w:rsidRDefault="00DA5E52" w:rsidP="00DA5E52">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Sverrisdottir A, Nystedt M, Johansson H, Fornander T. Adjuvant goserelin and ovarian preservation in chemotherapy treated patients with early breast cancer: results from a randomized trial. Breast Cancer Res Treat. 2009</w:t>
      </w:r>
      <w:r w:rsidR="009B1CD5">
        <w:rPr>
          <w:rFonts w:ascii="Times New Roman" w:hAnsi="Times New Roman" w:cs="Times New Roman"/>
          <w:sz w:val="20"/>
        </w:rPr>
        <w:t>; 117</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561-567.</w:t>
      </w:r>
    </w:p>
    <w:p w:rsidR="00B86075" w:rsidRPr="009B1CD5" w:rsidRDefault="00B86075"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Swain SM, Jeong JH, Geyer CE Jr, </w:t>
      </w:r>
      <w:r w:rsidR="00F61AA7" w:rsidRPr="00F61AA7">
        <w:rPr>
          <w:rFonts w:ascii="Times New Roman" w:hAnsi="Times New Roman" w:cs="Times New Roman"/>
          <w:sz w:val="20"/>
        </w:rPr>
        <w:t>Costantino JP, Pajon ER, Fehrenbacher L</w:t>
      </w:r>
      <w:r w:rsidR="00F61AA7">
        <w:rPr>
          <w:rFonts w:ascii="Times New Roman" w:hAnsi="Times New Roman" w:cs="Times New Roman"/>
          <w:sz w:val="20"/>
        </w:rPr>
        <w:t>,</w:t>
      </w:r>
      <w:r w:rsidR="00F61AA7" w:rsidRPr="00F61AA7">
        <w:rPr>
          <w:rFonts w:ascii="Times New Roman" w:hAnsi="Times New Roman" w:cs="Times New Roman"/>
          <w:sz w:val="20"/>
        </w:rPr>
        <w:t xml:space="preserve"> </w:t>
      </w:r>
      <w:r w:rsidR="004D5C76" w:rsidRPr="009B1CD5">
        <w:rPr>
          <w:rFonts w:ascii="Times New Roman" w:hAnsi="Times New Roman" w:cs="Times New Roman"/>
          <w:sz w:val="20"/>
        </w:rPr>
        <w:t>et al</w:t>
      </w:r>
      <w:r w:rsidRPr="009B1CD5">
        <w:rPr>
          <w:rFonts w:ascii="Times New Roman" w:hAnsi="Times New Roman" w:cs="Times New Roman"/>
          <w:sz w:val="20"/>
        </w:rPr>
        <w:t xml:space="preserve">. Longer therapy, iatrogenic amenorrhea, and survival in early breast cancer. </w:t>
      </w:r>
      <w:r w:rsidR="004D5C76" w:rsidRPr="009B1CD5">
        <w:rPr>
          <w:rFonts w:ascii="Times New Roman" w:hAnsi="Times New Roman" w:cs="Times New Roman"/>
          <w:sz w:val="20"/>
        </w:rPr>
        <w:t>N Engl J Med. 2010</w:t>
      </w:r>
      <w:r w:rsidR="009B1CD5">
        <w:rPr>
          <w:rFonts w:ascii="Times New Roman" w:hAnsi="Times New Roman" w:cs="Times New Roman"/>
          <w:sz w:val="20"/>
        </w:rPr>
        <w:t>; 362</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2053-</w:t>
      </w:r>
      <w:r w:rsidR="004D5C76" w:rsidRPr="009B1CD5">
        <w:rPr>
          <w:rFonts w:ascii="Times New Roman" w:hAnsi="Times New Roman" w:cs="Times New Roman"/>
          <w:sz w:val="20"/>
        </w:rPr>
        <w:t>20</w:t>
      </w:r>
      <w:r w:rsidRPr="009B1CD5">
        <w:rPr>
          <w:rFonts w:ascii="Times New Roman" w:hAnsi="Times New Roman" w:cs="Times New Roman"/>
          <w:sz w:val="20"/>
        </w:rPr>
        <w:t>65.</w:t>
      </w:r>
    </w:p>
    <w:p w:rsidR="00F64D03" w:rsidRPr="009B1CD5" w:rsidRDefault="00F64D03" w:rsidP="00F64D03">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Tancini G, Bajetta E, Marchini S, Valagussa P, Bonadonna G, Veronesi U. Preliminary 3-year results of 12 versus 6 cycles of surgical adjuvant CMF in premenopausal breast cancer. Cancer Clin Trials. 1979</w:t>
      </w:r>
      <w:r w:rsidR="009B1CD5">
        <w:rPr>
          <w:rFonts w:ascii="Times New Roman" w:hAnsi="Times New Roman" w:cs="Times New Roman"/>
          <w:sz w:val="20"/>
        </w:rPr>
        <w:t>; 2</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285-292.</w:t>
      </w:r>
    </w:p>
    <w:p w:rsidR="00F64D03" w:rsidRPr="009B1CD5" w:rsidRDefault="00F64D03" w:rsidP="00F64D03">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Tham YL, Sexton K, Weiss H, Elledge R, Friedman LC, Kramer R. The rates of chemotherapy-induced amenorrhea in patients treated with adjuvant doxorubicin and cyclophosphamide followed by a taxane. Am J Clin Oncol. 2007</w:t>
      </w:r>
      <w:r w:rsidR="009B1CD5">
        <w:rPr>
          <w:rFonts w:ascii="Times New Roman" w:hAnsi="Times New Roman" w:cs="Times New Roman"/>
          <w:sz w:val="20"/>
        </w:rPr>
        <w:t>; 30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126-132.</w:t>
      </w:r>
    </w:p>
    <w:p w:rsidR="00DA5E52" w:rsidRPr="009B1CD5" w:rsidRDefault="00DA5E52" w:rsidP="00DA5E52">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Tiong V, Rozita AM, Taib NA, Yip CH, Ng CH. Incidence of chemotherapy-induced ovarian failure in premenopausal women undergoing chemotherapy for breast cancer. World J Surg. 2014;</w:t>
      </w:r>
      <w:r w:rsidR="009B1CD5">
        <w:rPr>
          <w:rFonts w:ascii="Times New Roman" w:hAnsi="Times New Roman" w:cs="Times New Roman"/>
          <w:sz w:val="20"/>
        </w:rPr>
        <w:t xml:space="preserve"> 38</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2288-2296.</w:t>
      </w:r>
    </w:p>
    <w:p w:rsidR="00DA2041" w:rsidRPr="009B1CD5" w:rsidRDefault="00DA2041"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Toma S, Repetto L, Giacchero A, </w:t>
      </w:r>
      <w:r w:rsidR="00F61AA7" w:rsidRPr="00F61AA7">
        <w:rPr>
          <w:rFonts w:ascii="Times New Roman" w:hAnsi="Times New Roman" w:cs="Times New Roman"/>
          <w:sz w:val="20"/>
        </w:rPr>
        <w:t xml:space="preserve">Coialbu T, Costantini M, Addamo GF, </w:t>
      </w:r>
      <w:r w:rsidRPr="009B1CD5">
        <w:rPr>
          <w:rFonts w:ascii="Times New Roman" w:hAnsi="Times New Roman" w:cs="Times New Roman"/>
          <w:sz w:val="20"/>
        </w:rPr>
        <w:t>et al. Chemotherapy-induced amenorrhea and other clinical and pathological parameters in the prognosis of breast cancer patients. J Chemother.</w:t>
      </w:r>
      <w:r w:rsidR="009B1CD5">
        <w:rPr>
          <w:rFonts w:ascii="Times New Roman" w:hAnsi="Times New Roman" w:cs="Times New Roman"/>
          <w:sz w:val="20"/>
        </w:rPr>
        <w:t xml:space="preserve"> 1992; 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321-325.</w:t>
      </w:r>
    </w:p>
    <w:p w:rsidR="00DA2041" w:rsidRPr="009B1CD5" w:rsidRDefault="00DA2041"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lastRenderedPageBreak/>
        <w:t>Tormey DC, Gray R, Gilchrist K,</w:t>
      </w:r>
      <w:r w:rsidR="00F61AA7" w:rsidRPr="00F61AA7">
        <w:t xml:space="preserve"> </w:t>
      </w:r>
      <w:r w:rsidR="00F61AA7" w:rsidRPr="00F61AA7">
        <w:rPr>
          <w:rFonts w:ascii="Times New Roman" w:hAnsi="Times New Roman" w:cs="Times New Roman"/>
          <w:sz w:val="20"/>
        </w:rPr>
        <w:t>Grage T, Carbone PP, Wolter J,</w:t>
      </w:r>
      <w:r w:rsidRPr="009B1CD5">
        <w:rPr>
          <w:rFonts w:ascii="Times New Roman" w:hAnsi="Times New Roman" w:cs="Times New Roman"/>
          <w:sz w:val="20"/>
        </w:rPr>
        <w:t xml:space="preserve"> et al. Adjuvant chemohormonal therapy with cyclophosphamide, methotrexate, 5-fluorouracil, and prednisone (CMFP) or CMFP plus tamoxifen compared with CMF for premenopausal breast cancer patients. An Eastern Cooperative Oncology Group trial. Cancer. 1990</w:t>
      </w:r>
      <w:r w:rsidR="009B1CD5">
        <w:rPr>
          <w:rFonts w:ascii="Times New Roman" w:hAnsi="Times New Roman" w:cs="Times New Roman"/>
          <w:sz w:val="20"/>
        </w:rPr>
        <w:t>; 65</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200-206.</w:t>
      </w:r>
    </w:p>
    <w:p w:rsidR="00CB271B" w:rsidRPr="009B1CD5" w:rsidRDefault="00CB271B" w:rsidP="00CB271B">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Valagussa P, Moliterni A, Zambetti M, Bonadonna G. Long-term sequelae from adjuvant chemotherapy. Recent Results Cancer Res. 1993;</w:t>
      </w:r>
      <w:r w:rsidR="009B1CD5">
        <w:rPr>
          <w:rFonts w:ascii="Times New Roman" w:hAnsi="Times New Roman" w:cs="Times New Roman"/>
          <w:sz w:val="20"/>
        </w:rPr>
        <w:t xml:space="preserve"> </w:t>
      </w:r>
      <w:r w:rsidRPr="009B1CD5">
        <w:rPr>
          <w:rFonts w:ascii="Times New Roman" w:hAnsi="Times New Roman" w:cs="Times New Roman"/>
          <w:sz w:val="20"/>
        </w:rPr>
        <w:t>127:</w:t>
      </w:r>
      <w:r w:rsidR="009B1CD5">
        <w:rPr>
          <w:rFonts w:ascii="Times New Roman" w:hAnsi="Times New Roman" w:cs="Times New Roman"/>
          <w:sz w:val="20"/>
        </w:rPr>
        <w:t xml:space="preserve"> </w:t>
      </w:r>
      <w:r w:rsidRPr="009B1CD5">
        <w:rPr>
          <w:rFonts w:ascii="Times New Roman" w:hAnsi="Times New Roman" w:cs="Times New Roman"/>
          <w:sz w:val="20"/>
        </w:rPr>
        <w:t>247-255.</w:t>
      </w:r>
    </w:p>
    <w:p w:rsidR="00BC285F" w:rsidRPr="009B1CD5" w:rsidRDefault="00BC285F" w:rsidP="00BC285F">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Vanhuyse M, Fournier C, Bonneterre J. Chemotherapy-induced amenorrhea: influence on disease-free survival and overall survival in receptor-positive premenopausal early breast cancer patients. Ann Oncol. 2005</w:t>
      </w:r>
      <w:r w:rsidR="009B1CD5">
        <w:rPr>
          <w:rFonts w:ascii="Times New Roman" w:hAnsi="Times New Roman" w:cs="Times New Roman"/>
          <w:sz w:val="20"/>
        </w:rPr>
        <w:t>; 16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1283-1288.</w:t>
      </w:r>
    </w:p>
    <w:p w:rsidR="00F64D03" w:rsidRPr="009B1CD5" w:rsidRDefault="00F64D03" w:rsidP="009B1CD5">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Vehmanen L, Elomaa I, Blomqvist C, Saarto T. Tamoxifen treatment after adjuvant chemotherapy has opposite effects on bone mineral density in premenopausal patients depending on menstrual status. J Clin Oncol. 2006</w:t>
      </w:r>
      <w:r w:rsidR="009B1CD5">
        <w:rPr>
          <w:rFonts w:ascii="Times New Roman" w:hAnsi="Times New Roman" w:cs="Times New Roman"/>
          <w:sz w:val="20"/>
        </w:rPr>
        <w:t>; 24</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675-680.</w:t>
      </w:r>
    </w:p>
    <w:p w:rsidR="00DA2041" w:rsidRPr="009B1CD5" w:rsidRDefault="00DA2041" w:rsidP="00DA2041">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Vehmanen L, Saarto T, Elomaa I, Mäkelä P, Välimäki M, Blomqvist C. Long-term impact of chemotherapy-induced ovarian failure on bone mineral density (BMD) in premenopausal breast cancer patients. The effect of adjuvant clodronate treatment. Eur J Cancer. 2001;</w:t>
      </w:r>
      <w:r w:rsidR="009B1CD5">
        <w:rPr>
          <w:rFonts w:ascii="Times New Roman" w:hAnsi="Times New Roman" w:cs="Times New Roman"/>
          <w:sz w:val="20"/>
        </w:rPr>
        <w:t xml:space="preserve"> 37</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2373-2378.</w:t>
      </w:r>
    </w:p>
    <w:p w:rsidR="00BC285F" w:rsidRPr="009B1CD5" w:rsidRDefault="00BC285F"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lang w:val="sv-SE"/>
        </w:rPr>
        <w:t xml:space="preserve">Venturini M, Del Mastro L, Aitini E, </w:t>
      </w:r>
      <w:r w:rsidR="00F61AA7" w:rsidRPr="00F61AA7">
        <w:rPr>
          <w:rFonts w:ascii="Times New Roman" w:hAnsi="Times New Roman" w:cs="Times New Roman"/>
          <w:sz w:val="20"/>
          <w:lang w:val="sv-SE"/>
        </w:rPr>
        <w:t xml:space="preserve">Baldini E, Caroti C, Contu A, </w:t>
      </w:r>
      <w:r w:rsidRPr="009B1CD5">
        <w:rPr>
          <w:rFonts w:ascii="Times New Roman" w:hAnsi="Times New Roman" w:cs="Times New Roman"/>
          <w:sz w:val="20"/>
          <w:lang w:val="sv-SE"/>
        </w:rPr>
        <w:t xml:space="preserve">et al. </w:t>
      </w:r>
      <w:r w:rsidRPr="009B1CD5">
        <w:rPr>
          <w:rFonts w:ascii="Times New Roman" w:hAnsi="Times New Roman" w:cs="Times New Roman"/>
          <w:sz w:val="20"/>
        </w:rPr>
        <w:t>Dose-dense adjuvant chemotherapy in early breast cancer patients: results from a randomized trial. J Natl Cancer Inst. 2005</w:t>
      </w:r>
      <w:r w:rsidR="009B1CD5">
        <w:rPr>
          <w:rFonts w:ascii="Times New Roman" w:hAnsi="Times New Roman" w:cs="Times New Roman"/>
          <w:sz w:val="20"/>
        </w:rPr>
        <w:t>; 97</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1724-1733.</w:t>
      </w:r>
    </w:p>
    <w:p w:rsidR="00B86075" w:rsidRPr="009B1CD5" w:rsidRDefault="00B86075"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Yoo C, Yun MR, Ahn JH, </w:t>
      </w:r>
      <w:r w:rsidR="00F61AA7">
        <w:rPr>
          <w:rFonts w:ascii="Times New Roman" w:hAnsi="Times New Roman" w:cs="Times New Roman"/>
          <w:sz w:val="20"/>
        </w:rPr>
        <w:t>J</w:t>
      </w:r>
      <w:r w:rsidR="00F61AA7" w:rsidRPr="00F61AA7">
        <w:rPr>
          <w:rFonts w:ascii="Times New Roman" w:hAnsi="Times New Roman" w:cs="Times New Roman"/>
          <w:sz w:val="20"/>
        </w:rPr>
        <w:t>ung KH, Kim HJ, Kim JE</w:t>
      </w:r>
      <w:r w:rsidR="00F61AA7">
        <w:rPr>
          <w:rFonts w:ascii="Times New Roman" w:hAnsi="Times New Roman" w:cs="Times New Roman"/>
          <w:sz w:val="20"/>
        </w:rPr>
        <w:t>,</w:t>
      </w:r>
      <w:r w:rsidR="00F61AA7" w:rsidRPr="00F61AA7">
        <w:rPr>
          <w:rFonts w:ascii="Times New Roman" w:hAnsi="Times New Roman" w:cs="Times New Roman"/>
          <w:sz w:val="20"/>
        </w:rPr>
        <w:t xml:space="preserve"> </w:t>
      </w:r>
      <w:r w:rsidRPr="009B1CD5">
        <w:rPr>
          <w:rFonts w:ascii="Times New Roman" w:hAnsi="Times New Roman" w:cs="Times New Roman"/>
          <w:sz w:val="20"/>
        </w:rPr>
        <w:t>et al. Chemotherapy-induced amenorrhea, menopause-specific quality of life, and endocrine profiles in premenopausal women with breast cancer who received adjuvant anthracycline-based chemotherapy: a prospective cohort study. Cancer Chemother Pharmacol. 2013</w:t>
      </w:r>
      <w:r w:rsidR="009B1CD5">
        <w:rPr>
          <w:rFonts w:ascii="Times New Roman" w:hAnsi="Times New Roman" w:cs="Times New Roman"/>
          <w:sz w:val="20"/>
        </w:rPr>
        <w:t>; 72</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565-575.</w:t>
      </w:r>
    </w:p>
    <w:p w:rsidR="00DA2041" w:rsidRPr="009B1CD5" w:rsidRDefault="00DA2041"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Yu B, Douglas N, Ferin MJ, </w:t>
      </w:r>
      <w:r w:rsidR="00F61AA7" w:rsidRPr="00F61AA7">
        <w:rPr>
          <w:rFonts w:ascii="Times New Roman" w:hAnsi="Times New Roman" w:cs="Times New Roman"/>
          <w:sz w:val="20"/>
        </w:rPr>
        <w:t>Nakhuda GS, Crew K, Lobo RA</w:t>
      </w:r>
      <w:r w:rsidR="00F61AA7">
        <w:rPr>
          <w:rFonts w:ascii="Times New Roman" w:hAnsi="Times New Roman" w:cs="Times New Roman"/>
          <w:sz w:val="20"/>
        </w:rPr>
        <w:t>,</w:t>
      </w:r>
      <w:r w:rsidR="00F61AA7" w:rsidRPr="00F61AA7">
        <w:rPr>
          <w:rFonts w:ascii="Times New Roman" w:hAnsi="Times New Roman" w:cs="Times New Roman"/>
          <w:sz w:val="20"/>
        </w:rPr>
        <w:t xml:space="preserve"> </w:t>
      </w:r>
      <w:r w:rsidR="00CB271B" w:rsidRPr="009B1CD5">
        <w:rPr>
          <w:rFonts w:ascii="Times New Roman" w:hAnsi="Times New Roman" w:cs="Times New Roman"/>
          <w:sz w:val="20"/>
        </w:rPr>
        <w:t>et al</w:t>
      </w:r>
      <w:r w:rsidRPr="009B1CD5">
        <w:rPr>
          <w:rFonts w:ascii="Times New Roman" w:hAnsi="Times New Roman" w:cs="Times New Roman"/>
          <w:sz w:val="20"/>
        </w:rPr>
        <w:t>. Changes</w:t>
      </w:r>
      <w:r w:rsidR="00CB271B" w:rsidRPr="009B1CD5">
        <w:rPr>
          <w:rFonts w:ascii="Times New Roman" w:hAnsi="Times New Roman" w:cs="Times New Roman"/>
          <w:sz w:val="20"/>
        </w:rPr>
        <w:t xml:space="preserve"> </w:t>
      </w:r>
      <w:r w:rsidRPr="009B1CD5">
        <w:rPr>
          <w:rFonts w:ascii="Times New Roman" w:hAnsi="Times New Roman" w:cs="Times New Roman"/>
          <w:sz w:val="20"/>
        </w:rPr>
        <w:t>in markers of ovarian reserve and endocrine function in young women with breast</w:t>
      </w:r>
      <w:r w:rsidR="00CB271B" w:rsidRPr="009B1CD5">
        <w:rPr>
          <w:rFonts w:ascii="Times New Roman" w:hAnsi="Times New Roman" w:cs="Times New Roman"/>
          <w:sz w:val="20"/>
        </w:rPr>
        <w:t xml:space="preserve"> </w:t>
      </w:r>
      <w:r w:rsidRPr="009B1CD5">
        <w:rPr>
          <w:rFonts w:ascii="Times New Roman" w:hAnsi="Times New Roman" w:cs="Times New Roman"/>
          <w:sz w:val="20"/>
        </w:rPr>
        <w:t>cancer undergoing adjuvant c</w:t>
      </w:r>
      <w:r w:rsidR="00CB271B" w:rsidRPr="009B1CD5">
        <w:rPr>
          <w:rFonts w:ascii="Times New Roman" w:hAnsi="Times New Roman" w:cs="Times New Roman"/>
          <w:sz w:val="20"/>
        </w:rPr>
        <w:t>hemotherapy. Cancer. 2010;</w:t>
      </w:r>
      <w:r w:rsidR="009B1CD5">
        <w:rPr>
          <w:rFonts w:ascii="Times New Roman" w:hAnsi="Times New Roman" w:cs="Times New Roman"/>
          <w:sz w:val="20"/>
        </w:rPr>
        <w:t xml:space="preserve"> 116</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2099-</w:t>
      </w:r>
      <w:r w:rsidR="00CB271B" w:rsidRPr="009B1CD5">
        <w:rPr>
          <w:rFonts w:ascii="Times New Roman" w:hAnsi="Times New Roman" w:cs="Times New Roman"/>
          <w:sz w:val="20"/>
        </w:rPr>
        <w:t>2</w:t>
      </w:r>
      <w:r w:rsidRPr="009B1CD5">
        <w:rPr>
          <w:rFonts w:ascii="Times New Roman" w:hAnsi="Times New Roman" w:cs="Times New Roman"/>
          <w:sz w:val="20"/>
        </w:rPr>
        <w:t>105.</w:t>
      </w:r>
    </w:p>
    <w:p w:rsidR="00776FC4" w:rsidRPr="009B1CD5" w:rsidRDefault="00776FC4" w:rsidP="00776FC4">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Zekri JM, El-Helw LM, Purohit OP, Hatton MQ, Coleman RE. Epirubicin/vinorelbine adjuvant chemotherapy in young women with breast cancer is associated with preservation of menstrual function. Clin Oncol (R Coll Radiol) 2008</w:t>
      </w:r>
      <w:r w:rsidR="009B1CD5">
        <w:rPr>
          <w:rFonts w:ascii="Times New Roman" w:hAnsi="Times New Roman" w:cs="Times New Roman"/>
          <w:sz w:val="20"/>
        </w:rPr>
        <w:t>; 20</w:t>
      </w:r>
      <w:r w:rsidRPr="009B1CD5">
        <w:rPr>
          <w:rFonts w:ascii="Times New Roman" w:hAnsi="Times New Roman" w:cs="Times New Roman"/>
          <w:sz w:val="20"/>
        </w:rPr>
        <w:t>:</w:t>
      </w:r>
      <w:r w:rsidR="009B1CD5">
        <w:rPr>
          <w:rFonts w:ascii="Times New Roman" w:hAnsi="Times New Roman" w:cs="Times New Roman"/>
          <w:sz w:val="20"/>
        </w:rPr>
        <w:t xml:space="preserve"> </w:t>
      </w:r>
      <w:r w:rsidRPr="009B1CD5">
        <w:rPr>
          <w:rFonts w:ascii="Times New Roman" w:hAnsi="Times New Roman" w:cs="Times New Roman"/>
          <w:sz w:val="20"/>
        </w:rPr>
        <w:t>513-516.</w:t>
      </w:r>
    </w:p>
    <w:p w:rsidR="00B86075" w:rsidRPr="009B1CD5" w:rsidRDefault="00B86075" w:rsidP="00F61AA7">
      <w:pPr>
        <w:pStyle w:val="ListParagraph"/>
        <w:numPr>
          <w:ilvl w:val="0"/>
          <w:numId w:val="3"/>
        </w:numPr>
        <w:rPr>
          <w:rFonts w:ascii="Times New Roman" w:hAnsi="Times New Roman" w:cs="Times New Roman"/>
          <w:sz w:val="20"/>
        </w:rPr>
      </w:pPr>
      <w:r w:rsidRPr="009B1CD5">
        <w:rPr>
          <w:rFonts w:ascii="Times New Roman" w:hAnsi="Times New Roman" w:cs="Times New Roman"/>
          <w:sz w:val="20"/>
        </w:rPr>
        <w:t xml:space="preserve">Zhou WB, Yin H, Liu XA, </w:t>
      </w:r>
      <w:r w:rsidR="00F61AA7" w:rsidRPr="00F61AA7">
        <w:rPr>
          <w:rFonts w:ascii="Times New Roman" w:hAnsi="Times New Roman" w:cs="Times New Roman"/>
          <w:sz w:val="20"/>
        </w:rPr>
        <w:t>Zha XM, Chen L, Dai JC</w:t>
      </w:r>
      <w:r w:rsidR="00F61AA7">
        <w:rPr>
          <w:rFonts w:ascii="Times New Roman" w:hAnsi="Times New Roman" w:cs="Times New Roman"/>
          <w:sz w:val="20"/>
        </w:rPr>
        <w:t>,</w:t>
      </w:r>
      <w:bookmarkStart w:id="0" w:name="_GoBack"/>
      <w:bookmarkEnd w:id="0"/>
      <w:r w:rsidR="00F61AA7" w:rsidRPr="00F61AA7">
        <w:rPr>
          <w:rFonts w:ascii="Times New Roman" w:hAnsi="Times New Roman" w:cs="Times New Roman"/>
          <w:sz w:val="20"/>
        </w:rPr>
        <w:t xml:space="preserve"> </w:t>
      </w:r>
      <w:r w:rsidRPr="009B1CD5">
        <w:rPr>
          <w:rFonts w:ascii="Times New Roman" w:hAnsi="Times New Roman" w:cs="Times New Roman"/>
          <w:sz w:val="20"/>
        </w:rPr>
        <w:t>et al. Incidence of chemotherapy-induced amenorrhea associated with epirubicin, docetaxel and navelbine in younger breast cancer patients. BMC Cancer. 2010;</w:t>
      </w:r>
      <w:r w:rsidR="009B1CD5">
        <w:rPr>
          <w:rFonts w:ascii="Times New Roman" w:hAnsi="Times New Roman" w:cs="Times New Roman"/>
          <w:sz w:val="20"/>
        </w:rPr>
        <w:t xml:space="preserve"> </w:t>
      </w:r>
      <w:r w:rsidRPr="009B1CD5">
        <w:rPr>
          <w:rFonts w:ascii="Times New Roman" w:hAnsi="Times New Roman" w:cs="Times New Roman"/>
          <w:sz w:val="20"/>
        </w:rPr>
        <w:t>10:</w:t>
      </w:r>
      <w:r w:rsidR="009B1CD5">
        <w:rPr>
          <w:rFonts w:ascii="Times New Roman" w:hAnsi="Times New Roman" w:cs="Times New Roman"/>
          <w:sz w:val="20"/>
        </w:rPr>
        <w:t xml:space="preserve"> </w:t>
      </w:r>
      <w:r w:rsidRPr="009B1CD5">
        <w:rPr>
          <w:rFonts w:ascii="Times New Roman" w:hAnsi="Times New Roman" w:cs="Times New Roman"/>
          <w:sz w:val="20"/>
        </w:rPr>
        <w:t>281.</w:t>
      </w:r>
    </w:p>
    <w:p w:rsidR="00ED6EC6" w:rsidRDefault="00ED6EC6">
      <w:pPr>
        <w:rPr>
          <w:rFonts w:ascii="Times New Roman" w:hAnsi="Times New Roman" w:cs="Times New Roman"/>
          <w:sz w:val="20"/>
        </w:rPr>
      </w:pPr>
      <w:r>
        <w:rPr>
          <w:rFonts w:ascii="Times New Roman" w:hAnsi="Times New Roman" w:cs="Times New Roman"/>
          <w:sz w:val="20"/>
        </w:rPr>
        <w:br w:type="page"/>
      </w:r>
    </w:p>
    <w:p w:rsidR="00ED6EC6" w:rsidRPr="009B1CD5" w:rsidRDefault="009B1CD5" w:rsidP="00ED6EC6">
      <w:pPr>
        <w:rPr>
          <w:rFonts w:ascii="Times New Roman" w:hAnsi="Times New Roman" w:cs="Times New Roman"/>
          <w:b/>
          <w:sz w:val="24"/>
        </w:rPr>
      </w:pPr>
      <w:r>
        <w:rPr>
          <w:rFonts w:ascii="Times New Roman" w:hAnsi="Times New Roman" w:cs="Times New Roman"/>
          <w:b/>
          <w:sz w:val="24"/>
        </w:rPr>
        <w:lastRenderedPageBreak/>
        <w:t>Table S1</w:t>
      </w:r>
      <w:r w:rsidR="00ED6EC6" w:rsidRPr="009B1CD5">
        <w:rPr>
          <w:rFonts w:ascii="Times New Roman" w:hAnsi="Times New Roman" w:cs="Times New Roman"/>
          <w:b/>
          <w:sz w:val="24"/>
        </w:rPr>
        <w:t>. Criteria for evaluation of the methodological quality of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D6EC6" w:rsidRPr="009B1CD5" w:rsidTr="002A3AE5">
        <w:tc>
          <w:tcPr>
            <w:tcW w:w="9212" w:type="dxa"/>
            <w:shd w:val="clear" w:color="auto" w:fill="auto"/>
          </w:tcPr>
          <w:p w:rsidR="00ED6EC6" w:rsidRPr="009B1CD5" w:rsidRDefault="00ED6EC6" w:rsidP="00ED6EC6">
            <w:pPr>
              <w:spacing w:line="240" w:lineRule="auto"/>
              <w:rPr>
                <w:rFonts w:ascii="Times New Roman" w:hAnsi="Times New Roman" w:cs="Times New Roman"/>
                <w:b/>
                <w:sz w:val="20"/>
              </w:rPr>
            </w:pPr>
            <w:r w:rsidRPr="009B1CD5">
              <w:rPr>
                <w:rFonts w:ascii="Times New Roman" w:hAnsi="Times New Roman" w:cs="Times New Roman"/>
                <w:b/>
                <w:sz w:val="20"/>
              </w:rPr>
              <w:t>Sample Definition and Selection</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1. Is the study design prospective, retrospective, or not applicable?</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2. Are critical inclusion/exclusion criteria clearly stated?</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3. Are the inclusion/exclusion criteria measured using valid and reliable measures?</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4. Was the sample size sufficiently large to detect a clinically significant difference (&gt; 100 patients)</w:t>
            </w:r>
          </w:p>
        </w:tc>
      </w:tr>
      <w:tr w:rsidR="00ED6EC6" w:rsidRPr="009B1CD5" w:rsidTr="002A3AE5">
        <w:tc>
          <w:tcPr>
            <w:tcW w:w="9212" w:type="dxa"/>
            <w:shd w:val="clear" w:color="auto" w:fill="auto"/>
          </w:tcPr>
          <w:p w:rsidR="00ED6EC6" w:rsidRPr="009B1CD5" w:rsidRDefault="00ED6EC6" w:rsidP="00ED6EC6">
            <w:pPr>
              <w:spacing w:line="240" w:lineRule="auto"/>
              <w:rPr>
                <w:rFonts w:ascii="Times New Roman" w:hAnsi="Times New Roman" w:cs="Times New Roman"/>
                <w:b/>
                <w:sz w:val="20"/>
              </w:rPr>
            </w:pPr>
            <w:r w:rsidRPr="009B1CD5">
              <w:rPr>
                <w:rFonts w:ascii="Times New Roman" w:hAnsi="Times New Roman" w:cs="Times New Roman"/>
                <w:b/>
                <w:sz w:val="20"/>
              </w:rPr>
              <w:t>Source of information</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 xml:space="preserve">5. Are interventions/exposures (variables tested as potential risk factors for amenorrhea) assessed using valid and reliable measures, implemented consistently across all study participants? </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6. Are outcomes (presence of amenorrhea) assessed using valid and reliable measures, implemented consistently across all study participants?</w:t>
            </w:r>
          </w:p>
        </w:tc>
      </w:tr>
      <w:tr w:rsidR="00ED6EC6" w:rsidRPr="009B1CD5" w:rsidTr="002A3AE5">
        <w:tc>
          <w:tcPr>
            <w:tcW w:w="9212" w:type="dxa"/>
            <w:shd w:val="clear" w:color="auto" w:fill="auto"/>
          </w:tcPr>
          <w:p w:rsidR="00ED6EC6" w:rsidRPr="009B1CD5" w:rsidRDefault="00ED6EC6" w:rsidP="00ED6EC6">
            <w:pPr>
              <w:spacing w:line="240" w:lineRule="auto"/>
              <w:rPr>
                <w:rFonts w:ascii="Times New Roman" w:hAnsi="Times New Roman" w:cs="Times New Roman"/>
                <w:b/>
                <w:sz w:val="20"/>
              </w:rPr>
            </w:pPr>
            <w:r w:rsidRPr="009B1CD5">
              <w:rPr>
                <w:rFonts w:ascii="Times New Roman" w:hAnsi="Times New Roman" w:cs="Times New Roman"/>
                <w:b/>
                <w:sz w:val="20"/>
              </w:rPr>
              <w:t>Follow-up</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7. Is the length of follow-up the same for all groups?</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8. Is the length of time following the intervention/exposure sufficient to support the evaluation of</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primary outcomes (at least 12 months)?</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 xml:space="preserve">9. Did attrition from any group exceed &gt; 30%? </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10. Did attrition differ between groups by more than 20%?</w:t>
            </w:r>
          </w:p>
        </w:tc>
      </w:tr>
      <w:tr w:rsidR="00ED6EC6" w:rsidRPr="009B1CD5" w:rsidTr="002A3AE5">
        <w:tc>
          <w:tcPr>
            <w:tcW w:w="9212" w:type="dxa"/>
            <w:shd w:val="clear" w:color="auto" w:fill="auto"/>
          </w:tcPr>
          <w:p w:rsidR="00ED6EC6" w:rsidRPr="009B1CD5" w:rsidRDefault="00ED6EC6" w:rsidP="00ED6EC6">
            <w:pPr>
              <w:spacing w:line="240" w:lineRule="auto"/>
              <w:rPr>
                <w:rFonts w:ascii="Times New Roman" w:hAnsi="Times New Roman" w:cs="Times New Roman"/>
                <w:b/>
                <w:sz w:val="20"/>
              </w:rPr>
            </w:pPr>
            <w:r w:rsidRPr="009B1CD5">
              <w:rPr>
                <w:rFonts w:ascii="Times New Roman" w:hAnsi="Times New Roman" w:cs="Times New Roman"/>
                <w:b/>
                <w:sz w:val="20"/>
              </w:rPr>
              <w:t>Analysis Comparability / Outcome</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11. Were the important confounding and effect modifying variables taken into account in the</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design and/or analysis?</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12. In cases of high loss to follow-up (or differential loss to follow-up), is the impact assessed (e.g.,</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through sensitivity analysis or other adjustment method)?</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13. Are the statistical methods used to assess the primary benefit outcomes appropriate to the</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data?</w:t>
            </w:r>
          </w:p>
          <w:p w:rsidR="00ED6EC6" w:rsidRPr="009B1CD5" w:rsidRDefault="00ED6EC6" w:rsidP="00ED6EC6">
            <w:pPr>
              <w:spacing w:line="240" w:lineRule="auto"/>
              <w:rPr>
                <w:rFonts w:ascii="Times New Roman" w:hAnsi="Times New Roman" w:cs="Times New Roman"/>
                <w:sz w:val="20"/>
              </w:rPr>
            </w:pPr>
            <w:r w:rsidRPr="009B1CD5">
              <w:rPr>
                <w:rFonts w:ascii="Times New Roman" w:hAnsi="Times New Roman" w:cs="Times New Roman"/>
                <w:sz w:val="20"/>
              </w:rPr>
              <w:t>14. Are results believable taking study limitations into consideration?</w:t>
            </w:r>
          </w:p>
        </w:tc>
      </w:tr>
    </w:tbl>
    <w:p w:rsidR="00ED6EC6" w:rsidRDefault="00ED6EC6" w:rsidP="00ED6EC6">
      <w:pPr>
        <w:rPr>
          <w:rFonts w:ascii="Arial" w:hAnsi="Arial" w:cs="Arial"/>
          <w:b/>
          <w:sz w:val="24"/>
        </w:rPr>
      </w:pPr>
    </w:p>
    <w:p w:rsidR="00ED6EC6" w:rsidRDefault="00ED6EC6">
      <w:pPr>
        <w:rPr>
          <w:rFonts w:ascii="Arial" w:hAnsi="Arial" w:cs="Arial"/>
          <w:b/>
          <w:sz w:val="24"/>
        </w:rPr>
      </w:pPr>
      <w:r>
        <w:rPr>
          <w:rFonts w:ascii="Arial" w:hAnsi="Arial" w:cs="Arial"/>
          <w:b/>
          <w:sz w:val="24"/>
        </w:rPr>
        <w:br w:type="page"/>
      </w:r>
    </w:p>
    <w:p w:rsidR="00513B43" w:rsidRDefault="00513B43" w:rsidP="00ED6EC6">
      <w:pPr>
        <w:rPr>
          <w:rFonts w:ascii="Arial" w:hAnsi="Arial" w:cs="Arial"/>
          <w:b/>
          <w:sz w:val="24"/>
        </w:rPr>
        <w:sectPr w:rsidR="00513B43">
          <w:footerReference w:type="default" r:id="rId8"/>
          <w:pgSz w:w="12240" w:h="15840"/>
          <w:pgMar w:top="1440" w:right="1440" w:bottom="1440" w:left="1440" w:header="720" w:footer="720" w:gutter="0"/>
          <w:cols w:space="720"/>
          <w:docGrid w:linePitch="360"/>
        </w:sectPr>
      </w:pPr>
    </w:p>
    <w:p w:rsidR="00513B43" w:rsidRDefault="00513B43" w:rsidP="00ED6EC6">
      <w:pPr>
        <w:rPr>
          <w:rFonts w:ascii="Arial" w:hAnsi="Arial" w:cs="Arial"/>
          <w:b/>
          <w:sz w:val="24"/>
        </w:rPr>
      </w:pPr>
    </w:p>
    <w:p w:rsidR="00ED6EC6" w:rsidRPr="009B1CD5" w:rsidRDefault="009B1CD5" w:rsidP="00ED6EC6">
      <w:pPr>
        <w:rPr>
          <w:rFonts w:ascii="Times New Roman" w:hAnsi="Times New Roman" w:cs="Times New Roman"/>
          <w:b/>
          <w:sz w:val="24"/>
        </w:rPr>
      </w:pPr>
      <w:r>
        <w:rPr>
          <w:rFonts w:ascii="Times New Roman" w:hAnsi="Times New Roman" w:cs="Times New Roman"/>
          <w:b/>
          <w:sz w:val="24"/>
        </w:rPr>
        <w:t>Table S2</w:t>
      </w:r>
      <w:r w:rsidR="00ED6EC6" w:rsidRPr="009B1CD5">
        <w:rPr>
          <w:rFonts w:ascii="Times New Roman" w:hAnsi="Times New Roman" w:cs="Times New Roman"/>
          <w:b/>
          <w:sz w:val="24"/>
        </w:rPr>
        <w:t>. Characteristics of eligible studies</w:t>
      </w:r>
    </w:p>
    <w:tbl>
      <w:tblPr>
        <w:tblStyle w:val="TableGrid"/>
        <w:tblW w:w="0" w:type="auto"/>
        <w:tblLook w:val="04A0" w:firstRow="1" w:lastRow="0" w:firstColumn="1" w:lastColumn="0" w:noHBand="0" w:noVBand="1"/>
      </w:tblPr>
      <w:tblGrid>
        <w:gridCol w:w="1998"/>
        <w:gridCol w:w="2070"/>
        <w:gridCol w:w="2070"/>
        <w:gridCol w:w="1530"/>
        <w:gridCol w:w="1422"/>
        <w:gridCol w:w="1818"/>
        <w:gridCol w:w="1818"/>
      </w:tblGrid>
      <w:tr w:rsidR="00513B43" w:rsidRPr="009B1CD5" w:rsidTr="002D1C88">
        <w:trPr>
          <w:trHeight w:val="148"/>
        </w:trPr>
        <w:tc>
          <w:tcPr>
            <w:tcW w:w="1998" w:type="dxa"/>
          </w:tcPr>
          <w:p w:rsidR="00513B43" w:rsidRPr="009B1CD5" w:rsidRDefault="00513B43">
            <w:pPr>
              <w:rPr>
                <w:rFonts w:ascii="Times New Roman" w:hAnsi="Times New Roman" w:cs="Times New Roman"/>
                <w:b/>
                <w:sz w:val="20"/>
                <w:szCs w:val="20"/>
              </w:rPr>
            </w:pPr>
            <w:r w:rsidRPr="009B1CD5">
              <w:rPr>
                <w:rFonts w:ascii="Times New Roman" w:hAnsi="Times New Roman" w:cs="Times New Roman"/>
                <w:b/>
                <w:sz w:val="20"/>
                <w:szCs w:val="20"/>
              </w:rPr>
              <w:t>Author</w:t>
            </w:r>
            <w:r w:rsidR="00DA2041" w:rsidRPr="009B1CD5">
              <w:rPr>
                <w:rFonts w:ascii="Times New Roman" w:hAnsi="Times New Roman" w:cs="Times New Roman"/>
                <w:b/>
                <w:sz w:val="20"/>
                <w:szCs w:val="20"/>
              </w:rPr>
              <w:t xml:space="preserve"> (ref)</w:t>
            </w:r>
          </w:p>
        </w:tc>
        <w:tc>
          <w:tcPr>
            <w:tcW w:w="2070" w:type="dxa"/>
          </w:tcPr>
          <w:p w:rsidR="00513B43" w:rsidRPr="009B1CD5" w:rsidRDefault="00513B43">
            <w:pPr>
              <w:rPr>
                <w:rFonts w:ascii="Times New Roman" w:hAnsi="Times New Roman" w:cs="Times New Roman"/>
                <w:b/>
                <w:sz w:val="20"/>
                <w:szCs w:val="20"/>
              </w:rPr>
            </w:pPr>
            <w:r w:rsidRPr="009B1CD5">
              <w:rPr>
                <w:rFonts w:ascii="Times New Roman" w:hAnsi="Times New Roman" w:cs="Times New Roman"/>
                <w:b/>
                <w:sz w:val="20"/>
                <w:szCs w:val="20"/>
              </w:rPr>
              <w:t>Country</w:t>
            </w:r>
          </w:p>
        </w:tc>
        <w:tc>
          <w:tcPr>
            <w:tcW w:w="2070" w:type="dxa"/>
          </w:tcPr>
          <w:p w:rsidR="00513B43" w:rsidRPr="009B1CD5" w:rsidRDefault="00513B43">
            <w:pPr>
              <w:rPr>
                <w:rFonts w:ascii="Times New Roman" w:hAnsi="Times New Roman" w:cs="Times New Roman"/>
                <w:b/>
                <w:sz w:val="20"/>
                <w:szCs w:val="20"/>
              </w:rPr>
            </w:pPr>
            <w:r w:rsidRPr="009B1CD5">
              <w:rPr>
                <w:rFonts w:ascii="Times New Roman" w:hAnsi="Times New Roman" w:cs="Times New Roman"/>
                <w:b/>
                <w:sz w:val="20"/>
                <w:szCs w:val="20"/>
              </w:rPr>
              <w:t>Study type</w:t>
            </w:r>
          </w:p>
        </w:tc>
        <w:tc>
          <w:tcPr>
            <w:tcW w:w="1530" w:type="dxa"/>
          </w:tcPr>
          <w:p w:rsidR="00513B43" w:rsidRPr="009B1CD5" w:rsidRDefault="00513B43">
            <w:pPr>
              <w:rPr>
                <w:rFonts w:ascii="Times New Roman" w:hAnsi="Times New Roman" w:cs="Times New Roman"/>
                <w:b/>
                <w:sz w:val="20"/>
                <w:szCs w:val="20"/>
              </w:rPr>
            </w:pPr>
            <w:r w:rsidRPr="009B1CD5">
              <w:rPr>
                <w:rFonts w:ascii="Times New Roman" w:hAnsi="Times New Roman" w:cs="Times New Roman"/>
                <w:b/>
                <w:sz w:val="20"/>
                <w:szCs w:val="20"/>
              </w:rPr>
              <w:t>Follow-up</w:t>
            </w:r>
            <w:r w:rsidR="005E0F65" w:rsidRPr="009B1CD5">
              <w:rPr>
                <w:rFonts w:ascii="Times New Roman" w:hAnsi="Times New Roman" w:cs="Times New Roman"/>
                <w:b/>
                <w:sz w:val="20"/>
                <w:szCs w:val="20"/>
              </w:rPr>
              <w:t xml:space="preserve"> (median, months)</w:t>
            </w:r>
          </w:p>
        </w:tc>
        <w:tc>
          <w:tcPr>
            <w:tcW w:w="1422" w:type="dxa"/>
          </w:tcPr>
          <w:p w:rsidR="00513B43" w:rsidRPr="009B1CD5" w:rsidRDefault="00513B43">
            <w:pPr>
              <w:rPr>
                <w:rFonts w:ascii="Times New Roman" w:hAnsi="Times New Roman" w:cs="Times New Roman"/>
                <w:b/>
                <w:sz w:val="20"/>
                <w:szCs w:val="20"/>
              </w:rPr>
            </w:pPr>
            <w:r w:rsidRPr="009B1CD5">
              <w:rPr>
                <w:rFonts w:ascii="Times New Roman" w:hAnsi="Times New Roman" w:cs="Times New Roman"/>
                <w:b/>
                <w:sz w:val="20"/>
                <w:szCs w:val="20"/>
              </w:rPr>
              <w:t>Sample size</w:t>
            </w:r>
          </w:p>
        </w:tc>
        <w:tc>
          <w:tcPr>
            <w:tcW w:w="1818" w:type="dxa"/>
          </w:tcPr>
          <w:p w:rsidR="00513B43" w:rsidRPr="009B1CD5" w:rsidRDefault="00513B43">
            <w:pPr>
              <w:rPr>
                <w:rFonts w:ascii="Times New Roman" w:hAnsi="Times New Roman" w:cs="Times New Roman"/>
                <w:b/>
                <w:sz w:val="20"/>
                <w:szCs w:val="20"/>
              </w:rPr>
            </w:pPr>
            <w:r w:rsidRPr="009B1CD5">
              <w:rPr>
                <w:rFonts w:ascii="Times New Roman" w:hAnsi="Times New Roman" w:cs="Times New Roman"/>
                <w:b/>
                <w:sz w:val="20"/>
                <w:szCs w:val="20"/>
              </w:rPr>
              <w:t>Multivariate analysis for risk factors</w:t>
            </w:r>
          </w:p>
        </w:tc>
        <w:tc>
          <w:tcPr>
            <w:tcW w:w="1818" w:type="dxa"/>
          </w:tcPr>
          <w:p w:rsidR="00513B43" w:rsidRPr="009B1CD5" w:rsidRDefault="00513B43">
            <w:pPr>
              <w:rPr>
                <w:rFonts w:ascii="Times New Roman" w:hAnsi="Times New Roman" w:cs="Times New Roman"/>
                <w:b/>
                <w:sz w:val="20"/>
                <w:szCs w:val="20"/>
              </w:rPr>
            </w:pPr>
            <w:r w:rsidRPr="009B1CD5">
              <w:rPr>
                <w:rFonts w:ascii="Times New Roman" w:hAnsi="Times New Roman" w:cs="Times New Roman"/>
                <w:b/>
                <w:sz w:val="20"/>
                <w:szCs w:val="20"/>
              </w:rPr>
              <w:t>Study quality</w:t>
            </w:r>
          </w:p>
        </w:tc>
      </w:tr>
      <w:tr w:rsidR="00513B43" w:rsidRPr="009B1CD5" w:rsidTr="002D1C88">
        <w:trPr>
          <w:trHeight w:val="148"/>
        </w:trPr>
        <w:tc>
          <w:tcPr>
            <w:tcW w:w="1998" w:type="dxa"/>
          </w:tcPr>
          <w:p w:rsidR="00513B43" w:rsidRPr="009B1CD5" w:rsidRDefault="005E0F65">
            <w:pPr>
              <w:rPr>
                <w:rFonts w:ascii="Times New Roman" w:hAnsi="Times New Roman" w:cs="Times New Roman"/>
                <w:sz w:val="20"/>
                <w:szCs w:val="20"/>
                <w:lang w:val="sv-SE"/>
              </w:rPr>
            </w:pPr>
            <w:r w:rsidRPr="009B1CD5">
              <w:rPr>
                <w:rFonts w:ascii="Times New Roman" w:hAnsi="Times New Roman" w:cs="Times New Roman"/>
                <w:sz w:val="20"/>
                <w:szCs w:val="20"/>
              </w:rPr>
              <w:t xml:space="preserve">Abusief </w:t>
            </w:r>
            <w:r w:rsidRPr="009B1CD5">
              <w:rPr>
                <w:rFonts w:ascii="Times New Roman" w:hAnsi="Times New Roman" w:cs="Times New Roman"/>
                <w:sz w:val="20"/>
                <w:szCs w:val="20"/>
                <w:lang w:val="sv-SE"/>
              </w:rPr>
              <w:t>(1)</w:t>
            </w:r>
          </w:p>
        </w:tc>
        <w:tc>
          <w:tcPr>
            <w:tcW w:w="2070"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33</w:t>
            </w:r>
          </w:p>
        </w:tc>
        <w:tc>
          <w:tcPr>
            <w:tcW w:w="1422"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431</w:t>
            </w:r>
          </w:p>
        </w:tc>
        <w:tc>
          <w:tcPr>
            <w:tcW w:w="1818"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11</w:t>
            </w:r>
          </w:p>
        </w:tc>
      </w:tr>
      <w:tr w:rsidR="00513B43" w:rsidRPr="009B1CD5" w:rsidTr="002D1C88">
        <w:trPr>
          <w:trHeight w:val="148"/>
        </w:trPr>
        <w:tc>
          <w:tcPr>
            <w:tcW w:w="1998"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Andersson (2)</w:t>
            </w:r>
          </w:p>
        </w:tc>
        <w:tc>
          <w:tcPr>
            <w:tcW w:w="2070"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Denmark</w:t>
            </w:r>
          </w:p>
        </w:tc>
        <w:tc>
          <w:tcPr>
            <w:tcW w:w="2070"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146</w:t>
            </w:r>
          </w:p>
        </w:tc>
        <w:tc>
          <w:tcPr>
            <w:tcW w:w="1422"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634</w:t>
            </w:r>
          </w:p>
        </w:tc>
        <w:tc>
          <w:tcPr>
            <w:tcW w:w="1818"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Badaway (3)</w:t>
            </w:r>
          </w:p>
        </w:tc>
        <w:tc>
          <w:tcPr>
            <w:tcW w:w="2070"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Egypt</w:t>
            </w:r>
          </w:p>
        </w:tc>
        <w:tc>
          <w:tcPr>
            <w:tcW w:w="2070"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78</w:t>
            </w:r>
          </w:p>
        </w:tc>
        <w:tc>
          <w:tcPr>
            <w:tcW w:w="1818"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5E0F65">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Beex (4)</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The Netherlands</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37</w:t>
            </w:r>
          </w:p>
        </w:tc>
        <w:tc>
          <w:tcPr>
            <w:tcW w:w="1422"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77</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3</w:t>
            </w:r>
          </w:p>
        </w:tc>
      </w:tr>
      <w:tr w:rsidR="00513B43" w:rsidRPr="009B1CD5" w:rsidTr="002D1C88">
        <w:trPr>
          <w:trHeight w:val="148"/>
        </w:trPr>
        <w:tc>
          <w:tcPr>
            <w:tcW w:w="199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Berliere (5)</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79</w:t>
            </w:r>
          </w:p>
        </w:tc>
        <w:tc>
          <w:tcPr>
            <w:tcW w:w="1422"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154</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6</w:t>
            </w:r>
          </w:p>
        </w:tc>
      </w:tr>
      <w:tr w:rsidR="00513B43" w:rsidRPr="009B1CD5" w:rsidTr="002D1C88">
        <w:trPr>
          <w:trHeight w:val="148"/>
        </w:trPr>
        <w:tc>
          <w:tcPr>
            <w:tcW w:w="199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Bianco (6)</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69</w:t>
            </w:r>
          </w:p>
        </w:tc>
        <w:tc>
          <w:tcPr>
            <w:tcW w:w="1422"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221</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Boccardo (7)</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40</w:t>
            </w:r>
          </w:p>
        </w:tc>
        <w:tc>
          <w:tcPr>
            <w:tcW w:w="1422"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336</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Bonadonna (8)</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22</w:t>
            </w:r>
          </w:p>
        </w:tc>
        <w:tc>
          <w:tcPr>
            <w:tcW w:w="1422"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90</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Brincker (9)</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Denmark</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64</w:t>
            </w:r>
          </w:p>
        </w:tc>
        <w:tc>
          <w:tcPr>
            <w:tcW w:w="1422"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847</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Campora (10)</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72</w:t>
            </w:r>
          </w:p>
        </w:tc>
        <w:tc>
          <w:tcPr>
            <w:tcW w:w="1422"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108</w:t>
            </w:r>
          </w:p>
        </w:tc>
        <w:tc>
          <w:tcPr>
            <w:tcW w:w="1818" w:type="dxa"/>
          </w:tcPr>
          <w:p w:rsidR="00513B43" w:rsidRPr="009B1CD5" w:rsidRDefault="00EF640F">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F7651E"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Colleoni (11)</w:t>
            </w:r>
          </w:p>
        </w:tc>
        <w:tc>
          <w:tcPr>
            <w:tcW w:w="207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100</w:t>
            </w:r>
          </w:p>
        </w:tc>
        <w:tc>
          <w:tcPr>
            <w:tcW w:w="1422"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344</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Davis (12)</w:t>
            </w:r>
          </w:p>
        </w:tc>
        <w:tc>
          <w:tcPr>
            <w:tcW w:w="207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159</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4</w:t>
            </w:r>
          </w:p>
        </w:tc>
      </w:tr>
      <w:tr w:rsidR="00513B43" w:rsidRPr="009B1CD5" w:rsidTr="002D1C88">
        <w:trPr>
          <w:trHeight w:val="148"/>
        </w:trPr>
        <w:tc>
          <w:tcPr>
            <w:tcW w:w="199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Del Mastro (13)</w:t>
            </w:r>
          </w:p>
        </w:tc>
        <w:tc>
          <w:tcPr>
            <w:tcW w:w="207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133</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Di Cosimo (14)</w:t>
            </w:r>
          </w:p>
        </w:tc>
        <w:tc>
          <w:tcPr>
            <w:tcW w:w="207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111</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F7651E">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148"/>
        </w:trPr>
        <w:tc>
          <w:tcPr>
            <w:tcW w:w="199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Fornier (15)</w:t>
            </w:r>
          </w:p>
        </w:tc>
        <w:tc>
          <w:tcPr>
            <w:tcW w:w="207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38</w:t>
            </w:r>
          </w:p>
        </w:tc>
        <w:tc>
          <w:tcPr>
            <w:tcW w:w="1422"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166</w:t>
            </w:r>
          </w:p>
        </w:tc>
        <w:tc>
          <w:tcPr>
            <w:tcW w:w="181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8</w:t>
            </w:r>
          </w:p>
        </w:tc>
      </w:tr>
      <w:tr w:rsidR="00513B43" w:rsidRPr="009B1CD5" w:rsidTr="002D1C88">
        <w:trPr>
          <w:trHeight w:val="148"/>
        </w:trPr>
        <w:tc>
          <w:tcPr>
            <w:tcW w:w="199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Ganz (16)</w:t>
            </w:r>
          </w:p>
        </w:tc>
        <w:tc>
          <w:tcPr>
            <w:tcW w:w="207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2149</w:t>
            </w:r>
          </w:p>
        </w:tc>
        <w:tc>
          <w:tcPr>
            <w:tcW w:w="181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Gerber (17)</w:t>
            </w:r>
          </w:p>
        </w:tc>
        <w:tc>
          <w:tcPr>
            <w:tcW w:w="207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Germany</w:t>
            </w:r>
          </w:p>
        </w:tc>
        <w:tc>
          <w:tcPr>
            <w:tcW w:w="207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60</w:t>
            </w:r>
          </w:p>
        </w:tc>
        <w:tc>
          <w:tcPr>
            <w:tcW w:w="181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Goldhirsch (18)</w:t>
            </w:r>
          </w:p>
        </w:tc>
        <w:tc>
          <w:tcPr>
            <w:tcW w:w="207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48</w:t>
            </w:r>
          </w:p>
        </w:tc>
        <w:tc>
          <w:tcPr>
            <w:tcW w:w="1422" w:type="dxa"/>
          </w:tcPr>
          <w:p w:rsidR="00513B43" w:rsidRPr="009B1CD5" w:rsidRDefault="00D85C5B">
            <w:pPr>
              <w:rPr>
                <w:rFonts w:ascii="Times New Roman" w:hAnsi="Times New Roman" w:cs="Times New Roman"/>
                <w:sz w:val="20"/>
                <w:szCs w:val="20"/>
              </w:rPr>
            </w:pPr>
            <w:r w:rsidRPr="009B1CD5">
              <w:rPr>
                <w:rFonts w:ascii="Times New Roman" w:hAnsi="Times New Roman" w:cs="Times New Roman"/>
                <w:sz w:val="20"/>
                <w:szCs w:val="20"/>
              </w:rPr>
              <w:t>1127</w:t>
            </w:r>
          </w:p>
        </w:tc>
        <w:tc>
          <w:tcPr>
            <w:tcW w:w="1818"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Goodwin (19)</w:t>
            </w:r>
          </w:p>
        </w:tc>
        <w:tc>
          <w:tcPr>
            <w:tcW w:w="207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Canada</w:t>
            </w:r>
          </w:p>
        </w:tc>
        <w:tc>
          <w:tcPr>
            <w:tcW w:w="207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12</w:t>
            </w:r>
          </w:p>
        </w:tc>
        <w:tc>
          <w:tcPr>
            <w:tcW w:w="1422"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183</w:t>
            </w:r>
          </w:p>
        </w:tc>
        <w:tc>
          <w:tcPr>
            <w:tcW w:w="1818"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12</w:t>
            </w:r>
          </w:p>
        </w:tc>
      </w:tr>
      <w:tr w:rsidR="00513B43" w:rsidRPr="009B1CD5" w:rsidTr="002D1C88">
        <w:trPr>
          <w:trHeight w:val="148"/>
        </w:trPr>
        <w:tc>
          <w:tcPr>
            <w:tcW w:w="1998"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Han (20)</w:t>
            </w:r>
          </w:p>
        </w:tc>
        <w:tc>
          <w:tcPr>
            <w:tcW w:w="207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South Korea</w:t>
            </w:r>
          </w:p>
        </w:tc>
        <w:tc>
          <w:tcPr>
            <w:tcW w:w="207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40</w:t>
            </w:r>
          </w:p>
        </w:tc>
        <w:tc>
          <w:tcPr>
            <w:tcW w:w="1422"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285</w:t>
            </w:r>
          </w:p>
        </w:tc>
        <w:tc>
          <w:tcPr>
            <w:tcW w:w="1818"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D04A8A">
            <w:pPr>
              <w:rPr>
                <w:rFonts w:ascii="Times New Roman" w:hAnsi="Times New Roman" w:cs="Times New Roman"/>
                <w:sz w:val="20"/>
                <w:szCs w:val="20"/>
              </w:rPr>
            </w:pPr>
            <w:r w:rsidRPr="009B1CD5">
              <w:rPr>
                <w:rFonts w:ascii="Times New Roman" w:hAnsi="Times New Roman" w:cs="Times New Roman"/>
                <w:sz w:val="20"/>
                <w:szCs w:val="20"/>
              </w:rPr>
              <w:t>14</w:t>
            </w:r>
          </w:p>
        </w:tc>
      </w:tr>
      <w:tr w:rsidR="00513B43" w:rsidRPr="009B1CD5" w:rsidTr="002D1C88">
        <w:trPr>
          <w:trHeight w:val="148"/>
        </w:trPr>
        <w:tc>
          <w:tcPr>
            <w:tcW w:w="1998"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Hortobagyi (21)</w:t>
            </w:r>
          </w:p>
        </w:tc>
        <w:tc>
          <w:tcPr>
            <w:tcW w:w="2070"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69</w:t>
            </w:r>
          </w:p>
        </w:tc>
        <w:tc>
          <w:tcPr>
            <w:tcW w:w="1818"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6</w:t>
            </w:r>
          </w:p>
        </w:tc>
      </w:tr>
      <w:tr w:rsidR="00513B43" w:rsidRPr="009B1CD5" w:rsidTr="002D1C88">
        <w:trPr>
          <w:trHeight w:val="148"/>
        </w:trPr>
        <w:tc>
          <w:tcPr>
            <w:tcW w:w="1998"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Howell (22)</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UK</w:t>
            </w:r>
          </w:p>
        </w:tc>
        <w:tc>
          <w:tcPr>
            <w:tcW w:w="2070"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631878">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81</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IBCSG (23)</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70</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1065</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IBCSG (24)</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84</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360</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Kil (25)</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South Korea</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54</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165</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Jonat (26)</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72</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802</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Jung (27)</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South Korea</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110</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241</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9</w:t>
            </w:r>
          </w:p>
        </w:tc>
      </w:tr>
      <w:tr w:rsidR="00513B43" w:rsidRPr="009B1CD5" w:rsidTr="002D1C88">
        <w:trPr>
          <w:trHeight w:val="148"/>
        </w:trPr>
        <w:tc>
          <w:tcPr>
            <w:tcW w:w="199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Lee (28)</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South Korea</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37</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326</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10</w:t>
            </w:r>
          </w:p>
        </w:tc>
      </w:tr>
      <w:tr w:rsidR="00513B43" w:rsidRPr="009B1CD5" w:rsidTr="002D1C88">
        <w:trPr>
          <w:trHeight w:val="148"/>
        </w:trPr>
        <w:tc>
          <w:tcPr>
            <w:tcW w:w="199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Lower (29)</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24</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109</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6</w:t>
            </w:r>
          </w:p>
        </w:tc>
      </w:tr>
      <w:tr w:rsidR="00513B43" w:rsidRPr="009B1CD5" w:rsidTr="002D1C88">
        <w:trPr>
          <w:trHeight w:val="148"/>
        </w:trPr>
        <w:tc>
          <w:tcPr>
            <w:tcW w:w="199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Ludwig BCSG (30)</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48</w:t>
            </w:r>
          </w:p>
        </w:tc>
        <w:tc>
          <w:tcPr>
            <w:tcW w:w="1422"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340</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452156">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2A3AE5">
            <w:pPr>
              <w:rPr>
                <w:rFonts w:ascii="Times New Roman" w:hAnsi="Times New Roman" w:cs="Times New Roman"/>
                <w:sz w:val="20"/>
                <w:szCs w:val="20"/>
              </w:rPr>
            </w:pPr>
            <w:r w:rsidRPr="009B1CD5">
              <w:rPr>
                <w:rFonts w:ascii="Times New Roman" w:hAnsi="Times New Roman" w:cs="Times New Roman"/>
                <w:sz w:val="20"/>
                <w:szCs w:val="20"/>
              </w:rPr>
              <w:t>Marini (31)</w:t>
            </w:r>
          </w:p>
        </w:tc>
        <w:tc>
          <w:tcPr>
            <w:tcW w:w="2070" w:type="dxa"/>
          </w:tcPr>
          <w:p w:rsidR="00513B43" w:rsidRPr="009B1CD5" w:rsidRDefault="002A3AE5">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2A3AE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2A3AE5">
            <w:pPr>
              <w:rPr>
                <w:rFonts w:ascii="Times New Roman" w:hAnsi="Times New Roman" w:cs="Times New Roman"/>
                <w:sz w:val="20"/>
                <w:szCs w:val="20"/>
              </w:rPr>
            </w:pPr>
            <w:r w:rsidRPr="009B1CD5">
              <w:rPr>
                <w:rFonts w:ascii="Times New Roman" w:hAnsi="Times New Roman" w:cs="Times New Roman"/>
                <w:sz w:val="20"/>
                <w:szCs w:val="20"/>
              </w:rPr>
              <w:t>156</w:t>
            </w:r>
          </w:p>
        </w:tc>
        <w:tc>
          <w:tcPr>
            <w:tcW w:w="1422" w:type="dxa"/>
          </w:tcPr>
          <w:p w:rsidR="00513B43" w:rsidRPr="009B1CD5" w:rsidRDefault="002A3AE5">
            <w:pPr>
              <w:rPr>
                <w:rFonts w:ascii="Times New Roman" w:hAnsi="Times New Roman" w:cs="Times New Roman"/>
                <w:sz w:val="20"/>
                <w:szCs w:val="20"/>
              </w:rPr>
            </w:pPr>
            <w:r w:rsidRPr="009B1CD5">
              <w:rPr>
                <w:rFonts w:ascii="Times New Roman" w:hAnsi="Times New Roman" w:cs="Times New Roman"/>
                <w:sz w:val="20"/>
                <w:szCs w:val="20"/>
              </w:rPr>
              <w:t>491</w:t>
            </w:r>
          </w:p>
        </w:tc>
        <w:tc>
          <w:tcPr>
            <w:tcW w:w="1818" w:type="dxa"/>
          </w:tcPr>
          <w:p w:rsidR="00513B43" w:rsidRPr="009B1CD5" w:rsidRDefault="002A3AE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A3AE5">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AD54DE">
            <w:pPr>
              <w:rPr>
                <w:rFonts w:ascii="Times New Roman" w:hAnsi="Times New Roman" w:cs="Times New Roman"/>
                <w:sz w:val="20"/>
                <w:szCs w:val="20"/>
                <w:lang w:val="sv-SE"/>
              </w:rPr>
            </w:pPr>
            <w:r w:rsidRPr="009B1CD5">
              <w:rPr>
                <w:rFonts w:ascii="Times New Roman" w:hAnsi="Times New Roman" w:cs="Times New Roman"/>
                <w:sz w:val="20"/>
                <w:szCs w:val="20"/>
              </w:rPr>
              <w:lastRenderedPageBreak/>
              <w:t xml:space="preserve">Martin </w:t>
            </w:r>
            <w:r w:rsidRPr="009B1CD5">
              <w:rPr>
                <w:rFonts w:ascii="Times New Roman" w:hAnsi="Times New Roman" w:cs="Times New Roman"/>
                <w:sz w:val="20"/>
                <w:szCs w:val="20"/>
                <w:lang w:val="sv-SE"/>
              </w:rPr>
              <w:t>(32)</w:t>
            </w:r>
          </w:p>
        </w:tc>
        <w:tc>
          <w:tcPr>
            <w:tcW w:w="2070" w:type="dxa"/>
          </w:tcPr>
          <w:p w:rsidR="00513B43" w:rsidRPr="009B1CD5" w:rsidRDefault="00AD54DE">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AD54DE">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AD54DE">
            <w:pPr>
              <w:rPr>
                <w:rFonts w:ascii="Times New Roman" w:hAnsi="Times New Roman" w:cs="Times New Roman"/>
                <w:sz w:val="20"/>
                <w:szCs w:val="20"/>
              </w:rPr>
            </w:pPr>
            <w:r w:rsidRPr="009B1CD5">
              <w:rPr>
                <w:rFonts w:ascii="Times New Roman" w:hAnsi="Times New Roman" w:cs="Times New Roman"/>
                <w:sz w:val="20"/>
                <w:szCs w:val="20"/>
              </w:rPr>
              <w:t>55</w:t>
            </w:r>
          </w:p>
        </w:tc>
        <w:tc>
          <w:tcPr>
            <w:tcW w:w="1422" w:type="dxa"/>
          </w:tcPr>
          <w:p w:rsidR="00513B43" w:rsidRPr="009B1CD5" w:rsidRDefault="00AD54DE">
            <w:pPr>
              <w:rPr>
                <w:rFonts w:ascii="Times New Roman" w:hAnsi="Times New Roman" w:cs="Times New Roman"/>
                <w:sz w:val="20"/>
                <w:szCs w:val="20"/>
              </w:rPr>
            </w:pPr>
            <w:r w:rsidRPr="009B1CD5">
              <w:rPr>
                <w:rFonts w:ascii="Times New Roman" w:hAnsi="Times New Roman" w:cs="Times New Roman"/>
                <w:sz w:val="20"/>
                <w:szCs w:val="20"/>
              </w:rPr>
              <w:t>823</w:t>
            </w:r>
          </w:p>
        </w:tc>
        <w:tc>
          <w:tcPr>
            <w:tcW w:w="1818" w:type="dxa"/>
          </w:tcPr>
          <w:p w:rsidR="00513B43" w:rsidRPr="009B1CD5" w:rsidRDefault="00AD54DE">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AD54DE">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Mehta (33)</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70</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Meng (34)</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China</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27</w:t>
            </w:r>
          </w:p>
        </w:tc>
        <w:tc>
          <w:tcPr>
            <w:tcW w:w="1422"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73</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Minisini (35)</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34</w:t>
            </w:r>
          </w:p>
        </w:tc>
        <w:tc>
          <w:tcPr>
            <w:tcW w:w="1422"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145</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8</w:t>
            </w:r>
          </w:p>
        </w:tc>
      </w:tr>
      <w:tr w:rsidR="00513B43" w:rsidRPr="009B1CD5" w:rsidTr="002D1C88">
        <w:trPr>
          <w:trHeight w:val="148"/>
        </w:trPr>
        <w:tc>
          <w:tcPr>
            <w:tcW w:w="199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Munster (36)</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18</w:t>
            </w:r>
          </w:p>
        </w:tc>
        <w:tc>
          <w:tcPr>
            <w:tcW w:w="1422"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21</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Najafi (37)</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Iran</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36</w:t>
            </w:r>
          </w:p>
        </w:tc>
        <w:tc>
          <w:tcPr>
            <w:tcW w:w="1422"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226</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8</w:t>
            </w:r>
          </w:p>
        </w:tc>
      </w:tr>
      <w:tr w:rsidR="00513B43" w:rsidRPr="009B1CD5" w:rsidTr="002D1C88">
        <w:trPr>
          <w:trHeight w:val="148"/>
        </w:trPr>
        <w:tc>
          <w:tcPr>
            <w:tcW w:w="199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Narmadha (38)</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India</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Cross sectional</w:t>
            </w:r>
          </w:p>
        </w:tc>
        <w:tc>
          <w:tcPr>
            <w:tcW w:w="153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50</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4</w:t>
            </w:r>
          </w:p>
        </w:tc>
      </w:tr>
      <w:tr w:rsidR="00513B43" w:rsidRPr="009B1CD5" w:rsidTr="002D1C88">
        <w:trPr>
          <w:trHeight w:val="148"/>
        </w:trPr>
        <w:tc>
          <w:tcPr>
            <w:tcW w:w="199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Okanami (39)</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Japan</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Cross sectional</w:t>
            </w:r>
          </w:p>
        </w:tc>
        <w:tc>
          <w:tcPr>
            <w:tcW w:w="153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28</w:t>
            </w:r>
          </w:p>
        </w:tc>
        <w:tc>
          <w:tcPr>
            <w:tcW w:w="1422"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66</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6</w:t>
            </w:r>
          </w:p>
        </w:tc>
      </w:tr>
      <w:tr w:rsidR="00513B43" w:rsidRPr="009B1CD5" w:rsidTr="002D1C88">
        <w:trPr>
          <w:trHeight w:val="148"/>
        </w:trPr>
        <w:tc>
          <w:tcPr>
            <w:tcW w:w="199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Padmanabhan (40)</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UK</w:t>
            </w:r>
          </w:p>
        </w:tc>
        <w:tc>
          <w:tcPr>
            <w:tcW w:w="207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47</w:t>
            </w:r>
          </w:p>
        </w:tc>
        <w:tc>
          <w:tcPr>
            <w:tcW w:w="1422"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35</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D1C88">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Pagani (41)</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60</w:t>
            </w:r>
          </w:p>
        </w:tc>
        <w:tc>
          <w:tcPr>
            <w:tcW w:w="1422"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1196</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 xml:space="preserve">No </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Partridge (42)</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156 + 228</w:t>
            </w:r>
          </w:p>
        </w:tc>
        <w:tc>
          <w:tcPr>
            <w:tcW w:w="1422"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767</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Parulekar (43)</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Canada</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106</w:t>
            </w:r>
          </w:p>
        </w:tc>
        <w:tc>
          <w:tcPr>
            <w:tcW w:w="1422"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328</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Pérez-Fildago (44)</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Spain</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305</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Petrek (45)</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45</w:t>
            </w:r>
          </w:p>
        </w:tc>
        <w:tc>
          <w:tcPr>
            <w:tcW w:w="1422"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595</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13</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Poikonen (46)</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Finland</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72</w:t>
            </w:r>
          </w:p>
        </w:tc>
        <w:tc>
          <w:tcPr>
            <w:tcW w:w="1422"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116</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Pourali (47)</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Iran</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Cross sectional</w:t>
            </w:r>
          </w:p>
        </w:tc>
        <w:tc>
          <w:tcPr>
            <w:tcW w:w="153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119</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Reh (48)</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28</w:t>
            </w:r>
          </w:p>
        </w:tc>
        <w:tc>
          <w:tcPr>
            <w:tcW w:w="1422"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41</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148"/>
        </w:trPr>
        <w:tc>
          <w:tcPr>
            <w:tcW w:w="1998"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Reyno (49)</w:t>
            </w:r>
          </w:p>
        </w:tc>
        <w:tc>
          <w:tcPr>
            <w:tcW w:w="2070" w:type="dxa"/>
          </w:tcPr>
          <w:p w:rsidR="00513B43" w:rsidRPr="009B1CD5" w:rsidRDefault="00013EF2">
            <w:pPr>
              <w:rPr>
                <w:rFonts w:ascii="Times New Roman" w:hAnsi="Times New Roman" w:cs="Times New Roman"/>
                <w:sz w:val="20"/>
                <w:szCs w:val="20"/>
              </w:rPr>
            </w:pPr>
            <w:r w:rsidRPr="009B1CD5">
              <w:rPr>
                <w:rFonts w:ascii="Times New Roman" w:hAnsi="Times New Roman" w:cs="Times New Roman"/>
                <w:sz w:val="20"/>
                <w:szCs w:val="20"/>
              </w:rPr>
              <w:t>Canada</w:t>
            </w:r>
          </w:p>
        </w:tc>
        <w:tc>
          <w:tcPr>
            <w:tcW w:w="207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95</w:t>
            </w:r>
          </w:p>
        </w:tc>
        <w:tc>
          <w:tcPr>
            <w:tcW w:w="181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Richards (50)</w:t>
            </w:r>
          </w:p>
        </w:tc>
        <w:tc>
          <w:tcPr>
            <w:tcW w:w="207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UK</w:t>
            </w:r>
          </w:p>
        </w:tc>
        <w:tc>
          <w:tcPr>
            <w:tcW w:w="207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96</w:t>
            </w:r>
          </w:p>
        </w:tc>
        <w:tc>
          <w:tcPr>
            <w:tcW w:w="1422"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90</w:t>
            </w:r>
          </w:p>
        </w:tc>
        <w:tc>
          <w:tcPr>
            <w:tcW w:w="181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Roché (51)</w:t>
            </w:r>
          </w:p>
        </w:tc>
        <w:tc>
          <w:tcPr>
            <w:tcW w:w="207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France</w:t>
            </w:r>
          </w:p>
        </w:tc>
        <w:tc>
          <w:tcPr>
            <w:tcW w:w="207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84</w:t>
            </w:r>
          </w:p>
        </w:tc>
        <w:tc>
          <w:tcPr>
            <w:tcW w:w="1422"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169</w:t>
            </w:r>
          </w:p>
        </w:tc>
        <w:tc>
          <w:tcPr>
            <w:tcW w:w="181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Rose (52)</w:t>
            </w:r>
          </w:p>
        </w:tc>
        <w:tc>
          <w:tcPr>
            <w:tcW w:w="207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38</w:t>
            </w:r>
          </w:p>
        </w:tc>
        <w:tc>
          <w:tcPr>
            <w:tcW w:w="181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735F9A">
            <w:pPr>
              <w:rPr>
                <w:rFonts w:ascii="Times New Roman" w:hAnsi="Times New Roman" w:cs="Times New Roman"/>
                <w:sz w:val="20"/>
                <w:szCs w:val="20"/>
              </w:rPr>
            </w:pPr>
            <w:r w:rsidRPr="009B1CD5">
              <w:rPr>
                <w:rFonts w:ascii="Times New Roman" w:hAnsi="Times New Roman" w:cs="Times New Roman"/>
                <w:sz w:val="20"/>
                <w:szCs w:val="20"/>
              </w:rPr>
              <w:t>6</w:t>
            </w:r>
          </w:p>
        </w:tc>
      </w:tr>
      <w:tr w:rsidR="00513B43" w:rsidRPr="009B1CD5" w:rsidTr="002D1C88">
        <w:trPr>
          <w:trHeight w:val="148"/>
        </w:trPr>
        <w:tc>
          <w:tcPr>
            <w:tcW w:w="1998"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Rosendahl (53)</w:t>
            </w:r>
          </w:p>
        </w:tc>
        <w:tc>
          <w:tcPr>
            <w:tcW w:w="2070"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836</w:t>
            </w:r>
          </w:p>
        </w:tc>
        <w:tc>
          <w:tcPr>
            <w:tcW w:w="1818"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Ruddy (54)</w:t>
            </w:r>
          </w:p>
        </w:tc>
        <w:tc>
          <w:tcPr>
            <w:tcW w:w="2070"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FA69DF">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124</w:t>
            </w:r>
          </w:p>
        </w:tc>
        <w:tc>
          <w:tcPr>
            <w:tcW w:w="181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9</w:t>
            </w:r>
          </w:p>
        </w:tc>
      </w:tr>
      <w:tr w:rsidR="00513B43" w:rsidRPr="009B1CD5" w:rsidTr="002D1C88">
        <w:trPr>
          <w:trHeight w:val="148"/>
        </w:trPr>
        <w:tc>
          <w:tcPr>
            <w:tcW w:w="199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Saarto (55)</w:t>
            </w:r>
          </w:p>
        </w:tc>
        <w:tc>
          <w:tcPr>
            <w:tcW w:w="207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Finland</w:t>
            </w:r>
          </w:p>
        </w:tc>
        <w:tc>
          <w:tcPr>
            <w:tcW w:w="207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57</w:t>
            </w:r>
          </w:p>
        </w:tc>
        <w:tc>
          <w:tcPr>
            <w:tcW w:w="181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148"/>
        </w:trPr>
        <w:tc>
          <w:tcPr>
            <w:tcW w:w="199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Samaan (56)</w:t>
            </w:r>
          </w:p>
        </w:tc>
        <w:tc>
          <w:tcPr>
            <w:tcW w:w="207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55</w:t>
            </w:r>
          </w:p>
        </w:tc>
        <w:tc>
          <w:tcPr>
            <w:tcW w:w="181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Shapiro (57)</w:t>
            </w:r>
          </w:p>
        </w:tc>
        <w:tc>
          <w:tcPr>
            <w:tcW w:w="207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49</w:t>
            </w:r>
          </w:p>
        </w:tc>
        <w:tc>
          <w:tcPr>
            <w:tcW w:w="181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CB4185">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148"/>
        </w:trPr>
        <w:tc>
          <w:tcPr>
            <w:tcW w:w="1998" w:type="dxa"/>
          </w:tcPr>
          <w:p w:rsidR="00513B43" w:rsidRPr="009B1CD5" w:rsidRDefault="00F56DCF">
            <w:pPr>
              <w:rPr>
                <w:rFonts w:ascii="Times New Roman" w:hAnsi="Times New Roman" w:cs="Times New Roman"/>
                <w:sz w:val="20"/>
                <w:szCs w:val="20"/>
              </w:rPr>
            </w:pPr>
            <w:r w:rsidRPr="009B1CD5">
              <w:rPr>
                <w:rFonts w:ascii="Times New Roman" w:hAnsi="Times New Roman" w:cs="Times New Roman"/>
                <w:sz w:val="20"/>
                <w:szCs w:val="20"/>
              </w:rPr>
              <w:t>Su (58)</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62</w:t>
            </w:r>
          </w:p>
        </w:tc>
        <w:tc>
          <w:tcPr>
            <w:tcW w:w="1422"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111</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8</w:t>
            </w:r>
          </w:p>
        </w:tc>
      </w:tr>
      <w:tr w:rsidR="00513B43" w:rsidRPr="009B1CD5" w:rsidTr="002D1C88">
        <w:trPr>
          <w:trHeight w:val="148"/>
        </w:trPr>
        <w:tc>
          <w:tcPr>
            <w:tcW w:w="1998" w:type="dxa"/>
          </w:tcPr>
          <w:p w:rsidR="00513B43" w:rsidRPr="009B1CD5" w:rsidRDefault="00F56DCF">
            <w:pPr>
              <w:rPr>
                <w:rFonts w:ascii="Times New Roman" w:hAnsi="Times New Roman" w:cs="Times New Roman"/>
                <w:sz w:val="20"/>
                <w:szCs w:val="20"/>
              </w:rPr>
            </w:pPr>
            <w:r w:rsidRPr="009B1CD5">
              <w:rPr>
                <w:rFonts w:ascii="Times New Roman" w:hAnsi="Times New Roman" w:cs="Times New Roman"/>
                <w:sz w:val="20"/>
                <w:szCs w:val="20"/>
              </w:rPr>
              <w:t>Sukumvanich (59)</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439</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12</w:t>
            </w:r>
          </w:p>
        </w:tc>
      </w:tr>
      <w:tr w:rsidR="00513B43" w:rsidRPr="009B1CD5" w:rsidTr="002D1C88">
        <w:trPr>
          <w:trHeight w:val="148"/>
        </w:trPr>
        <w:tc>
          <w:tcPr>
            <w:tcW w:w="1998" w:type="dxa"/>
          </w:tcPr>
          <w:p w:rsidR="00513B43" w:rsidRPr="009B1CD5" w:rsidRDefault="00F56DCF">
            <w:pPr>
              <w:rPr>
                <w:rFonts w:ascii="Times New Roman" w:hAnsi="Times New Roman" w:cs="Times New Roman"/>
                <w:sz w:val="20"/>
                <w:szCs w:val="20"/>
              </w:rPr>
            </w:pPr>
            <w:r w:rsidRPr="009B1CD5">
              <w:rPr>
                <w:rFonts w:ascii="Times New Roman" w:hAnsi="Times New Roman" w:cs="Times New Roman"/>
                <w:sz w:val="20"/>
                <w:szCs w:val="20"/>
              </w:rPr>
              <w:t>Sverrisdottir (60)</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Multinational</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31</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F56DCF">
            <w:pPr>
              <w:rPr>
                <w:rFonts w:ascii="Times New Roman" w:hAnsi="Times New Roman" w:cs="Times New Roman"/>
                <w:sz w:val="20"/>
                <w:szCs w:val="20"/>
              </w:rPr>
            </w:pPr>
            <w:r w:rsidRPr="009B1CD5">
              <w:rPr>
                <w:rFonts w:ascii="Times New Roman" w:hAnsi="Times New Roman" w:cs="Times New Roman"/>
                <w:sz w:val="20"/>
                <w:szCs w:val="20"/>
              </w:rPr>
              <w:t>Swain (61)</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73</w:t>
            </w:r>
          </w:p>
        </w:tc>
        <w:tc>
          <w:tcPr>
            <w:tcW w:w="1422"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2343</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F56DCF">
            <w:pPr>
              <w:rPr>
                <w:rFonts w:ascii="Times New Roman" w:hAnsi="Times New Roman" w:cs="Times New Roman"/>
                <w:sz w:val="20"/>
                <w:szCs w:val="20"/>
              </w:rPr>
            </w:pPr>
            <w:r w:rsidRPr="009B1CD5">
              <w:rPr>
                <w:rFonts w:ascii="Times New Roman" w:hAnsi="Times New Roman" w:cs="Times New Roman"/>
                <w:sz w:val="20"/>
                <w:szCs w:val="20"/>
              </w:rPr>
              <w:t>Tancini (62)</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22</w:t>
            </w:r>
          </w:p>
        </w:tc>
        <w:tc>
          <w:tcPr>
            <w:tcW w:w="1422"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287</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NA</w:t>
            </w:r>
          </w:p>
        </w:tc>
      </w:tr>
      <w:tr w:rsidR="00C11348" w:rsidRPr="009B1CD5" w:rsidTr="002D1C88">
        <w:trPr>
          <w:trHeight w:val="148"/>
        </w:trPr>
        <w:tc>
          <w:tcPr>
            <w:tcW w:w="1998" w:type="dxa"/>
          </w:tcPr>
          <w:p w:rsidR="00C11348" w:rsidRPr="009B1CD5" w:rsidRDefault="00C11348">
            <w:pPr>
              <w:rPr>
                <w:rFonts w:ascii="Times New Roman" w:hAnsi="Times New Roman" w:cs="Times New Roman"/>
                <w:sz w:val="20"/>
                <w:szCs w:val="20"/>
                <w:lang w:val="sv-SE"/>
              </w:rPr>
            </w:pPr>
            <w:r w:rsidRPr="009B1CD5">
              <w:rPr>
                <w:rFonts w:ascii="Times New Roman" w:hAnsi="Times New Roman" w:cs="Times New Roman"/>
                <w:sz w:val="20"/>
                <w:szCs w:val="20"/>
              </w:rPr>
              <w:t xml:space="preserve">Tham </w:t>
            </w:r>
            <w:r w:rsidRPr="009B1CD5">
              <w:rPr>
                <w:rFonts w:ascii="Times New Roman" w:hAnsi="Times New Roman" w:cs="Times New Roman"/>
                <w:sz w:val="20"/>
                <w:szCs w:val="20"/>
                <w:lang w:val="sv-SE"/>
              </w:rPr>
              <w:t>(63)</w:t>
            </w:r>
          </w:p>
        </w:tc>
        <w:tc>
          <w:tcPr>
            <w:tcW w:w="2070" w:type="dxa"/>
          </w:tcPr>
          <w:p w:rsidR="00C11348"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C11348"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Cross sectional</w:t>
            </w:r>
          </w:p>
        </w:tc>
        <w:tc>
          <w:tcPr>
            <w:tcW w:w="1530" w:type="dxa"/>
          </w:tcPr>
          <w:p w:rsidR="00C11348"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C11348"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191</w:t>
            </w:r>
          </w:p>
        </w:tc>
        <w:tc>
          <w:tcPr>
            <w:tcW w:w="1818" w:type="dxa"/>
          </w:tcPr>
          <w:p w:rsidR="00C11348"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C11348"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8</w:t>
            </w:r>
          </w:p>
        </w:tc>
      </w:tr>
      <w:tr w:rsidR="00513B43" w:rsidRPr="009B1CD5" w:rsidTr="002D1C88">
        <w:trPr>
          <w:trHeight w:val="148"/>
        </w:trPr>
        <w:tc>
          <w:tcPr>
            <w:tcW w:w="199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 xml:space="preserve">Tiong </w:t>
            </w:r>
            <w:r w:rsidR="00C11348" w:rsidRPr="009B1CD5">
              <w:rPr>
                <w:rFonts w:ascii="Times New Roman" w:hAnsi="Times New Roman" w:cs="Times New Roman"/>
                <w:sz w:val="20"/>
                <w:szCs w:val="20"/>
              </w:rPr>
              <w:t>(64</w:t>
            </w:r>
            <w:r w:rsidR="000D202E" w:rsidRPr="009B1CD5">
              <w:rPr>
                <w:rFonts w:ascii="Times New Roman" w:hAnsi="Times New Roman" w:cs="Times New Roman"/>
                <w:sz w:val="20"/>
                <w:szCs w:val="20"/>
              </w:rPr>
              <w:t>)</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Malaysia</w:t>
            </w:r>
          </w:p>
        </w:tc>
        <w:tc>
          <w:tcPr>
            <w:tcW w:w="207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Cross sectional</w:t>
            </w:r>
          </w:p>
        </w:tc>
        <w:tc>
          <w:tcPr>
            <w:tcW w:w="1530"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87</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EC3D95">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148"/>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 xml:space="preserve">Toma </w:t>
            </w:r>
            <w:r w:rsidR="00C11348" w:rsidRPr="009B1CD5">
              <w:rPr>
                <w:rFonts w:ascii="Times New Roman" w:hAnsi="Times New Roman" w:cs="Times New Roman"/>
                <w:sz w:val="20"/>
                <w:szCs w:val="20"/>
              </w:rPr>
              <w:t>(65</w:t>
            </w:r>
            <w:r w:rsidR="000D202E" w:rsidRPr="009B1CD5">
              <w:rPr>
                <w:rFonts w:ascii="Times New Roman" w:hAnsi="Times New Roman" w:cs="Times New Roman"/>
                <w:sz w:val="20"/>
                <w:szCs w:val="20"/>
              </w:rPr>
              <w:t>)</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146</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 xml:space="preserve">Tormey </w:t>
            </w:r>
            <w:r w:rsidR="00C11348" w:rsidRPr="009B1CD5">
              <w:rPr>
                <w:rFonts w:ascii="Times New Roman" w:hAnsi="Times New Roman" w:cs="Times New Roman"/>
                <w:sz w:val="20"/>
                <w:szCs w:val="20"/>
              </w:rPr>
              <w:t>(66</w:t>
            </w:r>
            <w:r w:rsidR="000D202E" w:rsidRPr="009B1CD5">
              <w:rPr>
                <w:rFonts w:ascii="Times New Roman" w:hAnsi="Times New Roman" w:cs="Times New Roman"/>
                <w:sz w:val="20"/>
                <w:szCs w:val="20"/>
              </w:rPr>
              <w:t>)</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92</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553</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148"/>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 xml:space="preserve">Valagussa </w:t>
            </w:r>
            <w:r w:rsidR="00C11348" w:rsidRPr="009B1CD5">
              <w:rPr>
                <w:rFonts w:ascii="Times New Roman" w:hAnsi="Times New Roman" w:cs="Times New Roman"/>
                <w:sz w:val="20"/>
                <w:szCs w:val="20"/>
              </w:rPr>
              <w:t>(67</w:t>
            </w:r>
            <w:r w:rsidR="000D202E" w:rsidRPr="009B1CD5">
              <w:rPr>
                <w:rFonts w:ascii="Times New Roman" w:hAnsi="Times New Roman" w:cs="Times New Roman"/>
                <w:sz w:val="20"/>
                <w:szCs w:val="20"/>
              </w:rPr>
              <w:t>)</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44</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494</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5</w:t>
            </w:r>
          </w:p>
        </w:tc>
      </w:tr>
      <w:tr w:rsidR="00513B43" w:rsidRPr="009B1CD5" w:rsidTr="002D1C88">
        <w:trPr>
          <w:trHeight w:val="148"/>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 xml:space="preserve">Vanhuyse </w:t>
            </w:r>
            <w:r w:rsidR="00C11348" w:rsidRPr="009B1CD5">
              <w:rPr>
                <w:rFonts w:ascii="Times New Roman" w:hAnsi="Times New Roman" w:cs="Times New Roman"/>
                <w:sz w:val="20"/>
                <w:szCs w:val="20"/>
              </w:rPr>
              <w:t>(68</w:t>
            </w:r>
            <w:r w:rsidR="000D202E" w:rsidRPr="009B1CD5">
              <w:rPr>
                <w:rFonts w:ascii="Times New Roman" w:hAnsi="Times New Roman" w:cs="Times New Roman"/>
                <w:sz w:val="20"/>
                <w:szCs w:val="20"/>
              </w:rPr>
              <w:t>)</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France</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108</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130</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6</w:t>
            </w:r>
          </w:p>
        </w:tc>
      </w:tr>
      <w:tr w:rsidR="00513B43" w:rsidRPr="009B1CD5" w:rsidTr="002D1C88">
        <w:trPr>
          <w:trHeight w:val="148"/>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 xml:space="preserve">Vehmanen </w:t>
            </w:r>
            <w:r w:rsidR="00C11348" w:rsidRPr="009B1CD5">
              <w:rPr>
                <w:rFonts w:ascii="Times New Roman" w:hAnsi="Times New Roman" w:cs="Times New Roman"/>
                <w:sz w:val="20"/>
                <w:szCs w:val="20"/>
              </w:rPr>
              <w:t>(9</w:t>
            </w:r>
            <w:r w:rsidR="000D202E" w:rsidRPr="009B1CD5">
              <w:rPr>
                <w:rFonts w:ascii="Times New Roman" w:hAnsi="Times New Roman" w:cs="Times New Roman"/>
                <w:sz w:val="20"/>
                <w:szCs w:val="20"/>
              </w:rPr>
              <w:t>8)</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Finland</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36</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111</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237"/>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lastRenderedPageBreak/>
              <w:t xml:space="preserve">Vehmanen </w:t>
            </w:r>
            <w:r w:rsidR="00C11348" w:rsidRPr="009B1CD5">
              <w:rPr>
                <w:rFonts w:ascii="Times New Roman" w:hAnsi="Times New Roman" w:cs="Times New Roman"/>
                <w:sz w:val="20"/>
                <w:szCs w:val="20"/>
              </w:rPr>
              <w:t>(70</w:t>
            </w:r>
            <w:r w:rsidR="000D202E" w:rsidRPr="009B1CD5">
              <w:rPr>
                <w:rFonts w:ascii="Times New Roman" w:hAnsi="Times New Roman" w:cs="Times New Roman"/>
                <w:sz w:val="20"/>
                <w:szCs w:val="20"/>
              </w:rPr>
              <w:t>)</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Finland</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60</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73</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8</w:t>
            </w:r>
          </w:p>
        </w:tc>
      </w:tr>
      <w:tr w:rsidR="00513B43" w:rsidRPr="009B1CD5" w:rsidTr="002D1C88">
        <w:trPr>
          <w:trHeight w:val="222"/>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 xml:space="preserve">Venturini </w:t>
            </w:r>
            <w:r w:rsidR="00C11348" w:rsidRPr="009B1CD5">
              <w:rPr>
                <w:rFonts w:ascii="Times New Roman" w:hAnsi="Times New Roman" w:cs="Times New Roman"/>
                <w:sz w:val="20"/>
                <w:szCs w:val="20"/>
              </w:rPr>
              <w:t>(71</w:t>
            </w:r>
            <w:r w:rsidR="000D202E" w:rsidRPr="009B1CD5">
              <w:rPr>
                <w:rFonts w:ascii="Times New Roman" w:hAnsi="Times New Roman" w:cs="Times New Roman"/>
                <w:sz w:val="20"/>
                <w:szCs w:val="20"/>
              </w:rPr>
              <w:t>)</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Italy</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RCT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125</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503</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NA</w:t>
            </w:r>
          </w:p>
        </w:tc>
      </w:tr>
      <w:tr w:rsidR="00513B43" w:rsidRPr="009B1CD5" w:rsidTr="002D1C88">
        <w:trPr>
          <w:trHeight w:val="237"/>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 xml:space="preserve">Yoo </w:t>
            </w:r>
            <w:r w:rsidR="00C11348" w:rsidRPr="009B1CD5">
              <w:rPr>
                <w:rFonts w:ascii="Times New Roman" w:hAnsi="Times New Roman" w:cs="Times New Roman"/>
                <w:sz w:val="20"/>
                <w:szCs w:val="20"/>
              </w:rPr>
              <w:t>(72</w:t>
            </w:r>
            <w:r w:rsidR="000D202E" w:rsidRPr="009B1CD5">
              <w:rPr>
                <w:rFonts w:ascii="Times New Roman" w:hAnsi="Times New Roman" w:cs="Times New Roman"/>
                <w:sz w:val="20"/>
                <w:szCs w:val="20"/>
              </w:rPr>
              <w:t>)</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South Korea</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18</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312</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12</w:t>
            </w:r>
          </w:p>
        </w:tc>
      </w:tr>
      <w:tr w:rsidR="00513B43" w:rsidRPr="009B1CD5" w:rsidTr="002D1C88">
        <w:trPr>
          <w:trHeight w:val="237"/>
        </w:trPr>
        <w:tc>
          <w:tcPr>
            <w:tcW w:w="199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 xml:space="preserve">Yu </w:t>
            </w:r>
            <w:r w:rsidR="00C11348" w:rsidRPr="009B1CD5">
              <w:rPr>
                <w:rFonts w:ascii="Times New Roman" w:hAnsi="Times New Roman" w:cs="Times New Roman"/>
                <w:sz w:val="20"/>
                <w:szCs w:val="20"/>
              </w:rPr>
              <w:t>(73</w:t>
            </w:r>
            <w:r w:rsidR="000D202E" w:rsidRPr="009B1CD5">
              <w:rPr>
                <w:rFonts w:ascii="Times New Roman" w:hAnsi="Times New Roman" w:cs="Times New Roman"/>
                <w:sz w:val="20"/>
                <w:szCs w:val="20"/>
              </w:rPr>
              <w:t>)</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USA</w:t>
            </w:r>
          </w:p>
        </w:tc>
        <w:tc>
          <w:tcPr>
            <w:tcW w:w="207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Prospective cohort</w:t>
            </w:r>
          </w:p>
        </w:tc>
        <w:tc>
          <w:tcPr>
            <w:tcW w:w="1530"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NR</w:t>
            </w:r>
          </w:p>
        </w:tc>
        <w:tc>
          <w:tcPr>
            <w:tcW w:w="1422"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26</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263DA5">
            <w:pPr>
              <w:rPr>
                <w:rFonts w:ascii="Times New Roman" w:hAnsi="Times New Roman" w:cs="Times New Roman"/>
                <w:sz w:val="20"/>
                <w:szCs w:val="20"/>
              </w:rPr>
            </w:pPr>
            <w:r w:rsidRPr="009B1CD5">
              <w:rPr>
                <w:rFonts w:ascii="Times New Roman" w:hAnsi="Times New Roman" w:cs="Times New Roman"/>
                <w:sz w:val="20"/>
                <w:szCs w:val="20"/>
              </w:rPr>
              <w:t>7</w:t>
            </w:r>
          </w:p>
        </w:tc>
      </w:tr>
      <w:tr w:rsidR="00513B43" w:rsidRPr="009B1CD5" w:rsidTr="002D1C88">
        <w:trPr>
          <w:trHeight w:val="222"/>
        </w:trPr>
        <w:tc>
          <w:tcPr>
            <w:tcW w:w="1998"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Zekri (74</w:t>
            </w:r>
            <w:r w:rsidR="000D202E" w:rsidRPr="009B1CD5">
              <w:rPr>
                <w:rFonts w:ascii="Times New Roman" w:hAnsi="Times New Roman" w:cs="Times New Roman"/>
                <w:sz w:val="20"/>
                <w:szCs w:val="20"/>
              </w:rPr>
              <w:t>)</w:t>
            </w:r>
          </w:p>
        </w:tc>
        <w:tc>
          <w:tcPr>
            <w:tcW w:w="2070"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UK</w:t>
            </w:r>
          </w:p>
        </w:tc>
        <w:tc>
          <w:tcPr>
            <w:tcW w:w="2070"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Retrospective cohort</w:t>
            </w:r>
          </w:p>
        </w:tc>
        <w:tc>
          <w:tcPr>
            <w:tcW w:w="1530"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39</w:t>
            </w:r>
          </w:p>
        </w:tc>
        <w:tc>
          <w:tcPr>
            <w:tcW w:w="1422"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26</w:t>
            </w:r>
          </w:p>
        </w:tc>
        <w:tc>
          <w:tcPr>
            <w:tcW w:w="1818"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No</w:t>
            </w:r>
          </w:p>
        </w:tc>
        <w:tc>
          <w:tcPr>
            <w:tcW w:w="1818"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4</w:t>
            </w:r>
          </w:p>
        </w:tc>
      </w:tr>
      <w:tr w:rsidR="00513B43" w:rsidRPr="009B1CD5" w:rsidTr="002D1C88">
        <w:trPr>
          <w:trHeight w:val="237"/>
        </w:trPr>
        <w:tc>
          <w:tcPr>
            <w:tcW w:w="1998"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Zhou (75</w:t>
            </w:r>
            <w:r w:rsidR="000D202E" w:rsidRPr="009B1CD5">
              <w:rPr>
                <w:rFonts w:ascii="Times New Roman" w:hAnsi="Times New Roman" w:cs="Times New Roman"/>
                <w:sz w:val="20"/>
                <w:szCs w:val="20"/>
              </w:rPr>
              <w:t>)</w:t>
            </w:r>
          </w:p>
        </w:tc>
        <w:tc>
          <w:tcPr>
            <w:tcW w:w="2070"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China</w:t>
            </w:r>
          </w:p>
        </w:tc>
        <w:tc>
          <w:tcPr>
            <w:tcW w:w="2070"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Cross sectional</w:t>
            </w:r>
          </w:p>
        </w:tc>
        <w:tc>
          <w:tcPr>
            <w:tcW w:w="1530"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39</w:t>
            </w:r>
          </w:p>
        </w:tc>
        <w:tc>
          <w:tcPr>
            <w:tcW w:w="1422"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170</w:t>
            </w:r>
          </w:p>
        </w:tc>
        <w:tc>
          <w:tcPr>
            <w:tcW w:w="1818"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Yes</w:t>
            </w:r>
          </w:p>
        </w:tc>
        <w:tc>
          <w:tcPr>
            <w:tcW w:w="1818" w:type="dxa"/>
          </w:tcPr>
          <w:p w:rsidR="00513B43" w:rsidRPr="009B1CD5" w:rsidRDefault="00C11348">
            <w:pPr>
              <w:rPr>
                <w:rFonts w:ascii="Times New Roman" w:hAnsi="Times New Roman" w:cs="Times New Roman"/>
                <w:sz w:val="20"/>
                <w:szCs w:val="20"/>
              </w:rPr>
            </w:pPr>
            <w:r w:rsidRPr="009B1CD5">
              <w:rPr>
                <w:rFonts w:ascii="Times New Roman" w:hAnsi="Times New Roman" w:cs="Times New Roman"/>
                <w:sz w:val="20"/>
                <w:szCs w:val="20"/>
              </w:rPr>
              <w:t>7</w:t>
            </w:r>
          </w:p>
        </w:tc>
      </w:tr>
    </w:tbl>
    <w:p w:rsidR="001D5428" w:rsidRPr="009B1CD5" w:rsidRDefault="001D5428">
      <w:pPr>
        <w:rPr>
          <w:rFonts w:ascii="Times New Roman" w:hAnsi="Times New Roman" w:cs="Times New Roman"/>
        </w:rPr>
      </w:pPr>
      <w:r w:rsidRPr="009B1CD5">
        <w:rPr>
          <w:rFonts w:ascii="Times New Roman" w:hAnsi="Times New Roman" w:cs="Times New Roman"/>
        </w:rPr>
        <w:t>Abbreviations: RCT, Randomized controlled trial; NA, Not Applicable; NR, Not Reported.</w:t>
      </w:r>
    </w:p>
    <w:p w:rsidR="001D5428" w:rsidRDefault="001D5428">
      <w:pPr>
        <w:rPr>
          <w:rFonts w:ascii="Arial" w:hAnsi="Arial" w:cs="Arial"/>
        </w:rPr>
      </w:pPr>
      <w:r>
        <w:rPr>
          <w:rFonts w:ascii="Arial" w:hAnsi="Arial" w:cs="Arial"/>
        </w:rPr>
        <w:br w:type="page"/>
      </w:r>
    </w:p>
    <w:p w:rsidR="001D5428" w:rsidRPr="001D5428" w:rsidRDefault="001D5428">
      <w:pPr>
        <w:rPr>
          <w:rFonts w:ascii="Arial" w:hAnsi="Arial" w:cs="Arial"/>
        </w:rPr>
      </w:pPr>
    </w:p>
    <w:p w:rsidR="00ED6EC6" w:rsidRPr="009B1CD5" w:rsidRDefault="009B1CD5" w:rsidP="00ED6EC6">
      <w:pPr>
        <w:rPr>
          <w:rFonts w:ascii="Times New Roman" w:hAnsi="Times New Roman" w:cs="Times New Roman"/>
          <w:b/>
          <w:sz w:val="24"/>
        </w:rPr>
      </w:pPr>
      <w:r w:rsidRPr="009B1CD5">
        <w:rPr>
          <w:rFonts w:ascii="Times New Roman" w:hAnsi="Times New Roman" w:cs="Times New Roman"/>
          <w:b/>
          <w:sz w:val="24"/>
        </w:rPr>
        <w:t>Table S3</w:t>
      </w:r>
      <w:r w:rsidR="00ED6EC6" w:rsidRPr="009B1CD5">
        <w:rPr>
          <w:rFonts w:ascii="Times New Roman" w:hAnsi="Times New Roman" w:cs="Times New Roman"/>
          <w:b/>
          <w:sz w:val="24"/>
        </w:rPr>
        <w:t>. Criteria used to define chemotherapy-induced amenorrhea in eligible studies</w:t>
      </w:r>
    </w:p>
    <w:tbl>
      <w:tblPr>
        <w:tblStyle w:val="TableGrid"/>
        <w:tblW w:w="0" w:type="auto"/>
        <w:tblInd w:w="-72" w:type="dxa"/>
        <w:tblLook w:val="04A0" w:firstRow="1" w:lastRow="0" w:firstColumn="1" w:lastColumn="0" w:noHBand="0" w:noVBand="1"/>
      </w:tblPr>
      <w:tblGrid>
        <w:gridCol w:w="10154"/>
        <w:gridCol w:w="1304"/>
      </w:tblGrid>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b/>
                <w:sz w:val="20"/>
                <w:szCs w:val="20"/>
              </w:rPr>
            </w:pPr>
            <w:r w:rsidRPr="009B1CD5">
              <w:rPr>
                <w:rFonts w:ascii="Times New Roman" w:hAnsi="Times New Roman" w:cs="Times New Roman"/>
                <w:b/>
                <w:sz w:val="20"/>
                <w:szCs w:val="20"/>
              </w:rPr>
              <w:t>Definition criteria</w:t>
            </w:r>
          </w:p>
        </w:tc>
        <w:tc>
          <w:tcPr>
            <w:tcW w:w="1304" w:type="dxa"/>
          </w:tcPr>
          <w:p w:rsidR="00ED6EC6" w:rsidRPr="009B1CD5" w:rsidRDefault="009B1CD5" w:rsidP="00513B43">
            <w:pPr>
              <w:spacing w:after="200"/>
              <w:rPr>
                <w:rFonts w:ascii="Times New Roman" w:hAnsi="Times New Roman" w:cs="Times New Roman"/>
                <w:b/>
                <w:sz w:val="20"/>
                <w:szCs w:val="20"/>
              </w:rPr>
            </w:pPr>
            <w:r w:rsidRPr="009B1CD5">
              <w:rPr>
                <w:rFonts w:ascii="Times New Roman" w:hAnsi="Times New Roman" w:cs="Times New Roman"/>
                <w:b/>
                <w:i/>
                <w:sz w:val="20"/>
                <w:szCs w:val="20"/>
              </w:rPr>
              <w:t>N</w:t>
            </w:r>
            <w:r w:rsidR="00ED6EC6" w:rsidRPr="009B1CD5">
              <w:rPr>
                <w:rFonts w:ascii="Times New Roman" w:hAnsi="Times New Roman" w:cs="Times New Roman"/>
                <w:b/>
                <w:sz w:val="20"/>
                <w:szCs w:val="20"/>
              </w:rPr>
              <w:t xml:space="preserve"> of studies (%)</w:t>
            </w:r>
          </w:p>
        </w:tc>
      </w:tr>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i/>
                <w:sz w:val="20"/>
                <w:szCs w:val="20"/>
              </w:rPr>
            </w:pPr>
            <w:bookmarkStart w:id="1" w:name="_Hlk425600361"/>
            <w:r w:rsidRPr="009B1CD5">
              <w:rPr>
                <w:rFonts w:ascii="Times New Roman" w:hAnsi="Times New Roman" w:cs="Times New Roman"/>
                <w:i/>
                <w:sz w:val="20"/>
                <w:szCs w:val="20"/>
              </w:rPr>
              <w:t>Different duration from end of chemotherapy</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for 6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for 12 months </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for different durations within the same study</w:t>
            </w:r>
          </w:p>
        </w:tc>
        <w:tc>
          <w:tcPr>
            <w:tcW w:w="1304" w:type="dxa"/>
          </w:tcPr>
          <w:p w:rsidR="00ED6EC6" w:rsidRPr="009B1CD5" w:rsidRDefault="00ED6EC6" w:rsidP="00513B43">
            <w:pPr>
              <w:spacing w:after="200"/>
              <w:rPr>
                <w:rFonts w:ascii="Times New Roman" w:hAnsi="Times New Roman" w:cs="Times New Roman"/>
                <w:sz w:val="20"/>
                <w:szCs w:val="20"/>
              </w:rPr>
            </w:pP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4 (5)</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7 (9)</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3 (4)</w:t>
            </w:r>
          </w:p>
        </w:tc>
      </w:tr>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i/>
                <w:sz w:val="20"/>
                <w:szCs w:val="20"/>
              </w:rPr>
            </w:pPr>
            <w:r w:rsidRPr="009B1CD5">
              <w:rPr>
                <w:rFonts w:ascii="Times New Roman" w:hAnsi="Times New Roman" w:cs="Times New Roman"/>
                <w:i/>
                <w:sz w:val="20"/>
                <w:szCs w:val="20"/>
              </w:rPr>
              <w:t>Different duration from start of chemotherapy</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6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10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at least 12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for different durations within the same study</w:t>
            </w:r>
          </w:p>
        </w:tc>
        <w:tc>
          <w:tcPr>
            <w:tcW w:w="1304" w:type="dxa"/>
          </w:tcPr>
          <w:p w:rsidR="00ED6EC6" w:rsidRPr="009B1CD5" w:rsidRDefault="00ED6EC6" w:rsidP="00513B43">
            <w:pPr>
              <w:spacing w:after="200"/>
              <w:rPr>
                <w:rFonts w:ascii="Times New Roman" w:hAnsi="Times New Roman" w:cs="Times New Roman"/>
                <w:sz w:val="20"/>
                <w:szCs w:val="20"/>
              </w:rPr>
            </w:pP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5 (7)</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1 (1)</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9 (12)</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3 (4)</w:t>
            </w:r>
          </w:p>
        </w:tc>
      </w:tr>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i/>
                <w:sz w:val="20"/>
                <w:szCs w:val="20"/>
              </w:rPr>
            </w:pPr>
            <w:r w:rsidRPr="009B1CD5">
              <w:rPr>
                <w:rFonts w:ascii="Times New Roman" w:hAnsi="Times New Roman" w:cs="Times New Roman"/>
                <w:i/>
                <w:sz w:val="20"/>
                <w:szCs w:val="20"/>
              </w:rPr>
              <w:t>Different duration from randomization</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6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7-9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at least 12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for different durations within the same study</w:t>
            </w:r>
          </w:p>
        </w:tc>
        <w:tc>
          <w:tcPr>
            <w:tcW w:w="1304" w:type="dxa"/>
          </w:tcPr>
          <w:p w:rsidR="00ED6EC6" w:rsidRPr="009B1CD5" w:rsidRDefault="00ED6EC6" w:rsidP="00513B43">
            <w:pPr>
              <w:spacing w:after="200"/>
              <w:rPr>
                <w:rFonts w:ascii="Times New Roman" w:hAnsi="Times New Roman" w:cs="Times New Roman"/>
                <w:sz w:val="20"/>
                <w:szCs w:val="20"/>
              </w:rPr>
            </w:pP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1 (1)</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2 (3)</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1 (1)</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1 (1)</w:t>
            </w:r>
          </w:p>
        </w:tc>
      </w:tr>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i/>
                <w:sz w:val="20"/>
                <w:szCs w:val="20"/>
              </w:rPr>
            </w:pPr>
            <w:r w:rsidRPr="009B1CD5">
              <w:rPr>
                <w:rFonts w:ascii="Times New Roman" w:hAnsi="Times New Roman" w:cs="Times New Roman"/>
                <w:i/>
                <w:sz w:val="20"/>
                <w:szCs w:val="20"/>
              </w:rPr>
              <w:t xml:space="preserve">Definition based on both duration of amenorrhea and interval from chemotherapy </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during chemotherapy and at least 3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during chemotherapy and at least 6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lastRenderedPageBreak/>
              <w:t xml:space="preserve">   No menstrual bleeding during chemotherapy and during follow up</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3 months from start of chemotherapy and for at least 3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9 months from surgery and for at least 3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12 months from start of chemotherapy for at least 1 month</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12 months from start of chemotherapy for at least 3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12 months from start of chemotherapy for at least 6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12 months from start of chemotherapy for at least 12 months</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menstrual bleeding within 12 months from end of chemotherapy for at least 6 months</w:t>
            </w:r>
          </w:p>
        </w:tc>
        <w:tc>
          <w:tcPr>
            <w:tcW w:w="1304" w:type="dxa"/>
          </w:tcPr>
          <w:p w:rsidR="008021D1" w:rsidRPr="009B1CD5" w:rsidRDefault="008021D1" w:rsidP="00513B43">
            <w:pPr>
              <w:spacing w:after="200"/>
              <w:rPr>
                <w:rFonts w:ascii="Times New Roman" w:hAnsi="Times New Roman" w:cs="Times New Roman"/>
                <w:sz w:val="20"/>
                <w:szCs w:val="20"/>
              </w:rPr>
            </w:pP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4</w:t>
            </w:r>
            <w:r w:rsidR="008021D1" w:rsidRPr="009B1CD5">
              <w:rPr>
                <w:rFonts w:ascii="Times New Roman" w:hAnsi="Times New Roman" w:cs="Times New Roman"/>
                <w:sz w:val="20"/>
                <w:szCs w:val="20"/>
              </w:rPr>
              <w:t xml:space="preserve"> (5)</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1</w:t>
            </w:r>
            <w:r w:rsidR="008021D1" w:rsidRPr="009B1CD5">
              <w:rPr>
                <w:rFonts w:ascii="Times New Roman" w:hAnsi="Times New Roman" w:cs="Times New Roman"/>
                <w:sz w:val="20"/>
                <w:szCs w:val="20"/>
              </w:rPr>
              <w:t xml:space="preserve"> (1)</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lastRenderedPageBreak/>
              <w:t>2</w:t>
            </w:r>
            <w:r w:rsidR="008021D1" w:rsidRPr="009B1CD5">
              <w:rPr>
                <w:rFonts w:ascii="Times New Roman" w:hAnsi="Times New Roman" w:cs="Times New Roman"/>
                <w:sz w:val="20"/>
                <w:szCs w:val="20"/>
              </w:rPr>
              <w:t xml:space="preserve"> (3)</w:t>
            </w:r>
          </w:p>
          <w:p w:rsidR="008021D1"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2</w:t>
            </w:r>
            <w:r w:rsidR="008021D1" w:rsidRPr="009B1CD5">
              <w:rPr>
                <w:rFonts w:ascii="Times New Roman" w:hAnsi="Times New Roman" w:cs="Times New Roman"/>
                <w:sz w:val="20"/>
                <w:szCs w:val="20"/>
              </w:rPr>
              <w:t xml:space="preserve"> (3)</w:t>
            </w:r>
          </w:p>
          <w:p w:rsidR="008021D1"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1</w:t>
            </w:r>
            <w:r w:rsidR="008021D1" w:rsidRPr="009B1CD5">
              <w:rPr>
                <w:rFonts w:ascii="Times New Roman" w:hAnsi="Times New Roman" w:cs="Times New Roman"/>
                <w:sz w:val="20"/>
                <w:szCs w:val="20"/>
              </w:rPr>
              <w:t xml:space="preserve"> (1)</w:t>
            </w:r>
          </w:p>
          <w:p w:rsidR="008021D1"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1</w:t>
            </w:r>
            <w:r w:rsidR="008021D1" w:rsidRPr="009B1CD5">
              <w:rPr>
                <w:rFonts w:ascii="Times New Roman" w:hAnsi="Times New Roman" w:cs="Times New Roman"/>
                <w:sz w:val="20"/>
                <w:szCs w:val="20"/>
              </w:rPr>
              <w:t xml:space="preserve"> (1)</w:t>
            </w:r>
          </w:p>
          <w:p w:rsidR="00ED6EC6" w:rsidRPr="009B1CD5" w:rsidRDefault="006E6117" w:rsidP="00513B43">
            <w:pPr>
              <w:spacing w:after="200"/>
              <w:rPr>
                <w:rFonts w:ascii="Times New Roman" w:hAnsi="Times New Roman" w:cs="Times New Roman"/>
                <w:sz w:val="20"/>
                <w:szCs w:val="20"/>
              </w:rPr>
            </w:pPr>
            <w:r w:rsidRPr="009B1CD5">
              <w:rPr>
                <w:rFonts w:ascii="Times New Roman" w:hAnsi="Times New Roman" w:cs="Times New Roman"/>
                <w:sz w:val="20"/>
                <w:szCs w:val="20"/>
              </w:rPr>
              <w:t>2 (3</w:t>
            </w:r>
            <w:r w:rsidR="008021D1" w:rsidRPr="009B1CD5">
              <w:rPr>
                <w:rFonts w:ascii="Times New Roman" w:hAnsi="Times New Roman" w:cs="Times New Roman"/>
                <w:sz w:val="20"/>
                <w:szCs w:val="20"/>
              </w:rPr>
              <w:t>)</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4</w:t>
            </w:r>
            <w:r w:rsidR="008021D1" w:rsidRPr="009B1CD5">
              <w:rPr>
                <w:rFonts w:ascii="Times New Roman" w:hAnsi="Times New Roman" w:cs="Times New Roman"/>
                <w:sz w:val="20"/>
                <w:szCs w:val="20"/>
              </w:rPr>
              <w:t xml:space="preserve"> (5)</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2</w:t>
            </w:r>
            <w:r w:rsidR="008021D1" w:rsidRPr="009B1CD5">
              <w:rPr>
                <w:rFonts w:ascii="Times New Roman" w:hAnsi="Times New Roman" w:cs="Times New Roman"/>
                <w:sz w:val="20"/>
                <w:szCs w:val="20"/>
              </w:rPr>
              <w:t xml:space="preserve"> (3)</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2</w:t>
            </w:r>
            <w:r w:rsidR="008021D1" w:rsidRPr="009B1CD5">
              <w:rPr>
                <w:rFonts w:ascii="Times New Roman" w:hAnsi="Times New Roman" w:cs="Times New Roman"/>
                <w:sz w:val="20"/>
                <w:szCs w:val="20"/>
              </w:rPr>
              <w:t xml:space="preserve"> (3)</w:t>
            </w:r>
          </w:p>
        </w:tc>
      </w:tr>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i/>
                <w:sz w:val="20"/>
                <w:szCs w:val="20"/>
              </w:rPr>
            </w:pPr>
            <w:r w:rsidRPr="009B1CD5">
              <w:rPr>
                <w:rFonts w:ascii="Times New Roman" w:hAnsi="Times New Roman" w:cs="Times New Roman"/>
                <w:i/>
                <w:sz w:val="20"/>
                <w:szCs w:val="20"/>
              </w:rPr>
              <w:lastRenderedPageBreak/>
              <w:t>No menstrual bleeding during chemotherapy</w:t>
            </w:r>
          </w:p>
        </w:tc>
        <w:tc>
          <w:tcPr>
            <w:tcW w:w="1304" w:type="dxa"/>
          </w:tcPr>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2</w:t>
            </w:r>
            <w:r w:rsidR="008021D1" w:rsidRPr="009B1CD5">
              <w:rPr>
                <w:rFonts w:ascii="Times New Roman" w:hAnsi="Times New Roman" w:cs="Times New Roman"/>
                <w:sz w:val="20"/>
                <w:szCs w:val="20"/>
              </w:rPr>
              <w:t xml:space="preserve"> (3)</w:t>
            </w:r>
          </w:p>
        </w:tc>
      </w:tr>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i/>
                <w:sz w:val="20"/>
                <w:szCs w:val="20"/>
              </w:rPr>
            </w:pPr>
            <w:r w:rsidRPr="009B1CD5">
              <w:rPr>
                <w:rFonts w:ascii="Times New Roman" w:hAnsi="Times New Roman" w:cs="Times New Roman"/>
                <w:i/>
                <w:sz w:val="20"/>
                <w:szCs w:val="20"/>
              </w:rPr>
              <w:t>No clear definition</w:t>
            </w:r>
          </w:p>
        </w:tc>
        <w:tc>
          <w:tcPr>
            <w:tcW w:w="1304" w:type="dxa"/>
          </w:tcPr>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15</w:t>
            </w:r>
            <w:r w:rsidR="008021D1" w:rsidRPr="009B1CD5">
              <w:rPr>
                <w:rFonts w:ascii="Times New Roman" w:hAnsi="Times New Roman" w:cs="Times New Roman"/>
                <w:sz w:val="20"/>
                <w:szCs w:val="20"/>
              </w:rPr>
              <w:t xml:space="preserve"> (20)</w:t>
            </w:r>
          </w:p>
        </w:tc>
      </w:tr>
      <w:bookmarkEnd w:id="1"/>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i/>
                <w:sz w:val="20"/>
                <w:szCs w:val="20"/>
              </w:rPr>
            </w:pPr>
            <w:r w:rsidRPr="009B1CD5">
              <w:rPr>
                <w:rFonts w:ascii="Times New Roman" w:hAnsi="Times New Roman" w:cs="Times New Roman"/>
                <w:i/>
                <w:sz w:val="20"/>
                <w:szCs w:val="20"/>
              </w:rPr>
              <w:t>Laboratory criteria</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Rise of gonadotropins</w:t>
            </w:r>
          </w:p>
        </w:tc>
        <w:tc>
          <w:tcPr>
            <w:tcW w:w="1304" w:type="dxa"/>
          </w:tcPr>
          <w:p w:rsidR="00ED6EC6" w:rsidRPr="009B1CD5" w:rsidRDefault="00ED6EC6" w:rsidP="00513B43">
            <w:pPr>
              <w:spacing w:after="200"/>
              <w:rPr>
                <w:rFonts w:ascii="Times New Roman" w:hAnsi="Times New Roman" w:cs="Times New Roman"/>
                <w:sz w:val="20"/>
                <w:szCs w:val="20"/>
              </w:rPr>
            </w:pPr>
          </w:p>
          <w:p w:rsidR="00ED6EC6" w:rsidRPr="009B1CD5" w:rsidRDefault="006E6117" w:rsidP="00513B43">
            <w:pPr>
              <w:spacing w:after="200"/>
              <w:rPr>
                <w:rFonts w:ascii="Times New Roman" w:hAnsi="Times New Roman" w:cs="Times New Roman"/>
                <w:sz w:val="20"/>
                <w:szCs w:val="20"/>
              </w:rPr>
            </w:pPr>
            <w:r w:rsidRPr="009B1CD5">
              <w:rPr>
                <w:rFonts w:ascii="Times New Roman" w:hAnsi="Times New Roman" w:cs="Times New Roman"/>
                <w:sz w:val="20"/>
                <w:szCs w:val="20"/>
              </w:rPr>
              <w:t>3 (4</w:t>
            </w:r>
            <w:r w:rsidR="008021D1" w:rsidRPr="009B1CD5">
              <w:rPr>
                <w:rFonts w:ascii="Times New Roman" w:hAnsi="Times New Roman" w:cs="Times New Roman"/>
                <w:sz w:val="20"/>
                <w:szCs w:val="20"/>
              </w:rPr>
              <w:t>)</w:t>
            </w:r>
          </w:p>
        </w:tc>
      </w:tr>
      <w:tr w:rsidR="008021D1" w:rsidRPr="009B1CD5" w:rsidTr="00513B43">
        <w:trPr>
          <w:trHeight w:val="145"/>
        </w:trPr>
        <w:tc>
          <w:tcPr>
            <w:tcW w:w="10154" w:type="dxa"/>
          </w:tcPr>
          <w:p w:rsidR="00ED6EC6" w:rsidRPr="009B1CD5" w:rsidRDefault="00ED6EC6" w:rsidP="00513B43">
            <w:pPr>
              <w:spacing w:after="200"/>
              <w:rPr>
                <w:rFonts w:ascii="Times New Roman" w:hAnsi="Times New Roman" w:cs="Times New Roman"/>
                <w:i/>
                <w:sz w:val="20"/>
                <w:szCs w:val="20"/>
              </w:rPr>
            </w:pPr>
            <w:r w:rsidRPr="009B1CD5">
              <w:rPr>
                <w:rFonts w:ascii="Times New Roman" w:hAnsi="Times New Roman" w:cs="Times New Roman"/>
                <w:i/>
                <w:sz w:val="20"/>
                <w:szCs w:val="20"/>
              </w:rPr>
              <w:t>Recovery</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 recovery of menstrual bleeding</w:t>
            </w: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 xml:space="preserve">   Not included in the definition</w:t>
            </w:r>
          </w:p>
        </w:tc>
        <w:tc>
          <w:tcPr>
            <w:tcW w:w="1304" w:type="dxa"/>
          </w:tcPr>
          <w:p w:rsidR="00ED6EC6" w:rsidRPr="009B1CD5" w:rsidRDefault="00ED6EC6" w:rsidP="00513B43">
            <w:pPr>
              <w:spacing w:after="200"/>
              <w:rPr>
                <w:rFonts w:ascii="Times New Roman" w:hAnsi="Times New Roman" w:cs="Times New Roman"/>
                <w:sz w:val="20"/>
                <w:szCs w:val="20"/>
              </w:rPr>
            </w:pPr>
          </w:p>
          <w:p w:rsidR="00ED6EC6" w:rsidRPr="009B1CD5" w:rsidRDefault="00ED6EC6" w:rsidP="00513B43">
            <w:pPr>
              <w:spacing w:after="200"/>
              <w:rPr>
                <w:rFonts w:ascii="Times New Roman" w:hAnsi="Times New Roman" w:cs="Times New Roman"/>
                <w:sz w:val="20"/>
                <w:szCs w:val="20"/>
              </w:rPr>
            </w:pPr>
            <w:r w:rsidRPr="009B1CD5">
              <w:rPr>
                <w:rFonts w:ascii="Times New Roman" w:hAnsi="Times New Roman" w:cs="Times New Roman"/>
                <w:sz w:val="20"/>
                <w:szCs w:val="20"/>
              </w:rPr>
              <w:t>5</w:t>
            </w:r>
            <w:r w:rsidR="008021D1" w:rsidRPr="009B1CD5">
              <w:rPr>
                <w:rFonts w:ascii="Times New Roman" w:hAnsi="Times New Roman" w:cs="Times New Roman"/>
                <w:sz w:val="20"/>
                <w:szCs w:val="20"/>
              </w:rPr>
              <w:t xml:space="preserve"> (7)</w:t>
            </w:r>
          </w:p>
          <w:p w:rsidR="00ED6EC6" w:rsidRPr="009B1CD5" w:rsidRDefault="006E6117" w:rsidP="00513B43">
            <w:pPr>
              <w:spacing w:after="200"/>
              <w:rPr>
                <w:rFonts w:ascii="Times New Roman" w:hAnsi="Times New Roman" w:cs="Times New Roman"/>
                <w:sz w:val="20"/>
                <w:szCs w:val="20"/>
              </w:rPr>
            </w:pPr>
            <w:r w:rsidRPr="009B1CD5">
              <w:rPr>
                <w:rFonts w:ascii="Times New Roman" w:hAnsi="Times New Roman" w:cs="Times New Roman"/>
                <w:sz w:val="20"/>
                <w:szCs w:val="20"/>
              </w:rPr>
              <w:t>70 (93</w:t>
            </w:r>
            <w:r w:rsidR="008021D1" w:rsidRPr="009B1CD5">
              <w:rPr>
                <w:rFonts w:ascii="Times New Roman" w:hAnsi="Times New Roman" w:cs="Times New Roman"/>
                <w:sz w:val="20"/>
                <w:szCs w:val="20"/>
              </w:rPr>
              <w:t>)</w:t>
            </w:r>
          </w:p>
        </w:tc>
      </w:tr>
    </w:tbl>
    <w:p w:rsidR="00ED6EC6" w:rsidRPr="00ED6EC6" w:rsidRDefault="00ED6EC6" w:rsidP="00ED6EC6">
      <w:pPr>
        <w:rPr>
          <w:rFonts w:ascii="Arial" w:hAnsi="Arial" w:cs="Arial"/>
          <w:b/>
          <w:sz w:val="24"/>
        </w:rPr>
      </w:pPr>
    </w:p>
    <w:sectPr w:rsidR="00ED6EC6" w:rsidRPr="00ED6EC6" w:rsidSect="00513B4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C5" w:rsidRDefault="002F78C5" w:rsidP="00513B43">
      <w:pPr>
        <w:spacing w:after="0" w:line="240" w:lineRule="auto"/>
      </w:pPr>
      <w:r>
        <w:separator/>
      </w:r>
    </w:p>
  </w:endnote>
  <w:endnote w:type="continuationSeparator" w:id="0">
    <w:p w:rsidR="002F78C5" w:rsidRDefault="002F78C5" w:rsidP="0051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16566"/>
      <w:docPartObj>
        <w:docPartGallery w:val="Page Numbers (Bottom of Page)"/>
        <w:docPartUnique/>
      </w:docPartObj>
    </w:sdtPr>
    <w:sdtEndPr>
      <w:rPr>
        <w:noProof/>
      </w:rPr>
    </w:sdtEndPr>
    <w:sdtContent>
      <w:p w:rsidR="000A0756" w:rsidRDefault="000A0756">
        <w:pPr>
          <w:pStyle w:val="Footer"/>
          <w:jc w:val="right"/>
        </w:pPr>
        <w:r>
          <w:fldChar w:fldCharType="begin"/>
        </w:r>
        <w:r>
          <w:instrText xml:space="preserve"> PAGE   \* MERGEFORMAT </w:instrText>
        </w:r>
        <w:r>
          <w:fldChar w:fldCharType="separate"/>
        </w:r>
        <w:r w:rsidR="00F61AA7">
          <w:rPr>
            <w:noProof/>
          </w:rPr>
          <w:t>1</w:t>
        </w:r>
        <w:r>
          <w:rPr>
            <w:noProof/>
          </w:rPr>
          <w:fldChar w:fldCharType="end"/>
        </w:r>
      </w:p>
    </w:sdtContent>
  </w:sdt>
  <w:p w:rsidR="000A0756" w:rsidRDefault="000A0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C5" w:rsidRDefault="002F78C5" w:rsidP="00513B43">
      <w:pPr>
        <w:spacing w:after="0" w:line="240" w:lineRule="auto"/>
      </w:pPr>
      <w:r>
        <w:separator/>
      </w:r>
    </w:p>
  </w:footnote>
  <w:footnote w:type="continuationSeparator" w:id="0">
    <w:p w:rsidR="002F78C5" w:rsidRDefault="002F78C5" w:rsidP="00513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9FF"/>
    <w:multiLevelType w:val="hybridMultilevel"/>
    <w:tmpl w:val="4C40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A1A33"/>
    <w:multiLevelType w:val="hybridMultilevel"/>
    <w:tmpl w:val="C1EC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F3244"/>
    <w:multiLevelType w:val="hybridMultilevel"/>
    <w:tmpl w:val="8A62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C6"/>
    <w:rsid w:val="00013625"/>
    <w:rsid w:val="00013EF2"/>
    <w:rsid w:val="000A0756"/>
    <w:rsid w:val="000D202E"/>
    <w:rsid w:val="001D5428"/>
    <w:rsid w:val="00263DA5"/>
    <w:rsid w:val="00277CF6"/>
    <w:rsid w:val="002A3AE5"/>
    <w:rsid w:val="002C553E"/>
    <w:rsid w:val="002D1C88"/>
    <w:rsid w:val="002E06CE"/>
    <w:rsid w:val="002F78C5"/>
    <w:rsid w:val="00452156"/>
    <w:rsid w:val="004C16ED"/>
    <w:rsid w:val="004D5C76"/>
    <w:rsid w:val="004F15C7"/>
    <w:rsid w:val="00513B43"/>
    <w:rsid w:val="005830CE"/>
    <w:rsid w:val="005E0F65"/>
    <w:rsid w:val="00631878"/>
    <w:rsid w:val="006C5C57"/>
    <w:rsid w:val="006E6117"/>
    <w:rsid w:val="007159A9"/>
    <w:rsid w:val="00735F9A"/>
    <w:rsid w:val="00776FC4"/>
    <w:rsid w:val="00790AE4"/>
    <w:rsid w:val="008021D1"/>
    <w:rsid w:val="00830497"/>
    <w:rsid w:val="00936946"/>
    <w:rsid w:val="009B1CD5"/>
    <w:rsid w:val="009D062D"/>
    <w:rsid w:val="00AD54DE"/>
    <w:rsid w:val="00B40EF2"/>
    <w:rsid w:val="00B86075"/>
    <w:rsid w:val="00B95D2B"/>
    <w:rsid w:val="00BC285F"/>
    <w:rsid w:val="00C11348"/>
    <w:rsid w:val="00C955CB"/>
    <w:rsid w:val="00CB271B"/>
    <w:rsid w:val="00CB4185"/>
    <w:rsid w:val="00D04A8A"/>
    <w:rsid w:val="00D2198E"/>
    <w:rsid w:val="00D85C5B"/>
    <w:rsid w:val="00DA2041"/>
    <w:rsid w:val="00DA5E52"/>
    <w:rsid w:val="00E57588"/>
    <w:rsid w:val="00E85AC4"/>
    <w:rsid w:val="00EC3D95"/>
    <w:rsid w:val="00ED6EC6"/>
    <w:rsid w:val="00EF640F"/>
    <w:rsid w:val="00F56DCF"/>
    <w:rsid w:val="00F61AA7"/>
    <w:rsid w:val="00F64D03"/>
    <w:rsid w:val="00F7651E"/>
    <w:rsid w:val="00F81662"/>
    <w:rsid w:val="00FA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C6"/>
    <w:pPr>
      <w:ind w:left="720"/>
      <w:contextualSpacing/>
    </w:pPr>
  </w:style>
  <w:style w:type="table" w:styleId="TableGrid">
    <w:name w:val="Table Grid"/>
    <w:basedOn w:val="TableNormal"/>
    <w:uiPriority w:val="59"/>
    <w:rsid w:val="00ED6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3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43"/>
  </w:style>
  <w:style w:type="paragraph" w:styleId="Footer">
    <w:name w:val="footer"/>
    <w:basedOn w:val="Normal"/>
    <w:link w:val="FooterChar"/>
    <w:uiPriority w:val="99"/>
    <w:unhideWhenUsed/>
    <w:rsid w:val="00513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C6"/>
    <w:pPr>
      <w:ind w:left="720"/>
      <w:contextualSpacing/>
    </w:pPr>
  </w:style>
  <w:style w:type="table" w:styleId="TableGrid">
    <w:name w:val="Table Grid"/>
    <w:basedOn w:val="TableNormal"/>
    <w:uiPriority w:val="59"/>
    <w:rsid w:val="00ED6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3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43"/>
  </w:style>
  <w:style w:type="paragraph" w:styleId="Footer">
    <w:name w:val="footer"/>
    <w:basedOn w:val="Normal"/>
    <w:link w:val="FooterChar"/>
    <w:uiPriority w:val="99"/>
    <w:unhideWhenUsed/>
    <w:rsid w:val="00513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Valachis</dc:creator>
  <cp:keywords/>
  <dc:description/>
  <cp:lastModifiedBy>Antonis Valachis</cp:lastModifiedBy>
  <cp:revision>3</cp:revision>
  <dcterms:created xsi:type="dcterms:W3CDTF">2015-11-07T20:51:00Z</dcterms:created>
  <dcterms:modified xsi:type="dcterms:W3CDTF">2016-02-13T14:13:00Z</dcterms:modified>
</cp:coreProperties>
</file>