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86F" w:rsidRPr="00BF086F" w:rsidRDefault="00BF086F" w:rsidP="00BF086F">
      <w:pPr>
        <w:pStyle w:val="Overskrift2"/>
        <w:rPr>
          <w:lang w:val="en-US"/>
        </w:rPr>
      </w:pPr>
      <w:r w:rsidRPr="00BF086F">
        <w:rPr>
          <w:lang w:val="en-US"/>
        </w:rPr>
        <w:t>Supplementary material</w:t>
      </w:r>
    </w:p>
    <w:p w:rsidR="00BF086F" w:rsidRDefault="00BF086F" w:rsidP="00BF086F">
      <w:pPr>
        <w:rPr>
          <w:lang w:val="en-US"/>
        </w:rPr>
      </w:pPr>
    </w:p>
    <w:p w:rsidR="00BF086F" w:rsidRDefault="00BF086F" w:rsidP="00BF086F">
      <w:pPr>
        <w:rPr>
          <w:lang w:val="en-US"/>
        </w:rPr>
      </w:pPr>
    </w:p>
    <w:p w:rsidR="00BF086F" w:rsidRPr="00BF086F" w:rsidRDefault="00BF086F" w:rsidP="00BF086F">
      <w:pPr>
        <w:pStyle w:val="Overskrift3"/>
        <w:rPr>
          <w:lang w:val="en-US"/>
        </w:rPr>
      </w:pPr>
      <w:r w:rsidRPr="00BF086F">
        <w:rPr>
          <w:lang w:val="en-US"/>
        </w:rPr>
        <w:t>Inclusion and exclusio</w:t>
      </w:r>
      <w:bookmarkStart w:id="0" w:name="_GoBack"/>
      <w:bookmarkEnd w:id="0"/>
      <w:r w:rsidRPr="00BF086F">
        <w:rPr>
          <w:lang w:val="en-US"/>
        </w:rPr>
        <w:t>n criteria for the DBCG 89 TM program were:</w:t>
      </w:r>
    </w:p>
    <w:p w:rsidR="00BF086F" w:rsidRPr="00ED6303" w:rsidRDefault="00BF086F" w:rsidP="00BF086F">
      <w:pPr>
        <w:spacing w:line="360" w:lineRule="auto"/>
        <w:rPr>
          <w:lang w:val="en-US"/>
        </w:rPr>
      </w:pPr>
      <w:r>
        <w:rPr>
          <w:b/>
          <w:lang w:val="en-US"/>
        </w:rPr>
        <w:t>I</w:t>
      </w:r>
      <w:r w:rsidRPr="00ED6303">
        <w:rPr>
          <w:b/>
          <w:lang w:val="en-US"/>
        </w:rPr>
        <w:t>nclusion</w:t>
      </w:r>
      <w:r w:rsidRPr="00ED6303">
        <w:rPr>
          <w:lang w:val="en-US"/>
        </w:rPr>
        <w:t>:</w:t>
      </w:r>
    </w:p>
    <w:p w:rsidR="00BF086F" w:rsidRPr="00CF7F6A" w:rsidRDefault="00BF086F" w:rsidP="00BF086F">
      <w:pPr>
        <w:pStyle w:val="Listeafsnit"/>
        <w:numPr>
          <w:ilvl w:val="0"/>
          <w:numId w:val="2"/>
        </w:numPr>
        <w:spacing w:line="360" w:lineRule="auto"/>
      </w:pPr>
      <w:r w:rsidRPr="00CF7F6A">
        <w:t xml:space="preserve">Primary </w:t>
      </w:r>
      <w:r>
        <w:t xml:space="preserve">invasive </w:t>
      </w:r>
      <w:r w:rsidRPr="00CF7F6A">
        <w:t xml:space="preserve">breast cancer </w:t>
      </w:r>
    </w:p>
    <w:p w:rsidR="00BF086F" w:rsidRDefault="00BF086F" w:rsidP="00BF086F">
      <w:pPr>
        <w:pStyle w:val="Listeafsnit"/>
        <w:numPr>
          <w:ilvl w:val="0"/>
          <w:numId w:val="2"/>
        </w:numPr>
        <w:spacing w:line="360" w:lineRule="auto"/>
      </w:pPr>
      <w:r w:rsidRPr="00CF7F6A">
        <w:t>Age &lt;70 years</w:t>
      </w:r>
    </w:p>
    <w:p w:rsidR="00BF086F" w:rsidRPr="005C0375" w:rsidRDefault="00BF086F" w:rsidP="00BF086F">
      <w:pPr>
        <w:pStyle w:val="Listeafsnit"/>
        <w:numPr>
          <w:ilvl w:val="0"/>
          <w:numId w:val="2"/>
        </w:numPr>
        <w:spacing w:line="360" w:lineRule="auto"/>
      </w:pPr>
      <w:r w:rsidRPr="005C0375">
        <w:t>A good cosmetic result is obtainable</w:t>
      </w:r>
    </w:p>
    <w:p w:rsidR="00BF086F" w:rsidRPr="005C0375" w:rsidRDefault="00BF086F" w:rsidP="00BF086F">
      <w:pPr>
        <w:pStyle w:val="Listeafsnit"/>
        <w:numPr>
          <w:ilvl w:val="0"/>
          <w:numId w:val="2"/>
        </w:numPr>
        <w:spacing w:line="360" w:lineRule="auto"/>
      </w:pPr>
      <w:r w:rsidRPr="005C0375">
        <w:t>10 mm macroscopic and 5 mm microscopic resection margin is achievable</w:t>
      </w:r>
    </w:p>
    <w:p w:rsidR="00BF086F" w:rsidRPr="005C0375" w:rsidRDefault="00BF086F" w:rsidP="00BF086F">
      <w:pPr>
        <w:pStyle w:val="Listeafsnit"/>
        <w:numPr>
          <w:ilvl w:val="0"/>
          <w:numId w:val="2"/>
        </w:numPr>
        <w:spacing w:line="360" w:lineRule="auto"/>
      </w:pPr>
      <w:r w:rsidRPr="005C0375">
        <w:t>The patient accepts post-operative radiation therapy</w:t>
      </w:r>
    </w:p>
    <w:p w:rsidR="00BF086F" w:rsidRPr="005C0375" w:rsidRDefault="00BF086F" w:rsidP="00BF086F">
      <w:pPr>
        <w:pStyle w:val="Listeafsnit"/>
        <w:spacing w:line="360" w:lineRule="auto"/>
      </w:pPr>
    </w:p>
    <w:p w:rsidR="00BF086F" w:rsidRPr="005C0375" w:rsidRDefault="00BF086F" w:rsidP="00BF086F">
      <w:pPr>
        <w:rPr>
          <w:b/>
        </w:rPr>
      </w:pPr>
      <w:proofErr w:type="spellStart"/>
      <w:r w:rsidRPr="005C0375">
        <w:rPr>
          <w:b/>
        </w:rPr>
        <w:t>Exclusion</w:t>
      </w:r>
      <w:proofErr w:type="spellEnd"/>
      <w:r w:rsidRPr="005C0375">
        <w:rPr>
          <w:b/>
        </w:rPr>
        <w:t>:</w:t>
      </w:r>
    </w:p>
    <w:p w:rsidR="00BF086F" w:rsidRPr="005C0375" w:rsidRDefault="00BF086F" w:rsidP="00BF086F">
      <w:pPr>
        <w:pStyle w:val="Listeafsnit"/>
        <w:numPr>
          <w:ilvl w:val="0"/>
          <w:numId w:val="1"/>
        </w:numPr>
        <w:spacing w:line="360" w:lineRule="auto"/>
      </w:pPr>
      <w:r w:rsidRPr="005C0375">
        <w:t>Metastatic disease at the time of diagnosis</w:t>
      </w:r>
    </w:p>
    <w:p w:rsidR="00BF086F" w:rsidRPr="00CF7F6A" w:rsidRDefault="00BF086F" w:rsidP="00BF086F">
      <w:pPr>
        <w:pStyle w:val="Listeafsnit"/>
        <w:numPr>
          <w:ilvl w:val="0"/>
          <w:numId w:val="1"/>
        </w:numPr>
        <w:spacing w:line="360" w:lineRule="auto"/>
      </w:pPr>
      <w:r w:rsidRPr="00CF7F6A">
        <w:t>Bilateral breast cancer</w:t>
      </w:r>
    </w:p>
    <w:p w:rsidR="00BF086F" w:rsidRPr="00CF7F6A" w:rsidRDefault="00BF086F" w:rsidP="00BF086F">
      <w:pPr>
        <w:pStyle w:val="Listeafsnit"/>
        <w:numPr>
          <w:ilvl w:val="0"/>
          <w:numId w:val="1"/>
        </w:numPr>
        <w:spacing w:line="360" w:lineRule="auto"/>
      </w:pPr>
      <w:r w:rsidRPr="00CF7F6A">
        <w:t>Previous breast cancer</w:t>
      </w:r>
    </w:p>
    <w:p w:rsidR="00BF086F" w:rsidRPr="005C0375" w:rsidRDefault="00BF086F" w:rsidP="00BF086F">
      <w:pPr>
        <w:pStyle w:val="Listeafsnit"/>
        <w:numPr>
          <w:ilvl w:val="0"/>
          <w:numId w:val="1"/>
        </w:numPr>
        <w:spacing w:line="360" w:lineRule="auto"/>
      </w:pPr>
      <w:r w:rsidRPr="005C0375">
        <w:t>Inflammatory breast cancer and Paget’s disease of the nipple</w:t>
      </w:r>
    </w:p>
    <w:p w:rsidR="00BF086F" w:rsidRPr="005C0375" w:rsidRDefault="00BF086F" w:rsidP="00BF086F">
      <w:pPr>
        <w:pStyle w:val="Listeafsnit"/>
        <w:numPr>
          <w:ilvl w:val="0"/>
          <w:numId w:val="1"/>
        </w:numPr>
        <w:spacing w:line="360" w:lineRule="auto"/>
      </w:pPr>
      <w:r w:rsidRPr="005C0375">
        <w:t>Prior malignant disease apart from non-melanoma skin tumors or in situ cervix cancer</w:t>
      </w:r>
    </w:p>
    <w:p w:rsidR="00BF086F" w:rsidRDefault="00BF086F" w:rsidP="00BF086F">
      <w:pPr>
        <w:pStyle w:val="Overskrift3"/>
        <w:rPr>
          <w:lang w:val="en-US"/>
        </w:rPr>
      </w:pPr>
    </w:p>
    <w:p w:rsidR="00BF086F" w:rsidRPr="00BF086F" w:rsidRDefault="00BF086F" w:rsidP="00BF086F">
      <w:pPr>
        <w:pStyle w:val="Overskrift3"/>
        <w:rPr>
          <w:lang w:val="en-US"/>
        </w:rPr>
      </w:pPr>
      <w:r w:rsidRPr="00BF086F">
        <w:rPr>
          <w:lang w:val="en-US"/>
        </w:rPr>
        <w:t>Assessment of histological type and grade:</w:t>
      </w:r>
    </w:p>
    <w:p w:rsidR="00BF086F" w:rsidRDefault="00BF086F" w:rsidP="00BF086F">
      <w:pPr>
        <w:spacing w:before="240" w:after="0" w:line="360" w:lineRule="auto"/>
        <w:rPr>
          <w:lang w:val="en-US"/>
        </w:rPr>
      </w:pPr>
      <w:r>
        <w:rPr>
          <w:lang w:val="en-US"/>
        </w:rPr>
        <w:t xml:space="preserve">The WHO classification was used to define the tumor histological type </w:t>
      </w:r>
      <w:r>
        <w:rPr>
          <w:lang w:val="en-US"/>
        </w:rPr>
        <w:fldChar w:fldCharType="begin"/>
      </w:r>
      <w:r>
        <w:rPr>
          <w:lang w:val="en-US"/>
        </w:rPr>
        <w:instrText xml:space="preserve"> ADDIN REFMGR.CITE &lt;Refman&gt;&lt;Cite&gt;&lt;Year&gt;1982&lt;/Year&gt;&lt;RecNum&gt;308&lt;/RecNum&gt;&lt;IDText&gt;[Histological typing of breast tumors. Second edition. World Health Organization. Geneva, 1981]&lt;/IDText&gt;&lt;MDL Ref_Type="Journal"&gt;&lt;Ref_Type&gt;Journal&lt;/Ref_Type&gt;&lt;Ref_ID&gt;308&lt;/Ref_ID&gt;&lt;Title_Primary&gt;[Histological typing of breast tumors. Second edition. World Health Organization. Geneva, 1981]&lt;/Title_Primary&gt;&lt;Date_Primary&gt;1982&lt;/Date_Primary&gt;&lt;Reprint&gt;Not in File&lt;/Reprint&gt;&lt;Start_Page&gt;91&lt;/Start_Page&gt;&lt;End_Page&gt;105&lt;/End_Page&gt;&lt;Periodical&gt;Ann.Pathol.&lt;/Periodical&gt;&lt;Volume&gt;2&lt;/Volume&gt;&lt;Issue&gt;2&lt;/Issue&gt;&lt;Web_URL&gt;PM:7104074&lt;/Web_URL&gt;&lt;ZZ_JournalStdAbbrev&gt;&lt;f name="System"&gt;Ann.Pathol.&lt;/f&gt;&lt;/ZZ_JournalStdAbbrev&gt;&lt;ZZ_WorkformID&gt;1&lt;/ZZ_WorkformID&gt;&lt;/MDL&gt;&lt;/Cite&gt;&lt;/Refman&gt;</w:instrText>
      </w:r>
      <w:r>
        <w:rPr>
          <w:lang w:val="en-US"/>
        </w:rPr>
        <w:fldChar w:fldCharType="separate"/>
      </w:r>
      <w:r>
        <w:rPr>
          <w:noProof/>
          <w:lang w:val="en-US"/>
        </w:rPr>
        <w:t>[24]</w:t>
      </w:r>
      <w:r>
        <w:rPr>
          <w:lang w:val="en-US"/>
        </w:rPr>
        <w:fldChar w:fldCharType="end"/>
      </w:r>
      <w:r>
        <w:rPr>
          <w:lang w:val="en-US"/>
        </w:rPr>
        <w:t xml:space="preserve">, and the method of Bloom and Richardson, modified by </w:t>
      </w:r>
      <w:proofErr w:type="spellStart"/>
      <w:r>
        <w:rPr>
          <w:lang w:val="en-US"/>
        </w:rPr>
        <w:t>Elston</w:t>
      </w:r>
      <w:proofErr w:type="spellEnd"/>
      <w:r>
        <w:rPr>
          <w:lang w:val="en-US"/>
        </w:rPr>
        <w:t xml:space="preserve"> and Ellis </w:t>
      </w:r>
      <w:r>
        <w:rPr>
          <w:lang w:val="en-US"/>
        </w:rPr>
        <w:fldChar w:fldCharType="begin"/>
      </w:r>
      <w:r>
        <w:rPr>
          <w:lang w:val="en-US"/>
        </w:rPr>
        <w:instrText xml:space="preserve"> ADDIN REFMGR.CITE &lt;Refman&gt;&lt;Cite&gt;&lt;Author&gt;Elston&lt;/Author&gt;&lt;Year&gt;2002&lt;/Year&gt;&lt;RecNum&gt;309&lt;/RecNum&gt;&lt;IDText&gt;Pathological prognostic factors in breast cancer. I. The value of histological grade in breast cancer: experience from a large study with long-term follow-up. C. W. Elston &amp;amp; I. O. Ellis. Histopathology 1991; 19; 403-410&lt;/IDText&gt;&lt;MDL Ref_Type="Journal"&gt;&lt;Ref_Type&gt;Journal&lt;/Ref_Type&gt;&lt;Ref_ID&gt;309&lt;/Ref_ID&gt;&lt;Title_Primary&gt;Pathological prognostic factors in breast cancer. I. The value of histological grade in breast cancer: experience from a large study with long-term follow-up. C. W. Elston &amp;amp; I. O. Ellis. Histopathology 1991; 19; 403-410&lt;/Title_Primary&gt;&lt;Authors_Primary&gt;Elston,C.W.&lt;/Authors_Primary&gt;&lt;Authors_Primary&gt;Ellis,I.O.&lt;/Authors_Primary&gt;&lt;Date_Primary&gt;2002/9&lt;/Date_Primary&gt;&lt;Reprint&gt;Not in File&lt;/Reprint&gt;&lt;Start_Page&gt;151&lt;/Start_Page&gt;&lt;End_Page&gt;2, discussion&lt;/End_Page&gt;&lt;Periodical&gt;Histopathology&lt;/Periodical&gt;&lt;Volume&gt;41&lt;/Volume&gt;&lt;Issue&gt;3A&lt;/Issue&gt;&lt;Address&gt;Department of Histopathology, Nottingham City Hospital NHS Trust, Nottingham, UK&lt;/Address&gt;&lt;Web_URL&gt;PM:12405945&lt;/Web_URL&gt;&lt;ZZ_JournalStdAbbrev&gt;&lt;f name="System"&gt;Histopathology&lt;/f&gt;&lt;/ZZ_JournalStdAbbrev&gt;&lt;ZZ_WorkformID&gt;1&lt;/ZZ_WorkformID&gt;&lt;/MDL&gt;&lt;/Cite&gt;&lt;/Refman&gt;</w:instrText>
      </w:r>
      <w:r>
        <w:rPr>
          <w:lang w:val="en-US"/>
        </w:rPr>
        <w:fldChar w:fldCharType="separate"/>
      </w:r>
      <w:r>
        <w:rPr>
          <w:noProof/>
          <w:lang w:val="en-US"/>
        </w:rPr>
        <w:t>[25]</w:t>
      </w:r>
      <w:r>
        <w:rPr>
          <w:lang w:val="en-US"/>
        </w:rPr>
        <w:fldChar w:fldCharType="end"/>
      </w:r>
      <w:r>
        <w:rPr>
          <w:lang w:val="en-US"/>
        </w:rPr>
        <w:t xml:space="preserve">, was used for assessing tumor grade. </w:t>
      </w:r>
    </w:p>
    <w:p w:rsidR="00BF086F" w:rsidRPr="00BF086F" w:rsidRDefault="00BF086F" w:rsidP="00BF086F">
      <w:pPr>
        <w:pStyle w:val="Overskrift3"/>
        <w:rPr>
          <w:lang w:val="en-US"/>
        </w:rPr>
      </w:pPr>
      <w:r w:rsidRPr="00BF086F">
        <w:rPr>
          <w:lang w:val="en-US"/>
        </w:rPr>
        <w:t xml:space="preserve">Assessment of estrogen receptor status: </w:t>
      </w:r>
    </w:p>
    <w:p w:rsidR="00BF086F" w:rsidRDefault="00BF086F" w:rsidP="00BF086F">
      <w:pPr>
        <w:spacing w:before="240" w:after="0" w:line="360" w:lineRule="auto"/>
        <w:rPr>
          <w:lang w:val="en-US"/>
        </w:rPr>
      </w:pPr>
      <w:r>
        <w:rPr>
          <w:lang w:val="en-US"/>
        </w:rPr>
        <w:t xml:space="preserve">A tumor was considered to be ER-positive if at least 10% of the invasive tumor cells showed a detectable nuclear staining </w:t>
      </w:r>
      <w:r>
        <w:rPr>
          <w:lang w:val="en-US"/>
        </w:rPr>
        <w:fldChar w:fldCharType="begin"/>
      </w:r>
      <w:r>
        <w:rPr>
          <w:lang w:val="en-US"/>
        </w:rPr>
        <w:instrText xml:space="preserve"> ADDIN REFMGR.CITE &lt;Refman&gt;&lt;Cite&gt;&lt;Author&gt;Talman&lt;/Author&gt;&lt;Year&gt;2008&lt;/Year&gt;&lt;RecNum&gt;310&lt;/RecNum&gt;&lt;IDText&gt;Estrogen Receptor analyses in the Danish Breast Cancer Cooperative Group. History, methods, prognosis and clinical implications&lt;/IDText&gt;&lt;MDL Ref_Type="Journal"&gt;&lt;Ref_Type&gt;Journal&lt;/Ref_Type&gt;&lt;Ref_ID&gt;310&lt;/Ref_ID&gt;&lt;Title_Primary&gt;Estrogen Receptor analyses in the Danish Breast Cancer Cooperative Group. History, methods, prognosis and clinical implications&lt;/Title_Primary&gt;&lt;Authors_Primary&gt;Talman,M.L.&lt;/Authors_Primary&gt;&lt;Authors_Primary&gt;Rasmussen,B.B.&lt;/Authors_Primary&gt;&lt;Authors_Primary&gt;Andersen,J.&lt;/Authors_Primary&gt;&lt;Authors_Primary&gt;Christensen,I.J.&lt;/Authors_Primary&gt;&lt;Date_Primary&gt;2008&lt;/Date_Primary&gt;&lt;Reprint&gt;Not in File&lt;/Reprint&gt;&lt;Start_Page&gt;789&lt;/Start_Page&gt;&lt;End_Page&gt;794&lt;/End_Page&gt;&lt;Periodical&gt;Acta Oncol.&lt;/Periodical&gt;&lt;Volume&gt;47&lt;/Volume&gt;&lt;Issue&gt;4&lt;/Issue&gt;&lt;Address&gt;Department of Pathology, Nordsjaellands Hospital, Hillerod, Denmark&lt;/Address&gt;&lt;Web_URL&gt;PM:18465350&lt;/Web_URL&gt;&lt;ZZ_JournalFull&gt;&lt;f name="System"&gt;Acta Oncol.&lt;/f&gt;&lt;/ZZ_JournalFull&gt;&lt;ZZ_WorkformID&gt;1&lt;/ZZ_WorkformID&gt;&lt;/MDL&gt;&lt;/Cite&gt;&lt;/Refman&gt;</w:instrText>
      </w:r>
      <w:r>
        <w:rPr>
          <w:lang w:val="en-US"/>
        </w:rPr>
        <w:fldChar w:fldCharType="separate"/>
      </w:r>
      <w:r>
        <w:rPr>
          <w:noProof/>
          <w:lang w:val="en-US"/>
        </w:rPr>
        <w:t>[26]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</w:p>
    <w:p w:rsidR="00BF086F" w:rsidRDefault="00BF086F" w:rsidP="00BF086F">
      <w:pPr>
        <w:rPr>
          <w:lang w:val="en-US"/>
        </w:rPr>
      </w:pPr>
    </w:p>
    <w:p w:rsidR="00BF086F" w:rsidRPr="00BF086F" w:rsidRDefault="00BF086F" w:rsidP="00BF086F">
      <w:pPr>
        <w:pStyle w:val="Overskrift3"/>
        <w:rPr>
          <w:lang w:val="en-US"/>
        </w:rPr>
      </w:pPr>
      <w:r w:rsidRPr="00BF086F">
        <w:rPr>
          <w:lang w:val="en-US"/>
        </w:rPr>
        <w:t xml:space="preserve">Definition of menopausal status according to the DBCG: </w:t>
      </w:r>
    </w:p>
    <w:p w:rsidR="00BF086F" w:rsidRDefault="00BF086F" w:rsidP="00BF086F">
      <w:pPr>
        <w:spacing w:line="360" w:lineRule="auto"/>
        <w:outlineLvl w:val="0"/>
        <w:rPr>
          <w:lang w:val="en-US"/>
        </w:rPr>
      </w:pPr>
      <w:r>
        <w:rPr>
          <w:lang w:val="en-US"/>
        </w:rPr>
        <w:t xml:space="preserve">Patients were premenopausal if they did not meet the criteria for being post-menopausal (see below). Patients were postmenopausal if they had </w:t>
      </w:r>
      <w:proofErr w:type="spellStart"/>
      <w:r>
        <w:rPr>
          <w:lang w:val="en-US"/>
        </w:rPr>
        <w:t>menostasia</w:t>
      </w:r>
      <w:proofErr w:type="spellEnd"/>
      <w:r>
        <w:rPr>
          <w:lang w:val="en-US"/>
        </w:rPr>
        <w:t xml:space="preserve"> for 12 or more months, or had prior bilateral oophorectomy, or prior hysterectomy, or menstruation on cyclic hormonal therapy and were 50 years or </w:t>
      </w:r>
      <w:r>
        <w:rPr>
          <w:lang w:val="en-US"/>
        </w:rPr>
        <w:lastRenderedPageBreak/>
        <w:t xml:space="preserve">more. Patients with </w:t>
      </w:r>
      <w:proofErr w:type="spellStart"/>
      <w:r>
        <w:rPr>
          <w:lang w:val="en-US"/>
        </w:rPr>
        <w:t>menostasia</w:t>
      </w:r>
      <w:proofErr w:type="spellEnd"/>
      <w:r>
        <w:rPr>
          <w:lang w:val="en-US"/>
        </w:rPr>
        <w:t xml:space="preserve"> for 2-12 months were examined with blood test measuring FSH level to determine menopausal status.</w:t>
      </w:r>
    </w:p>
    <w:p w:rsidR="00BF086F" w:rsidRDefault="00BF086F" w:rsidP="00BF086F">
      <w:pPr>
        <w:spacing w:line="360" w:lineRule="auto"/>
        <w:rPr>
          <w:lang w:val="en-US"/>
        </w:rPr>
      </w:pPr>
    </w:p>
    <w:p w:rsidR="00BF086F" w:rsidRPr="00BF086F" w:rsidRDefault="00BF086F" w:rsidP="00BF086F">
      <w:pPr>
        <w:pStyle w:val="Overskrift3"/>
        <w:rPr>
          <w:lang w:val="en-US"/>
        </w:rPr>
      </w:pPr>
      <w:r w:rsidRPr="00BF086F">
        <w:rPr>
          <w:lang w:val="en-US"/>
        </w:rPr>
        <w:t>Details on the administration of adjuvant systemic treatment:</w:t>
      </w:r>
    </w:p>
    <w:p w:rsidR="00BF086F" w:rsidRDefault="00BF086F" w:rsidP="00BF086F">
      <w:pPr>
        <w:spacing w:line="360" w:lineRule="auto"/>
        <w:rPr>
          <w:lang w:val="en-US"/>
        </w:rPr>
      </w:pPr>
      <w:r>
        <w:rPr>
          <w:lang w:val="en-US"/>
        </w:rPr>
        <w:t xml:space="preserve">Group A received no adjuvant systemic treatment. </w:t>
      </w:r>
    </w:p>
    <w:p w:rsidR="00BF086F" w:rsidRPr="00FB121D" w:rsidRDefault="00BF086F" w:rsidP="00BF086F">
      <w:pPr>
        <w:spacing w:line="360" w:lineRule="auto"/>
        <w:rPr>
          <w:lang w:val="en-US"/>
        </w:rPr>
      </w:pPr>
      <w:r>
        <w:rPr>
          <w:lang w:val="en-US"/>
        </w:rPr>
        <w:t xml:space="preserve">Group B received CMF-chemotherapy (Cyclophosphamide, Methotrexate, 5-Fluorouracil), 9 cycles given intravenously on day one, every third week, or ovarian ablation either by surgery or irradiation. From 1998 onwards a third treatment arm containing chemotherapy CEF (Cyclophosphamide, </w:t>
      </w:r>
      <w:proofErr w:type="spellStart"/>
      <w:r>
        <w:rPr>
          <w:lang w:val="en-US"/>
        </w:rPr>
        <w:t>Epirubicin</w:t>
      </w:r>
      <w:proofErr w:type="spellEnd"/>
      <w:r>
        <w:rPr>
          <w:lang w:val="en-US"/>
        </w:rPr>
        <w:t xml:space="preserve">, 5-Fluorouracil) 9 cycles given intravenously on day one, every third week + Tamoxifen for 5 years was introduced in this group. </w:t>
      </w:r>
      <w:r w:rsidRPr="00FB121D">
        <w:rPr>
          <w:lang w:val="en-US"/>
        </w:rPr>
        <w:t>CMF was given in doses of 600/40/600 mg/m², and CEF in doses of 600/60/600 mg/m²</w:t>
      </w:r>
    </w:p>
    <w:p w:rsidR="00BF086F" w:rsidRDefault="00BF086F" w:rsidP="00BF086F">
      <w:pPr>
        <w:spacing w:line="360" w:lineRule="auto"/>
        <w:rPr>
          <w:lang w:val="en-US"/>
        </w:rPr>
      </w:pPr>
      <w:r>
        <w:rPr>
          <w:lang w:val="en-US"/>
        </w:rPr>
        <w:t xml:space="preserve">Group C received Tamoxifen for 1 or 2 years, or Tamoxifen for ½ year followed by </w:t>
      </w:r>
      <w:proofErr w:type="spellStart"/>
      <w:r>
        <w:rPr>
          <w:lang w:val="en-US"/>
        </w:rPr>
        <w:t>Megestrol</w:t>
      </w:r>
      <w:proofErr w:type="spellEnd"/>
      <w:r>
        <w:rPr>
          <w:lang w:val="en-US"/>
        </w:rPr>
        <w:t xml:space="preserve"> for ½ year. Group D received CMF, CMF + </w:t>
      </w:r>
      <w:proofErr w:type="spellStart"/>
      <w:r>
        <w:rPr>
          <w:lang w:val="en-US"/>
        </w:rPr>
        <w:t>Pamidronate</w:t>
      </w:r>
      <w:proofErr w:type="spellEnd"/>
      <w:r>
        <w:rPr>
          <w:lang w:val="en-US"/>
        </w:rPr>
        <w:t>,</w:t>
      </w:r>
      <w:r w:rsidRPr="001D07E9">
        <w:rPr>
          <w:lang w:val="en-US"/>
        </w:rPr>
        <w:t xml:space="preserve"> </w:t>
      </w:r>
      <w:r>
        <w:rPr>
          <w:lang w:val="en-US"/>
        </w:rPr>
        <w:t xml:space="preserve">CEF, or CEF + </w:t>
      </w:r>
      <w:proofErr w:type="spellStart"/>
      <w:r>
        <w:rPr>
          <w:lang w:val="en-US"/>
        </w:rPr>
        <w:t>Pamidronate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ADDIN REFMGR.CITE &lt;Refman&gt;&lt;Cite&gt;&lt;Author&gt;Moller&lt;/Author&gt;&lt;Year&gt;2008&lt;/Year&gt;&lt;RecNum&gt;177&lt;/RecNum&gt;&lt;IDText&gt;The clinical database and the treatment guidelines of the Danish Breast Cancer Cooperative Group (DBCG); its 30-years experience and future promise&lt;/IDText&gt;&lt;MDL Ref_Type="Journal"&gt;&lt;Ref_Type&gt;Journal&lt;/Ref_Type&gt;&lt;Ref_ID&gt;177&lt;/Ref_ID&gt;&lt;Title_Primary&gt;The clinical database and the treatment guidelines of the Danish Breast Cancer Cooperative Group (DBCG); its 30-years experience and future promise&lt;/Title_Primary&gt;&lt;Authors_Primary&gt;Moller,S.&lt;/Authors_Primary&gt;&lt;Authors_Primary&gt;Jensen,M.B.&lt;/Authors_Primary&gt;&lt;Authors_Primary&gt;Ejlertsen,B.&lt;/Authors_Primary&gt;&lt;Authors_Primary&gt;Bjerre,K.D.&lt;/Authors_Primary&gt;&lt;Authors_Primary&gt;Larsen,M.&lt;/Authors_Primary&gt;&lt;Authors_Primary&gt;Hansen,H.B.&lt;/Authors_Primary&gt;&lt;Authors_Primary&gt;Christiansen,P.&lt;/Authors_Primary&gt;&lt;Authors_Primary&gt;Mouridsen,H.T.&lt;/Authors_Primary&gt;&lt;Date_Primary&gt;2008&lt;/Date_Primary&gt;&lt;Keywords&gt;!Lost Data&lt;/Keywords&gt;&lt;Reprint&gt;Not in File&lt;/Reprint&gt;&lt;Start_Page&gt;506&lt;/Start_Page&gt;&lt;End_Page&gt;524&lt;/End_Page&gt;&lt;Periodical&gt;Acta Oncol.&lt;/Periodical&gt;&lt;Volume&gt;47&lt;/Volume&gt;&lt;Issue&gt;4&lt;/Issue&gt;&lt;User_Def_2&gt;792976693 [pii];10.1080/02841860802059259 [doi]&lt;/User_Def_2&gt;&lt;Address&gt;Danish Breast Cancer Cooperative Group, Rigshospitalet, Copenhagen, Denmark&lt;/Address&gt;&lt;Web_URL&gt;PM:18465317&lt;/Web_URL&gt;&lt;ZZ_JournalFull&gt;&lt;f name="System"&gt;Acta Oncol.&lt;/f&gt;&lt;/ZZ_JournalFull&gt;&lt;ZZ_WorkformID&gt;1&lt;/ZZ_WorkformID&gt;&lt;/MDL&gt;&lt;/Cite&gt;&lt;/Refman&gt;</w:instrText>
      </w:r>
      <w:r>
        <w:rPr>
          <w:lang w:val="en-US"/>
        </w:rPr>
        <w:fldChar w:fldCharType="separate"/>
      </w:r>
      <w:r>
        <w:rPr>
          <w:noProof/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</w:p>
    <w:p w:rsidR="00BF086F" w:rsidRDefault="00BF086F" w:rsidP="00BF086F">
      <w:pPr>
        <w:spacing w:line="360" w:lineRule="auto"/>
        <w:rPr>
          <w:lang w:val="en-US"/>
        </w:rPr>
      </w:pPr>
      <w:r>
        <w:rPr>
          <w:lang w:val="en-US"/>
        </w:rPr>
        <w:t xml:space="preserve">The administration of chemotherapy was adjusted to RT, so that one or two cycles were given before RT, one or two cycles of single-agent cyclophosphamide was given concomitantly with RT, followed by cycles of chemotherapy given until 9 cycles were given in total. Tamoxifen was administered orally, 30 mg once daily, in the prescribed amount of time regardless of RT. </w:t>
      </w:r>
      <w:proofErr w:type="spellStart"/>
      <w:r>
        <w:rPr>
          <w:lang w:val="en-US"/>
        </w:rPr>
        <w:t>Megestrol</w:t>
      </w:r>
      <w:proofErr w:type="spellEnd"/>
      <w:r>
        <w:rPr>
          <w:lang w:val="en-US"/>
        </w:rPr>
        <w:t xml:space="preserve"> was administered orally, 160 mg once daily. </w:t>
      </w:r>
      <w:proofErr w:type="spellStart"/>
      <w:r>
        <w:rPr>
          <w:lang w:val="en-US"/>
        </w:rPr>
        <w:t>Pamidronate</w:t>
      </w:r>
      <w:proofErr w:type="spellEnd"/>
      <w:r>
        <w:rPr>
          <w:lang w:val="en-US"/>
        </w:rPr>
        <w:t xml:space="preserve"> was administered orally, 150 mg twice daily for 4 years.</w:t>
      </w:r>
    </w:p>
    <w:p w:rsidR="00BF086F" w:rsidRDefault="00BF086F" w:rsidP="00BF086F">
      <w:pPr>
        <w:rPr>
          <w:lang w:val="en-US"/>
        </w:rPr>
      </w:pPr>
    </w:p>
    <w:p w:rsidR="00BF086F" w:rsidRPr="00BF086F" w:rsidRDefault="00BF086F" w:rsidP="00BF086F">
      <w:pPr>
        <w:pStyle w:val="Overskrift3"/>
        <w:rPr>
          <w:lang w:val="en-US"/>
        </w:rPr>
      </w:pPr>
      <w:r w:rsidRPr="00BF086F">
        <w:rPr>
          <w:lang w:val="en-US"/>
        </w:rPr>
        <w:t>Content of the DBCG database:</w:t>
      </w:r>
    </w:p>
    <w:p w:rsidR="00BF086F" w:rsidRDefault="00BF086F" w:rsidP="00BF086F">
      <w:pPr>
        <w:spacing w:after="0" w:line="360" w:lineRule="auto"/>
        <w:jc w:val="both"/>
        <w:rPr>
          <w:lang w:val="en-US"/>
        </w:rPr>
      </w:pPr>
      <w:r>
        <w:rPr>
          <w:lang w:val="en-US"/>
        </w:rPr>
        <w:t xml:space="preserve">The database includes patient-, tumor and treatment characteristics: age, menopausal status, date-, place- and type of operation, tumor size, histological type, WHO diagnosis, malignancy grade, ER- and </w:t>
      </w:r>
      <w:proofErr w:type="spellStart"/>
      <w:r>
        <w:rPr>
          <w:lang w:val="en-US"/>
        </w:rPr>
        <w:t>PgR</w:t>
      </w:r>
      <w:proofErr w:type="spellEnd"/>
      <w:r>
        <w:rPr>
          <w:lang w:val="en-US"/>
        </w:rPr>
        <w:t xml:space="preserve"> status, and for approximately 30% of the patients: margin status, radiation therapy, adjuvant systemic treatment (none, chemotherapy, anti-hormone therapy, or a combination), localization and date of recurrence, date and diagnosis of other primary cancers, date and cause of premature exit from the clinical follow-up, and date and cause of death. If a patient during the 10 years of clinical follow-up developed a recurrence the patient were registered “off-study” in the DBCG database, from that point of, and thus only the localization and date for a first recurrence were registered. Some patients who experienced a recurrence later than the 10 years of follow-up had also been registered by the attending department to the DBCG. </w:t>
      </w:r>
    </w:p>
    <w:p w:rsidR="00BF086F" w:rsidRDefault="00BF086F" w:rsidP="00BF086F">
      <w:pPr>
        <w:rPr>
          <w:lang w:val="en-US"/>
        </w:rPr>
      </w:pPr>
    </w:p>
    <w:p w:rsidR="00BF086F" w:rsidRPr="00BF086F" w:rsidRDefault="00BF086F" w:rsidP="00BF086F">
      <w:pPr>
        <w:pStyle w:val="Overskrift3"/>
        <w:rPr>
          <w:lang w:val="en-US"/>
        </w:rPr>
      </w:pPr>
      <w:r w:rsidRPr="00BF086F">
        <w:rPr>
          <w:lang w:val="en-US"/>
        </w:rPr>
        <w:lastRenderedPageBreak/>
        <w:t>Details on national Pathology Data Bank:</w:t>
      </w:r>
    </w:p>
    <w:p w:rsidR="00BF086F" w:rsidRDefault="00BF086F" w:rsidP="00BF086F">
      <w:pPr>
        <w:spacing w:line="360" w:lineRule="auto"/>
        <w:rPr>
          <w:lang w:val="en-US"/>
        </w:rPr>
      </w:pPr>
      <w:r>
        <w:rPr>
          <w:lang w:val="en-US"/>
        </w:rPr>
        <w:t xml:space="preserve">The national Pathology Data Bank (PDB) </w:t>
      </w:r>
      <w:r w:rsidRPr="00ED6303">
        <w:rPr>
          <w:lang w:val="en-US"/>
        </w:rPr>
        <w:t xml:space="preserve">contains </w:t>
      </w:r>
      <w:r>
        <w:rPr>
          <w:lang w:val="en-US"/>
        </w:rPr>
        <w:t>most</w:t>
      </w:r>
      <w:r w:rsidRPr="00ED6303">
        <w:rPr>
          <w:lang w:val="en-US"/>
        </w:rPr>
        <w:t xml:space="preserve"> pathology examinations on Danish</w:t>
      </w:r>
      <w:r>
        <w:rPr>
          <w:lang w:val="en-US"/>
        </w:rPr>
        <w:t xml:space="preserve"> patients since the early 1970’s</w:t>
      </w:r>
      <w:r w:rsidRPr="00ED6303">
        <w:rPr>
          <w:lang w:val="en-US"/>
        </w:rPr>
        <w:t xml:space="preserve">, recorded uniformly, in accordance with </w:t>
      </w:r>
      <w:r>
        <w:rPr>
          <w:lang w:val="en-US"/>
        </w:rPr>
        <w:t>Danish</w:t>
      </w:r>
      <w:r w:rsidRPr="00ED6303">
        <w:rPr>
          <w:lang w:val="en-US"/>
        </w:rPr>
        <w:t xml:space="preserve"> guidelines [344].</w:t>
      </w:r>
      <w:r>
        <w:rPr>
          <w:lang w:val="en-US"/>
        </w:rPr>
        <w:t xml:space="preserve"> From 1999 onwards</w:t>
      </w:r>
      <w:r w:rsidRPr="00ED6303">
        <w:rPr>
          <w:lang w:val="en-US"/>
        </w:rPr>
        <w:t xml:space="preserve"> </w:t>
      </w:r>
      <w:r>
        <w:rPr>
          <w:lang w:val="en-US"/>
        </w:rPr>
        <w:t xml:space="preserve">all examinations have been registered online to the PDB from the Danish pathology departments, thus all conducted examinations are available in the data bank </w:t>
      </w:r>
      <w:r w:rsidRPr="00ED6303">
        <w:rPr>
          <w:lang w:val="en-US"/>
        </w:rPr>
        <w:t xml:space="preserve">[343]. </w:t>
      </w:r>
    </w:p>
    <w:p w:rsidR="00BF086F" w:rsidRDefault="00BF086F" w:rsidP="00BF086F">
      <w:pPr>
        <w:spacing w:line="360" w:lineRule="auto"/>
        <w:rPr>
          <w:lang w:val="en-US"/>
        </w:rPr>
      </w:pPr>
    </w:p>
    <w:p w:rsidR="00BF086F" w:rsidRPr="00BF086F" w:rsidRDefault="00BF086F" w:rsidP="00BF086F">
      <w:pPr>
        <w:rPr>
          <w:lang w:val="en-US"/>
        </w:rPr>
      </w:pPr>
    </w:p>
    <w:p w:rsidR="00BF086F" w:rsidRDefault="00BF086F" w:rsidP="00BF086F">
      <w:r w:rsidRPr="00CF7F6A">
        <w:object w:dxaOrig="7178" w:dyaOrig="53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483pt;height:5in" o:ole="" o:bordertopcolor="this" o:borderleftcolor="this" o:borderbottomcolor="this" o:borderrightcolor="this">
            <v:imagedata r:id="rId6" o:title=""/>
          </v:shape>
          <o:OLEObject Type="Embed" ProgID="PowerPoint.Slide.12" ShapeID="_x0000_i1040" DrawAspect="Content" ObjectID="_1516779887" r:id="rId7"/>
        </w:object>
      </w:r>
    </w:p>
    <w:p w:rsidR="00BF086F" w:rsidRPr="005C0375" w:rsidRDefault="00BF086F" w:rsidP="00BF086F">
      <w:pPr>
        <w:rPr>
          <w:lang w:val="en-US"/>
        </w:rPr>
      </w:pPr>
      <w:r w:rsidRPr="005C0375">
        <w:rPr>
          <w:b/>
          <w:lang w:val="en-US"/>
        </w:rPr>
        <w:t>Supplementary figure 1:</w:t>
      </w:r>
      <w:r w:rsidRPr="005C0375">
        <w:rPr>
          <w:lang w:val="en-US"/>
        </w:rPr>
        <w:t xml:space="preserve"> Overview of inclusion and exclusion of patients into cohort and tracking of events not registered by the DBCG or within the first 10 years of follow-up </w:t>
      </w:r>
    </w:p>
    <w:p w:rsidR="00F33160" w:rsidRPr="00BF086F" w:rsidRDefault="00F33160" w:rsidP="00BF086F">
      <w:pPr>
        <w:rPr>
          <w:lang w:val="en-US"/>
        </w:rPr>
      </w:pPr>
    </w:p>
    <w:sectPr w:rsidR="00F33160" w:rsidRPr="00BF086F" w:rsidSect="0069290F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DE52F8"/>
    <w:multiLevelType w:val="hybridMultilevel"/>
    <w:tmpl w:val="68C48E56"/>
    <w:lvl w:ilvl="0" w:tplc="F8E86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A164D"/>
    <w:multiLevelType w:val="hybridMultilevel"/>
    <w:tmpl w:val="98A81382"/>
    <w:lvl w:ilvl="0" w:tplc="F8E86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7FB"/>
    <w:rsid w:val="000C1850"/>
    <w:rsid w:val="000E76C1"/>
    <w:rsid w:val="001A1BC6"/>
    <w:rsid w:val="002370CE"/>
    <w:rsid w:val="002A7619"/>
    <w:rsid w:val="0031412A"/>
    <w:rsid w:val="0033520C"/>
    <w:rsid w:val="003400CE"/>
    <w:rsid w:val="00562294"/>
    <w:rsid w:val="005D2B51"/>
    <w:rsid w:val="00600CF1"/>
    <w:rsid w:val="00656430"/>
    <w:rsid w:val="0069290F"/>
    <w:rsid w:val="0078084E"/>
    <w:rsid w:val="007D0351"/>
    <w:rsid w:val="007E6AA5"/>
    <w:rsid w:val="008E221C"/>
    <w:rsid w:val="00975E53"/>
    <w:rsid w:val="00984C97"/>
    <w:rsid w:val="00BF086F"/>
    <w:rsid w:val="00BF7461"/>
    <w:rsid w:val="00C161D0"/>
    <w:rsid w:val="00D37E8A"/>
    <w:rsid w:val="00D43667"/>
    <w:rsid w:val="00D51E14"/>
    <w:rsid w:val="00DF3972"/>
    <w:rsid w:val="00E513DA"/>
    <w:rsid w:val="00ED6303"/>
    <w:rsid w:val="00EE779E"/>
    <w:rsid w:val="00F317FB"/>
    <w:rsid w:val="00F33160"/>
    <w:rsid w:val="00FB121D"/>
    <w:rsid w:val="00FD5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9F6E251-5C1C-4EA4-9BC2-9D7839B2D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86F"/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2A7619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autoRedefine/>
    <w:uiPriority w:val="9"/>
    <w:unhideWhenUsed/>
    <w:qFormat/>
    <w:rsid w:val="00BF086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uiPriority w:val="10"/>
    <w:qFormat/>
    <w:rsid w:val="00F317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F317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161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161D0"/>
    <w:rPr>
      <w:rFonts w:ascii="Segoe UI" w:hAnsi="Segoe UI" w:cs="Segoe UI"/>
      <w:sz w:val="18"/>
      <w:szCs w:val="18"/>
    </w:rPr>
  </w:style>
  <w:style w:type="paragraph" w:styleId="Dokumentoversigt">
    <w:name w:val="Document Map"/>
    <w:basedOn w:val="Normal"/>
    <w:link w:val="DokumentoversigtTegn"/>
    <w:uiPriority w:val="99"/>
    <w:semiHidden/>
    <w:unhideWhenUsed/>
    <w:rsid w:val="00562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oversigtTegn">
    <w:name w:val="Dokumentoversigt Tegn"/>
    <w:basedOn w:val="Standardskrifttypeiafsnit"/>
    <w:link w:val="Dokumentoversigt"/>
    <w:uiPriority w:val="99"/>
    <w:semiHidden/>
    <w:rsid w:val="00562294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2A761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BF086F"/>
    <w:rPr>
      <w:rFonts w:asciiTheme="majorHAnsi" w:eastAsiaTheme="majorEastAsia" w:hAnsiTheme="majorHAnsi" w:cstheme="majorBidi"/>
      <w:b/>
      <w:bCs/>
    </w:rPr>
  </w:style>
  <w:style w:type="paragraph" w:styleId="Listeafsnit">
    <w:name w:val="List Paragraph"/>
    <w:basedOn w:val="Normal"/>
    <w:uiPriority w:val="34"/>
    <w:qFormat/>
    <w:rsid w:val="00ED6303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Microsoft_PowerPoint-slide1.sl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CC269E-00B1-4E82-BB10-896C3452C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1233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Daugaard Lyngholm</dc:creator>
  <cp:lastModifiedBy>Christina Daugaard Lyngholm</cp:lastModifiedBy>
  <cp:revision>2</cp:revision>
  <cp:lastPrinted>2015-12-21T18:32:00Z</cp:lastPrinted>
  <dcterms:created xsi:type="dcterms:W3CDTF">2016-02-12T09:58:00Z</dcterms:created>
  <dcterms:modified xsi:type="dcterms:W3CDTF">2016-02-12T09:58:00Z</dcterms:modified>
</cp:coreProperties>
</file>