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3F8" w:rsidRPr="008D10BE" w:rsidRDefault="00AC03F8" w:rsidP="00AC03F8">
      <w:pPr>
        <w:rPr>
          <w:rFonts w:ascii="Arial" w:hAnsi="Arial" w:cs="Arial"/>
          <w:sz w:val="22"/>
          <w:szCs w:val="22"/>
        </w:rPr>
      </w:pPr>
      <w:bookmarkStart w:id="0" w:name="_GoBack"/>
      <w:bookmarkEnd w:id="0"/>
      <w:r w:rsidRPr="008D10BE">
        <w:rPr>
          <w:rFonts w:ascii="Arial" w:hAnsi="Arial" w:cs="Arial"/>
          <w:sz w:val="22"/>
          <w:szCs w:val="22"/>
        </w:rPr>
        <w:t>Appendix 2b. Quality assessment of included studies</w:t>
      </w:r>
    </w:p>
    <w:p w:rsidR="00AC03F8" w:rsidRPr="008D10BE" w:rsidRDefault="00AC03F8" w:rsidP="00AC03F8">
      <w:pPr>
        <w:rPr>
          <w:rFonts w:ascii="Arial" w:hAnsi="Arial" w:cs="Arial"/>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85"/>
        <w:gridCol w:w="619"/>
        <w:gridCol w:w="709"/>
        <w:gridCol w:w="656"/>
        <w:gridCol w:w="676"/>
        <w:gridCol w:w="2075"/>
        <w:gridCol w:w="2410"/>
      </w:tblGrid>
      <w:tr w:rsidR="00AC03F8" w:rsidRPr="008D10BE" w:rsidTr="002A55CB">
        <w:trPr>
          <w:cantSplit/>
          <w:trHeight w:val="192"/>
        </w:trPr>
        <w:tc>
          <w:tcPr>
            <w:tcW w:w="2744" w:type="dxa"/>
            <w:gridSpan w:val="2"/>
          </w:tcPr>
          <w:p w:rsidR="00AC03F8" w:rsidRPr="008D10BE" w:rsidRDefault="00AC03F8" w:rsidP="002A55CB">
            <w:pPr>
              <w:jc w:val="center"/>
              <w:rPr>
                <w:rFonts w:ascii="Arial" w:hAnsi="Arial" w:cs="Arial"/>
                <w:b/>
                <w:sz w:val="16"/>
                <w:szCs w:val="16"/>
              </w:rPr>
            </w:pPr>
            <w:r w:rsidRPr="008D10BE">
              <w:rPr>
                <w:rFonts w:ascii="Arial" w:hAnsi="Arial" w:cs="Arial"/>
                <w:b/>
                <w:sz w:val="16"/>
                <w:szCs w:val="16"/>
              </w:rPr>
              <w:tab/>
            </w:r>
          </w:p>
        </w:tc>
        <w:tc>
          <w:tcPr>
            <w:tcW w:w="1984" w:type="dxa"/>
            <w:gridSpan w:val="3"/>
            <w:tcBorders>
              <w:left w:val="double" w:sz="4" w:space="0" w:color="auto"/>
            </w:tcBorders>
          </w:tcPr>
          <w:p w:rsidR="00AC03F8" w:rsidRPr="008D10BE" w:rsidRDefault="00AC03F8" w:rsidP="002A55CB">
            <w:pPr>
              <w:jc w:val="center"/>
              <w:rPr>
                <w:rFonts w:ascii="Arial" w:hAnsi="Arial" w:cs="Arial"/>
                <w:b/>
                <w:sz w:val="16"/>
                <w:szCs w:val="16"/>
              </w:rPr>
            </w:pPr>
            <w:r w:rsidRPr="008D10BE">
              <w:rPr>
                <w:rFonts w:ascii="Arial" w:hAnsi="Arial" w:cs="Arial"/>
                <w:b/>
                <w:sz w:val="16"/>
                <w:szCs w:val="16"/>
              </w:rPr>
              <w:t>Quality assessment: Selection</w:t>
            </w:r>
          </w:p>
        </w:tc>
        <w:tc>
          <w:tcPr>
            <w:tcW w:w="5161" w:type="dxa"/>
            <w:gridSpan w:val="3"/>
          </w:tcPr>
          <w:p w:rsidR="00AC03F8" w:rsidRPr="008D10BE" w:rsidRDefault="00AC03F8" w:rsidP="002A55CB">
            <w:pPr>
              <w:jc w:val="center"/>
              <w:rPr>
                <w:rFonts w:ascii="Arial" w:hAnsi="Arial" w:cs="Arial"/>
                <w:b/>
                <w:sz w:val="16"/>
                <w:szCs w:val="16"/>
              </w:rPr>
            </w:pPr>
            <w:r w:rsidRPr="008D10BE">
              <w:rPr>
                <w:rFonts w:ascii="Arial" w:hAnsi="Arial" w:cs="Arial"/>
                <w:b/>
                <w:sz w:val="16"/>
                <w:szCs w:val="16"/>
              </w:rPr>
              <w:t>Quality assessment: Outcome</w:t>
            </w:r>
          </w:p>
        </w:tc>
      </w:tr>
      <w:tr w:rsidR="00AC03F8" w:rsidRPr="008D10BE" w:rsidTr="002A55CB">
        <w:trPr>
          <w:cantSplit/>
          <w:trHeight w:val="2479"/>
        </w:trPr>
        <w:tc>
          <w:tcPr>
            <w:tcW w:w="1559" w:type="dxa"/>
            <w:textDirection w:val="btLr"/>
          </w:tcPr>
          <w:p w:rsidR="00AC03F8" w:rsidRPr="008D10BE" w:rsidRDefault="00AC03F8" w:rsidP="002A55CB">
            <w:pPr>
              <w:spacing w:line="180" w:lineRule="exact"/>
              <w:ind w:left="113" w:right="113"/>
              <w:rPr>
                <w:rFonts w:ascii="Arial" w:hAnsi="Arial" w:cs="Arial"/>
                <w:b/>
                <w:sz w:val="16"/>
                <w:szCs w:val="16"/>
              </w:rPr>
            </w:pPr>
            <w:r w:rsidRPr="008D10BE">
              <w:rPr>
                <w:rFonts w:ascii="Arial" w:hAnsi="Arial" w:cs="Arial"/>
                <w:b/>
                <w:sz w:val="16"/>
                <w:szCs w:val="16"/>
              </w:rPr>
              <w:t xml:space="preserve">Author </w:t>
            </w:r>
          </w:p>
        </w:tc>
        <w:tc>
          <w:tcPr>
            <w:tcW w:w="1185" w:type="dxa"/>
            <w:textDirection w:val="btLr"/>
          </w:tcPr>
          <w:p w:rsidR="00AC03F8" w:rsidRPr="008D10BE" w:rsidRDefault="00AC03F8" w:rsidP="002A55CB">
            <w:pPr>
              <w:spacing w:line="180" w:lineRule="exact"/>
              <w:ind w:left="113" w:right="113"/>
              <w:rPr>
                <w:rFonts w:ascii="Arial" w:hAnsi="Arial" w:cs="Arial"/>
                <w:b/>
                <w:sz w:val="16"/>
                <w:szCs w:val="16"/>
              </w:rPr>
            </w:pPr>
            <w:r w:rsidRPr="008D10BE">
              <w:rPr>
                <w:rFonts w:ascii="Arial" w:hAnsi="Arial" w:cs="Arial"/>
                <w:b/>
                <w:sz w:val="16"/>
                <w:szCs w:val="16"/>
              </w:rPr>
              <w:t>Publication year</w:t>
            </w:r>
          </w:p>
        </w:tc>
        <w:tc>
          <w:tcPr>
            <w:tcW w:w="619" w:type="dxa"/>
            <w:tcBorders>
              <w:left w:val="double" w:sz="4" w:space="0" w:color="auto"/>
            </w:tcBorders>
            <w:textDirection w:val="btLr"/>
            <w:vAlign w:val="center"/>
          </w:tcPr>
          <w:p w:rsidR="00AC03F8" w:rsidRPr="008D10BE" w:rsidRDefault="00AC03F8" w:rsidP="002A55CB">
            <w:pPr>
              <w:spacing w:line="180" w:lineRule="exact"/>
              <w:ind w:left="113" w:right="113"/>
              <w:rPr>
                <w:rFonts w:ascii="Arial" w:hAnsi="Arial" w:cs="Arial"/>
                <w:b/>
                <w:sz w:val="16"/>
                <w:szCs w:val="16"/>
              </w:rPr>
            </w:pPr>
            <w:r w:rsidRPr="008D10BE">
              <w:rPr>
                <w:rFonts w:ascii="Arial" w:hAnsi="Arial" w:cs="Arial"/>
                <w:b/>
                <w:sz w:val="16"/>
                <w:szCs w:val="16"/>
              </w:rPr>
              <w:t>Representativeness of exposed cohort</w:t>
            </w:r>
          </w:p>
        </w:tc>
        <w:tc>
          <w:tcPr>
            <w:tcW w:w="709" w:type="dxa"/>
            <w:tcMar>
              <w:top w:w="0" w:type="dxa"/>
              <w:left w:w="28" w:type="dxa"/>
              <w:bottom w:w="0" w:type="dxa"/>
              <w:right w:w="28" w:type="dxa"/>
            </w:tcMar>
            <w:textDirection w:val="btLr"/>
            <w:vAlign w:val="center"/>
          </w:tcPr>
          <w:p w:rsidR="00AC03F8" w:rsidRPr="008D10BE" w:rsidRDefault="00AC03F8" w:rsidP="002A55CB">
            <w:pPr>
              <w:spacing w:line="180" w:lineRule="exact"/>
              <w:ind w:left="113" w:right="113"/>
              <w:rPr>
                <w:rFonts w:ascii="Arial" w:hAnsi="Arial" w:cs="Arial"/>
                <w:b/>
                <w:sz w:val="16"/>
                <w:szCs w:val="16"/>
              </w:rPr>
            </w:pPr>
            <w:r w:rsidRPr="008D10BE">
              <w:rPr>
                <w:rFonts w:ascii="Arial" w:hAnsi="Arial" w:cs="Arial"/>
                <w:b/>
                <w:sz w:val="16"/>
                <w:szCs w:val="16"/>
              </w:rPr>
              <w:t xml:space="preserve">Ascertainment of exposure </w:t>
            </w:r>
          </w:p>
        </w:tc>
        <w:tc>
          <w:tcPr>
            <w:tcW w:w="656" w:type="dxa"/>
            <w:tcMar>
              <w:top w:w="0" w:type="dxa"/>
              <w:left w:w="28" w:type="dxa"/>
              <w:bottom w:w="0" w:type="dxa"/>
              <w:right w:w="28" w:type="dxa"/>
            </w:tcMar>
            <w:textDirection w:val="btLr"/>
            <w:vAlign w:val="center"/>
          </w:tcPr>
          <w:p w:rsidR="00AC03F8" w:rsidRPr="008D10BE" w:rsidRDefault="00AC03F8" w:rsidP="002A55CB">
            <w:pPr>
              <w:spacing w:line="180" w:lineRule="exact"/>
              <w:ind w:left="113" w:right="113"/>
              <w:rPr>
                <w:rFonts w:ascii="Arial" w:hAnsi="Arial" w:cs="Arial"/>
                <w:b/>
                <w:sz w:val="16"/>
                <w:szCs w:val="16"/>
              </w:rPr>
            </w:pPr>
            <w:r w:rsidRPr="008D10BE">
              <w:rPr>
                <w:rFonts w:ascii="Arial" w:hAnsi="Arial" w:cs="Arial"/>
                <w:b/>
                <w:sz w:val="16"/>
                <w:szCs w:val="16"/>
              </w:rPr>
              <w:t>Outcome not present at start of study</w:t>
            </w:r>
          </w:p>
        </w:tc>
        <w:tc>
          <w:tcPr>
            <w:tcW w:w="676" w:type="dxa"/>
            <w:tcMar>
              <w:top w:w="0" w:type="dxa"/>
              <w:left w:w="28" w:type="dxa"/>
              <w:bottom w:w="0" w:type="dxa"/>
              <w:right w:w="28" w:type="dxa"/>
            </w:tcMar>
            <w:textDirection w:val="btLr"/>
            <w:vAlign w:val="center"/>
          </w:tcPr>
          <w:p w:rsidR="00AC03F8" w:rsidRPr="008D10BE" w:rsidRDefault="00AC03F8" w:rsidP="002A55CB">
            <w:pPr>
              <w:spacing w:line="180" w:lineRule="exact"/>
              <w:ind w:left="113" w:right="113"/>
              <w:rPr>
                <w:rFonts w:ascii="Arial" w:hAnsi="Arial" w:cs="Arial"/>
                <w:b/>
                <w:sz w:val="16"/>
                <w:szCs w:val="16"/>
              </w:rPr>
            </w:pPr>
            <w:r w:rsidRPr="008D10BE">
              <w:rPr>
                <w:rFonts w:ascii="Arial" w:hAnsi="Arial" w:cs="Arial"/>
                <w:b/>
                <w:sz w:val="16"/>
                <w:szCs w:val="16"/>
              </w:rPr>
              <w:t xml:space="preserve">Assessment of outcome </w:t>
            </w:r>
          </w:p>
        </w:tc>
        <w:tc>
          <w:tcPr>
            <w:tcW w:w="2075" w:type="dxa"/>
            <w:tcMar>
              <w:top w:w="0" w:type="dxa"/>
              <w:left w:w="28" w:type="dxa"/>
              <w:bottom w:w="0" w:type="dxa"/>
              <w:right w:w="28" w:type="dxa"/>
            </w:tcMar>
            <w:textDirection w:val="btLr"/>
            <w:vAlign w:val="center"/>
          </w:tcPr>
          <w:p w:rsidR="00AC03F8" w:rsidRPr="008D10BE" w:rsidRDefault="00AC03F8" w:rsidP="002A55CB">
            <w:pPr>
              <w:spacing w:line="180" w:lineRule="exact"/>
              <w:ind w:left="113" w:right="113"/>
              <w:rPr>
                <w:rFonts w:ascii="Arial" w:hAnsi="Arial" w:cs="Arial"/>
                <w:b/>
                <w:sz w:val="16"/>
                <w:szCs w:val="16"/>
              </w:rPr>
            </w:pPr>
            <w:r w:rsidRPr="008D10BE">
              <w:rPr>
                <w:rFonts w:ascii="Arial" w:hAnsi="Arial" w:cs="Arial"/>
                <w:b/>
                <w:sz w:val="16"/>
                <w:szCs w:val="16"/>
              </w:rPr>
              <w:t>Sufficient duration of follow-up</w:t>
            </w:r>
          </w:p>
        </w:tc>
        <w:tc>
          <w:tcPr>
            <w:tcW w:w="2410" w:type="dxa"/>
            <w:tcMar>
              <w:top w:w="0" w:type="dxa"/>
              <w:left w:w="28" w:type="dxa"/>
              <w:bottom w:w="0" w:type="dxa"/>
              <w:right w:w="28" w:type="dxa"/>
            </w:tcMar>
            <w:textDirection w:val="btLr"/>
            <w:vAlign w:val="center"/>
          </w:tcPr>
          <w:p w:rsidR="00AC03F8" w:rsidRPr="008D10BE" w:rsidRDefault="00AC03F8" w:rsidP="002A55CB">
            <w:pPr>
              <w:spacing w:line="180" w:lineRule="exact"/>
              <w:ind w:left="113" w:right="113"/>
              <w:rPr>
                <w:rFonts w:ascii="Arial" w:hAnsi="Arial" w:cs="Arial"/>
                <w:b/>
                <w:sz w:val="16"/>
                <w:szCs w:val="16"/>
              </w:rPr>
            </w:pPr>
            <w:r w:rsidRPr="008D10BE">
              <w:rPr>
                <w:rFonts w:ascii="Arial" w:hAnsi="Arial" w:cs="Arial"/>
                <w:b/>
                <w:sz w:val="16"/>
                <w:szCs w:val="16"/>
              </w:rPr>
              <w:t>Adequacy of follow-up</w:t>
            </w:r>
          </w:p>
        </w:tc>
      </w:tr>
      <w:tr w:rsidR="00AC03F8" w:rsidRPr="008D10BE" w:rsidTr="002A55CB">
        <w:trPr>
          <w:trHeight w:hRule="exact" w:val="312"/>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Biesma</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"10.1093/annonc/mdq637", "ISBN" : "0923-7534\\r1569-8041", "ISSN" : "09237534", "PMID" : "2011357471", "abstract" : "Background: Elderly patients with advanced non-small-cell lung cancer (NSCLC) may derive similar benefit from platinum-based chemotherapy as younger patients. Quality of life (QoL) and comprehensive geriatric assessment (CGA) is often advocated to assess benefits and risks. Patients and methods: A total of 181 chemotherapy-naive patients [++70 years, performance score (PS) of 0-2] with stage III-IV NSCLC received carboplatin and gemcitabine (CG) (n = 90) or carboplatin and paclitaxel (CP) (n = 91) every 3 weeks for up to four cycles. Primary end point was change in global QoL from baseline compared with week 18. Pretreatment CGA and mini geriatric assessment during and after treatment were undertaken. A principal component (PC) analysis was carried out to determine the underlying dimensions of CGA and QoL and subsequently related to survival. Results: There were no changes in QoL after treatment. The number of QoL responders (CG arm, 12%; CP arm, 5%) was not significantly different. CGA items were only associated with neuropsychiatric toxicity. Quality-adjusted survival was not different between treatment arms. The PC analysis derived from nine CGA, six QoL and one PS score indicated only one dominant dimension. This dimension was strongly prognostic, and physical and role functioning, Groningen Frailty Indicator and Geriatric Depression Scale were its largest contributors. Conclusions: Paclitaxel or gemcitabine added to carboplatin did not have a differential effect on global QoL. CGA was associated with toxic effects in a very limited manner. CGA and QoL items measure one underlying dimension, which is highly prognostic. The Author 2011. Published by Oxford University Press on behalf of the European Society for Medical Oncology. All rights reserved.", "author" : [ { "dropping-particle" : "", "family" : "Biesma", "given" : "B.", "non-dropping-particle" : "", "parse-names" : false, "suffix" : "" }, { "dropping-particle" : "", "family" : "Wymenga", "given" : "a. N M", "non-dropping-particle" : "", "parse-names" : false, "suffix" : "" }, { "dropping-particle" : "", "family" : "Vincent", "given" : "a.", "non-dropping-particle" : "", "parse-names" : false, "suffix" : "" }, { "dropping-particle" : "", "family" : "Dalesio", "given" : "O.", "non-dropping-particle" : "", "parse-names" : false, "suffix" : "" }, { "dropping-particle" : "", "family" : "Smit", "given" : "H. J M", "non-dropping-particle" : "", "parse-names" : false, "suffix" : "" }, { "dropping-particle" : "", "family" : "Stigt", "given" : "J. a.", "non-dropping-particle" : "", "parse-names" : false, "suffix" : "" }, { "dropping-particle" : "", "family" : "Smit", "given" : "E. F.", "non-dropping-particle" : "", "parse-names" : false, "suffix" : "" }, { "dropping-particle" : "", "family" : "Felius", "given" : "C. L.", "non-dropping-particle" : "van", "parse-names" : false, "suffix" : "" }, { "dropping-particle" : "", "family" : "Putten", "given" : "J. W G", "non-dropping-particle" : "van", "parse-names" : false, "suffix" : "" }, { "dropping-particle" : "", "family" : "Slaets", "given" : "J. P J", "non-dropping-particle" : "", "parse-names" : false, "suffix" : "" }, { "dropping-particle" : "", "family" : "Groen", "given" : "H. J M", "non-dropping-particle" : "", "parse-names" : false, "suffix" : "" } ], "container-title" : "Annals of Oncology", "id" : "ITEM-1", "issue" : "7", "issued" : { "date-parts" : [ [ "2011" ] ] }, "page" : "1520-1527", "title" : "Quality of life, geriatric assessment and survival in elderly patients with non-small-cell lung cancer treated with carboplatin-gemcitabine or carboplatin-paclitaxel: NVALT-3 a phase III study", "type" : "article-journal", "volume" : "22" }, "uris" : [ "http://www.mendeley.com/documents/?uuid=da3cfbd0-cf84-48a9-afbc-76f02a72734e" ] } ], "mendeley" : { "formattedCitation" : "(16)", "plainTextFormattedCitation" : "(16)", "previouslyFormattedCitation" : "(16)"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E0413">
              <w:rPr>
                <w:rFonts w:ascii="Arial" w:hAnsi="Arial" w:cs="Arial"/>
                <w:bCs/>
                <w:noProof/>
                <w:sz w:val="16"/>
                <w:szCs w:val="16"/>
                <w:lang w:eastAsia="en-US"/>
              </w:rPr>
              <w:t>(16)</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2011</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r>
      <w:tr w:rsidR="00AC03F8" w:rsidRPr="008D10BE" w:rsidTr="002A55CB">
        <w:trPr>
          <w:trHeight w:hRule="exact" w:val="311"/>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Cerullo</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"ISBN" : "0017-0305", "ISSN" : "00170305", "PMID" : "2011635131", "abstract" : "Introduction. Older cancer patients are less likely to be offered standard antineoplastic treatments. An improved initial evaluation of older patients may better identify potential candidates to more aggressive therapeutical interventions. Aim of this paper is to compare two standard oncological screening tools (i.e., Karnosfky Performance Status [KPS] and Eastern Cooperative Oncology Group performance status [ECOG]) with standard geriatric physical function measures and test their predictive value for incident adverse drug reactions (ADRs). Methods. Data are from 155 older women with cancer. Short Physical Performance Battery (SPPB), hand grip strength, 4-meter walking speed (4mWS), Activities of Daily Living (ADL), Instrumental (ADL), KPS, and ECOG were administered to study partecipants at the hospital admission. Spearman's correlations were performed among the variables. Receiver Operating Characteristic (ROC) curves explored the predictive value of the variables for incident ADRs to the anti-neoplastic treatment. Results. Mean age of participants was 73.6 (SD +/- 6.5) years. All the physical function measures were significantly correlated each other (all Spearman r &gt; 0.2; p &lt; 0.05), except for the relationship hand grip strength-KPS (Spearman r = 0.12, p = 0.23). ROC curves showed statistically significant results only for SPPB (AUC = 0.79; p = 0.05) and 4mWS (AUC = 0.88, p = 0.01) in the prediction of incident ADRs. Discussion. All the physical function measures were correlated each other. However, 4mWS and SPPB were the only being predictive of incident ADRs, supporting a wider use of them in the initial assessment of older cancer patients.", "author" : [ { "dropping-particle" : "", "family" : "Cerulo", "given" : "Francesco", "non-dropping-particle" : "", "parse-names" : false, "suffix" : "" }, { "dropping-particle" : "", "family" : "Coloca", "given" : "G.", "non-dropping-particle" : "", "parse-names" : false, "suffix" : "" }, { "dropping-particle" : "", "family" : "Ferini", "given" : "a.", "non-dropping-particle" : "", "parse-names" : false, "suffix" : "" }, { "dropping-particle" : "", "family" : "Ciaburi", "given" : "M.", "non-dropping-particle" : "", "parse-names" : false, "suffix" : "" }, { "dropping-particle" : "", "family" : "Scambia", "given" : "G.", "non-dropping-particle" : "", "parse-names" : false, "suffix" : "" }, { "dropping-particle" : "", "family" : "Bernabei", "given" : "R.", "non-dropping-particle" : "", "parse-names" : false, "suffix" : "" }, { "dropping-particle" : "", "family" : "Gambasi", "given" : "G.", "non-dropping-particle" : "", "parse-names" : false, "suffix" : "" }, { "dropping-particle" : "", "family" : "Cesari", "given" : "M.", "non-dropping-particle" : "", "parse-names" : false, "suffix" : "" } ], "container-title" : "Giornale di Gerontologia", "id" : "ITEM-1", "issue" : "5", "issued" : { "date-parts" : [ [ "2011" ] ] }, "page" : "265-272", "title" : "Misure di funzione fisica in oncogeriatria", "type" : "article-journal", "volume" : "59" }, "uris" : [ "http://www.mendeley.com/documents/?uuid=1bb68d37-27cb-4c03-829c-b3a9a6ec1c93" ] } ], "mendeley" : { "formattedCitation" : "(17)", "plainTextFormattedCitation" : "(17)", "previouslyFormattedCitation" : "(17)"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(17)</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2011</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r>
      <w:tr w:rsidR="00AC03F8" w:rsidRPr="008D10BE" w:rsidTr="002A55CB">
        <w:trPr>
          <w:trHeight w:hRule="exact" w:val="312"/>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Cesari</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"10.1093/gerona/glt073", "ISBN" : "1079-5006", "ISSN" : "10795006", "PMID" : "23733856", "abstract" : "Screening tools for the identification of vulnerable older patients with cancer are needed. Aim of this study is to measure the prognostic value of multiple screening tools for the assessment of mortality risk in oncogeriatrics.The prognostic value of the following assessment tools was tested in 200 older women with gynecological cancer (mean age = 73.5 years) for 1-year mortality: Short Physical Performance Battery, usual gait speed, handgrip strength, Eastern Cooperative Oncology Group Performance Status scale, Karnofsky Performance Status scale, Vulnerable Elders Scale-13, activities of daily living, and instrumental activities of daily living. Cox proportional hazard models were performed to estimate the associations of the performance measures with mortality. Areas under receiver operating characteristic curves were also estimated.Twenty-three participants (11.5%) died during the follow-up. The Short Physical Performance Battery, usual gait speed, and instrumental activities of daily living were the only parameters significantly associated with mortality, even after adjustment for confounders. No statistically significant results were reported for other functional measures. Similar results were obtained when testing the predictive values of the performance measures at the receiver operating characteristic analyses.The Short Physical Performance Battery and especially the usual gait speed may represent promising tools for measuring the mortality risk of older cancer patients, thus potentially supporting clinical decisions. Further studies are needed to confirm and extend the present findings.", "author" : [ { "dropping-particle" : "", "family" : "Cesari", "given" : "Matteo", "non-dropping-particle" : "", "parse-names" : false, "suffix" : "" }, { "dropping-particle" : "", "family" : "Cerullo", "given" : "Francesco", "non-dropping-particle" : "", "parse-names" : false, "suffix" : "" }, { "dropping-particle" : "", "family" : "Zamboni", "given" : "Valentina", "non-dropping-particle" : "", "parse-names" : false, "suffix" : "" }, { "dropping-particle" : "", "family" : "Palma", "given" : "Rita", "non-dropping-particle" : "Di", "parse-names" : false, "suffix" : "" }, { "dropping-particle" : "", "family" : "Scambia", "given" : "Giovanni", "non-dropping-particle" : "", "parse-names" : false, "suffix" : "" }, { "dropping-particle" : "", "family" : "Balducci", "given" : "Lodovico", "non-dropping-particle" : "", "parse-names" : false, "suffix" : "" }, { "dropping-particle" : "", "family" : "Antonelli Incalzi", "given" : "Raffaele", "non-dropping-particle" : "", "parse-names" : false, "suffix" : "" }, { "dropping-particle" : "", "family" : "Vellas", "given" : "Bruno", "non-dropping-particle" : "", "parse-names" : false, "suffix" : "" }, { "dropping-particle" : "", "family" : "Gambassi", "given" : "Giovanni", "non-dropping-particle" : "", "parse-names" : false, "suffix" : "" } ], "container-title" : "J Gerontol A Biol Sci Med Sci", "id" : "ITEM-1", "issue" : "9", "issued" : { "date-parts" : [ [ "2013" ] ] }, "page" : "1129-1133", "title" : "Functional status and mortality in older women with gynecological cancer.", "type" : "article-journal", "volume" : "68" }, "uris" : [ "http://www.mendeley.com/documents/?uuid=456a12ae-6e56-4e1b-8971-79e2675a1bee" ] } ], "mendeley" : { "formattedCitation" : "(18)", "plainTextFormattedCitation" : "(18)", "previouslyFormattedCitation" : "(18)"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(18)</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2013</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 xml:space="preserve">+ </w:t>
            </w:r>
          </w:p>
        </w:tc>
      </w:tr>
      <w:tr w:rsidR="00AC03F8" w:rsidRPr="008D10BE" w:rsidTr="002A55CB">
        <w:trPr>
          <w:trHeight w:hRule="exact" w:val="486"/>
        </w:trPr>
        <w:tc>
          <w:tcPr>
            <w:tcW w:w="1559" w:type="dxa"/>
          </w:tcPr>
          <w:p w:rsidR="00AC03F8" w:rsidRPr="008D10BE" w:rsidRDefault="00AC03F8" w:rsidP="002A55CB">
            <w:pPr>
              <w:tabs>
                <w:tab w:val="left" w:pos="1110"/>
              </w:tabs>
              <w:rPr>
                <w:rFonts w:ascii="Arial" w:hAnsi="Arial" w:cs="Arial"/>
                <w:sz w:val="16"/>
                <w:szCs w:val="16"/>
                <w:lang w:eastAsia="en-US"/>
              </w:rPr>
            </w:pPr>
            <w:r w:rsidRPr="008D10BE">
              <w:rPr>
                <w:rFonts w:ascii="Arial" w:hAnsi="Arial" w:cs="Arial"/>
                <w:sz w:val="16"/>
                <w:szCs w:val="16"/>
                <w:lang w:eastAsia="en-US"/>
              </w:rPr>
              <w:t>Dale</w:t>
            </w:r>
            <w:r w:rsidRPr="008D10BE">
              <w:rPr>
                <w:rFonts w:ascii="Arial" w:hAnsi="Arial" w:cs="Arial"/>
                <w:sz w:val="16"/>
                <w:szCs w:val="16"/>
                <w:lang w:eastAsia="en-US"/>
              </w:rPr>
              <w:fldChar w:fldCharType="begin" w:fldLock="1"/>
            </w:r>
            <w:r>
              <w:rPr>
                <w:rFonts w:ascii="Arial" w:hAnsi="Arial" w:cs="Arial"/>
                <w:sz w:val="16"/>
                <w:szCs w:val="16"/>
                <w:lang w:eastAsia="en-US"/>
              </w:rPr>
              <w:instrText>ADDIN CSL_CITATION { "citationItems" : [ { "id" : "ITEM-1", "itemData" : { "DOI" : "10.1097/SLA.0000000000000226", "ISBN" : "0000000000000", "ISSN" : "1528-1140", "PMID" : "24096757", "abstract" : "OBJECTIVE: To prospectively evaluate the additional value of geriatric assessment (GA) for predicting surgical outcomes in a cohort of older patients undergoing a pancreaticoduodenectomy (PD) for pancreatic tumors.\\n\\nBACKGROUND: Older patients are less often referred for possible PD. Standard preoperative assessments may underestimate the likelihood of significant adverse outcomes. The prospective utility of validated GA has not been studied in this group.\\n\\nMETHODS: PD-eligible patients were enrolled in a prospective outcome study. Standard preoperative assessments were recorded. Elements of validated GA were also measured, including components of Fried's model of frailty, the Vulnerable Elders Survey (VES-13), and the Short Physical Performance Battery (SPPB). All postoperative adverse events were recorded, systematically reviewed, and graded using the Clavien-Dindo system by a surgeon blinded to the GA results. Multivariate regression analyses were conducted.\\n\\nRESULTS: Seventy-six older patients underwent a PD. Significant unrecognized vulnerability was identified at the baseline: Fried's \"exhaustion\" (37.3%), SPPB &lt;10 (28.5%), and VES-13 &gt;3 (15.4%). Within 30 days of PD, 46% experienced a severe complication (Clavien-Dindo grade \u2265III). In regression analyses controlling for age, the body mass index, the American Society of Anesthesiologists score, and comorbidity burden, Fried's \"exhaustion\" predicted major complications [odds ratio (OR) = 4.06; P = 0.01], longer hospital stays (\u03b2 = 0.27; P = 0.02), and surgical intensive care unit admissions (OR = 4.30; P = 0.01). Both SPPB (OR = 0.61; P = 0.04) and older age predicted discharge to a rehabilitation facility (OR = 1.1; P &lt; 0.05) and age correlated with a lower likelihood of hospital readmission (OR = 0.94; P = 0.02).\\n\\nCONCLUSIONS: Controlling for standard preoperative assessments, worse scores on GA prospectively and independently predicted important adverse outcomes. Geriatric assessment may help identify older patients at high risk for complications from PD.", "author" : [ { "dropping-particle" : "", "family" : "Dale", "given" : "William", "non-dropping-particle" : "", "parse-names" : false, "suffix" : "" }, { "dropping-particle" : "", "family" : "Hemmerich", "given" : "Joshua", "non-dropping-particle" : "", "parse-names" : false, "suffix" : "" }, { "dropping-particle" : "", "family" : "Kamm", "given" : "Alaine", "non-dropping-particle" : "", "parse-names" : false, "suffix" : "" }, { "dropping-particle" : "", "family" : "Posner", "given" : "Mitchell C", "non-dropping-particle" : "", "parse-names" : false, "suffix" : "" }, { "dropping-particle" : "", "family" : "Matthews", "given" : "Jeffrey B", "non-dropping-particle" : "", "parse-names" : false, "suffix" : "" }, { "dropping-particle" : "", "family" : "Rothman", "given" : "Randi", "non-dropping-particle" : "", "parse-names" : false, "suffix" : "" }, { "dropping-particle" : "", "family" : "Palakodeti", "given" : "Aparna", "non-dropping-particle" : "", "parse-names" : false, "suffix" : "" }, { "dropping-particle" : "", "family" : "Roggin", "given" : "Kevin K", "non-dropping-particle" : "", "parse-names" : false, "suffix" : "" } ], "container-title" : "Annals of surgery", "id" : "ITEM-1", "issue" : "5", "issued" : { "date-parts" : [ [ "2014" ] ] }, "page" : "960-5", "title" : "Geriatric assessment improves prediction of surgical outcomes in older adults undergoing pancreaticoduodenectomy: a prospective cohort study.", "type" : "article-journal", "volume" : "259" }, "uris" : [ "http://www.mendeley.com/documents/?uuid=7610cb6c-fda2-4fff-8905-4a866878ffec" ] } ], "mendeley" : { "formattedCitation" : "(19)", "plainTextFormattedCitation" : "(19)", "previouslyFormattedCitation" : "(19)" }, "properties" : { "noteIndex" : 0 }, "schema" : "https://github.com/citation-style-language/schema/raw/master/csl-citation.json" }</w:instrText>
            </w:r>
            <w:r w:rsidRPr="008D10BE">
              <w:rPr>
                <w:rFonts w:ascii="Arial" w:hAnsi="Arial" w:cs="Arial"/>
                <w:sz w:val="16"/>
                <w:szCs w:val="16"/>
                <w:lang w:eastAsia="en-US"/>
              </w:rPr>
              <w:fldChar w:fldCharType="separate"/>
            </w:r>
            <w:r w:rsidRPr="000F40A6">
              <w:rPr>
                <w:rFonts w:ascii="Arial" w:hAnsi="Arial" w:cs="Arial"/>
                <w:noProof/>
                <w:sz w:val="16"/>
                <w:szCs w:val="16"/>
                <w:lang w:eastAsia="en-US"/>
              </w:rPr>
              <w:t>(19)</w:t>
            </w:r>
            <w:r w:rsidRPr="008D10BE">
              <w:rPr>
                <w:rFonts w:ascii="Arial" w:hAnsi="Arial" w:cs="Arial"/>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2014</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 xml:space="preserve">+ </w:t>
            </w:r>
          </w:p>
        </w:tc>
      </w:tr>
      <w:tr w:rsidR="00AC03F8" w:rsidRPr="008D10BE" w:rsidTr="002A55CB">
        <w:trPr>
          <w:trHeight w:hRule="exact" w:val="394"/>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Deschler</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"10.3324/haematol.2012.067892", "ISBN" : "0390-6078", "ISSN" : "03906078", "PMID" : "22875615", "abstract" : "Myelodysplastic syndromes and acute myeloid leukemia exemplify the complexity of treatment allocation in older patients as options range from best supportive care, non-intensive treatment (e.g. hypomethylating agents) to intensive chemotherapy/hematopoietic cell transplantation. Novel metrics for non-disease variables are urgently needed to help define the best treatment for each older patient. We investigated the feasibility and prognostic value of geriatric/quality of life assessments aside from established disease-specific variables in 195 patients aged 60 years or over with myelodysplastic syndromes/acute myeloid leukemia. These patients were grouped according to treatment intensity and assessed. Assessment consisted of eight instruments evaluating activities of daily living, depression, mental functioning, mobility, comorbidities, Karnofsky Index and quality of life. Patients with a median age of 71 years (range 60-87 years) with myelodysplastic syndromes (n=63) or acute myeloid leukemia (n=132) were treated either with best supportive care (n=47), hypomethylating agents (n=73) or intensive chemotherapy/hematopoietic cell transplantation (n=75). After selection of variables, pathological activities of daily living and quality of life/fatigue remained highly predictive for overall survival in the entire patient group beyond disease-related risk factors adverse cytogenetics and blast count of 20% or over. In 107 patients treated non-intensively activities of daily living of less than 100 (hazard ratio, HR 2.94), Karnofsky Index below 80 (HR 2.34) and quality of life/'fatigue' of 50 or over (HR 1.77) were significant prognosticators. Summation of adverse features revealed a high risk of death (HR 9.36). In-depth evaluation of older patients prior to individual treatment allocation is feasible and provides additional information to standard assessment. Patients aged 60 years or over with newly diagnosed myelodysplastic syndromes/acute myeloid leukemia and impairments in activities of daily living, Karnofsky Index below 80%, quality of life/'fatigue' of 50 or over, are likely to have poor outcomes.", "author" : [ { "dropping-particle" : "", "family" : "Deschler", "given" : "Barbara", "non-dropping-particle" : "", "parse-names" : false, "suffix" : "" }, { "dropping-particle" : "", "family" : "Ihorst", "given" : "Gabriele", "non-dropping-particle" : "", "parse-names" : false, "suffix" : "" }, { "dropping-particle" : "", "family" : "Platzbecker", "given" : "Uwe", "non-dropping-particle" : "", "parse-names" : false, "suffix" : "" }, { "dropping-particle" : "", "family" : "Germing", "given" : "Ulrich", "non-dropping-particle" : "", "parse-names" : false, "suffix" : "" }, { "dropping-particle" : "", "family" : "M\u00e4rz", "given" : "Eva", "non-dropping-particle" : "", "parse-names" : false, "suffix" : "" }, { "dropping-particle" : "", "family" : "Figuerido", "given" : "Marcelo", "non-dropping-particle" : "De", "parse-names" : false, "suffix" : "" }, { "dropping-particle" : "", "family" : "Fritzsche", "given" : "Kurt", "non-dropping-particle" : "", "parse-names" : false, "suffix" : "" }, { "dropping-particle" : "", "family" : "Haas", "given" : "Peter", "non-dropping-particle" : "", "parse-names" : false, "suffix" : "" }, { "dropping-particle" : "", "family" : "Salih", "given" : "Helmut R.", "non-dropping-particle" : "", "parse-names" : false, "suffix" : "" }, { "dropping-particle" : "", "family" : "Giagounidis", "given" : "Aristoteles", "non-dropping-particle" : "", "parse-names" : false, "suffix" : "" }, { "dropping-particle" : "", "family" : "Selleslag", "given" : "Dominik", "non-dropping-particle" : "", "parse-names" : false, "suffix" : "" }, { "dropping-particle" : "", "family" : "Labar", "given" : "Boris", "non-dropping-particle" : "", "parse-names" : false, "suffix" : "" }, { "dropping-particle" : "", "family" : "Witte", "given" : "Theo", "non-dropping-particle" : "de", "parse-names" : false, "suffix" : "" }, { "dropping-particle" : "", "family" : "Wijermans", "given" : "Pierre", "non-dropping-particle" : "", "parse-names" : false, "suffix" : "" }, { "dropping-particle" : "", "family" : "L\u00fcbbert", "given" : "Michael", "non-dropping-particle" : "", "parse-names" : false, "suffix" : "" } ], "container-title" : "Haematologica", "id" : "ITEM-1", "issue" : "2", "issued" : { "date-parts" : [ [ "2013" ] ] }, "page" : "208-216", "title" : "Parameters detected by geriatric and quality of life assessment in 195 older patients with myelodysplastic syndromes and acute myeloid leukemia are highly predictive for outcome", "type" : "article-journal", "volume" : "98" }, "uris" : [ "http://www.mendeley.com/documents/?uuid=e24e963b-e8d7-4b25-b255-df66b9c3a55a" ] } ], "mendeley" : { "formattedCitation" : "(20)", "plainTextFormattedCitation" : "(20)", "previouslyFormattedCitation" : "(20)"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(20)</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2013</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r>
      <w:tr w:rsidR="00AC03F8" w:rsidRPr="008D10BE" w:rsidTr="002A55CB">
        <w:trPr>
          <w:trHeight w:hRule="exact" w:val="400"/>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Hamaker</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"10.1007/s00277-013-2001-0", "ISSN" : "14320584", "PMID" : "24488257", "abstract" : "The G8 screening tool was developed to separate fit older cancer patients who were able to receive standard treatment from those that should undergo a geriatric assessment to guide tailoring of therapy. We set out to determine the discriminative power and prognostic value of the G8 in older patients with a haematological malignancy. Between September 2009 and May 2013, a multi-dimensional geriatric assessment was performed in consecutive patients aged \u226567\u00a0years diagnosed with blood cancer at the Innsbruck University Hospital. The assessment included (instrumental) activities of daily living, cognition, mood, nutritional status, mobility, polypharmacy and social support. In parallel, the G8 was also administered (cut-off \u2264 14). Using a cut-off of \u22652 impaired domains, 70\u00a0% of the 108 included patients were considered as having an impaired geriatric assessment while 61\u00a0% had an impaired G8. The G8 lacked discriminative power for impairments on full geriatric assessment: sensitivity 69, specificity 79, positive predictive value 89 and negative predictive value 50\u00a0%. However, G8 was an independent predictor of mortality within the first year after inclusion (hazard ratio 3.93; 95\u00a0% confidence interval 1.67-9.22, p\u2009&lt;\u20090.001). Remarkably, patients with impaired G8 fared poorly, irrespective of treatment choices (p\u2009&lt;\u20090.001). This is the first report on the clinical and prognostic relevance of G8 in elderly patients with haematological malignancies. Although the G8 lacked discriminative power for outcome of multi-dimensional geriatric assessment, this score appears to be a powerful prognosticator and could potentially represent a useful tool in treatment decisions. This novel finding certainly deserves further exploration.", "author" : [ { "dropping-particle" : "", "family" : "Hamaker", "given" : "Marije E.", "non-dropping-particle" : "", "parse-names" : false, "suffix" : "" }, { "dropping-particle" : "", "family" : "Mitrovic", "given" : "M.", "non-dropping-particle" : "", "parse-names" : false, "suffix" : "" }, { "dropping-particle" : "", "family" : "Stauder", "given" : "R.", "non-dropping-particle" : "", "parse-names" : false, "suffix" : "" } ], "container-title" : "Annals of Hematology", "id" : "ITEM-1", "issue" : "6", "issued" : { "date-parts" : [ [ "2014" ] ] }, "page" : "1031-1040", "title" : "The G8 screening tool detects relevant geriatric impairments and predicts survival in elderly patients with a haematological malignancy", "type" : "article-journal", "volume" : "93" }, "uris" : [ "http://www.mendeley.com/documents/?uuid=815f6c84-8a98-4c26-be55-b62da9510e87" ] } ], "mendeley" : { "formattedCitation" : "(21)", "plainTextFormattedCitation" : "(21)", "previouslyFormattedCitation" : "(21)"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(21)</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2014</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r>
      <w:tr w:rsidR="00AC03F8" w:rsidRPr="008D10BE" w:rsidTr="002A55CB">
        <w:trPr>
          <w:trHeight w:hRule="exact" w:val="563"/>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Honecker</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"ISBN" : "0732-183X", "ISSN" : "0732-183X", "PMID" : "70242822", "abstract" : "Background: The internet based IN-GHO-Registry, a project of the Initiative for Geriatric Hematology and Oncology, supported by ORTHO BIOTECH, Division of Janssen-Cilag GmbH, Germany, prospectively collects data of elderly cancer pts. We report data from 1130 pts with solid tumors. Results of a CGA, physicians' and pts' judgement of fitness were studied in relation to mortality within 5-7 months. Methods: Demographic data, data on activities of daily living (ADL), instrumental activities of daily living (IADL), Karnofsky-Performance-Statuts (KPS), comorbidity (Charlson score), number of co-medication, mobility (Timed-Up&amp;Go), cognition (MMSE), and depression (SCID screening) were collected. Age, results of CGA, physicians' rating (fit vs compromised vs frail) and pts' self rated fitness for treatment (Likert scale 1= very fit to 6 = very unfit) were analysed for association with death. Follow-up (FU) was scheduled 5-7 months after inclusion. Results: 1130 pts, mean age 76.3 years (SD 4.7; range 69-95), 44% male, were included. Main diagnoses were gastrointestinal tumors (38%), breast cancer (12%), and lung cancer (11%). Physicians rated 58% of pts fit, 37% compromised, and 5% frail. Pts' self rating of fitness: 1 = 19%, 2 = 30%, 3 = 28%, 4 = 17%, 5 = 5%, 6 = 1%. During FU (median 177 days), 272 pts (24%) died. Mean age (76.5 vs. 76.3; p=0.75) was not associated with death. However, sex (male vs female, p&lt;0001), BMI (24.4 vs 25.9; p&lt;0001), Charlson-score (6.3 vs 5.5; p&lt;0001), number of co-medication (4.5 vs 3.7; p&lt;0001), ADL score (87.9 vs 93.9; p&lt;0001), IADL score (6.2 vs 7.0; p&lt;0001), KPS score (75% vs 83%; p&lt;0001), MMSE (25.6 vs. 26.2; p=0.045), categorical Timed-Up&amp;Go (less than 10s, 10-20s, more than 20s; p&lt;0001), categorical SCID (0, 1, 2; p=0.012), physicians' rating of fitness (fit, compromised, frail; p&lt;0001) and mean pts' rating of fitness (3.1 vs. 2.4; p&lt;0001) were significantly associated with death during FU. Conclusions: Pts characteristics as assessed by CGA and not age are associated with death in elderly pts with solid tumors.", "author" : [ { "dropping-particle" : "", "family" : "Honecker", "given" : "F U", "non-dropping-particle" : "", "parse-names" : false, "suffix" : "" }, { "dropping-particle" : "", "family" : "Wedding", "given" : "U", "non-dropping-particle" : "", "parse-names" : false, "suffix" : "" }, { "dropping-particle" : "", "family" : "Rettig", "given" : "K", "non-dropping-particle" : "", "parse-names" : false, "suffix" : "" }, { "dropping-particle" : "", "family" : "Huschens", "given" : "S", "non-dropping-particle" : "", "parse-names" : false, "suffix" : "" }, { "dropping-particle" : "", "family" : "Bokemeyer", "given" : "C", "non-dropping-particle" : "", "parse-names" : false, "suffix" : "" } ], "container-title" : "Journal of Clinical Oncology", "id" : "ITEM-1", "issued" : { "date-parts" : [ [ "2009" ] ] }, "page" : "9549", "title" : "Use of the Comprehensive Geriatric Assessment (CGA) in elderly patients (pts) with solid tumors to predict mortality", "type" : "article-journal", "volume" : "1)" }, "uris" : [ "http://www.mendeley.com/documents/?uuid=f8c03ee5-7802-4cc0-aa95-5d3f0d217e3f" ] } ], "mendeley" : { "formattedCitation" : "(22)", "plainTextFormattedCitation" : "(22)", "previouslyFormattedCitation" : "(22)"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(22)</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2009</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 xml:space="preserve">+ </w:t>
            </w:r>
          </w:p>
        </w:tc>
      </w:tr>
      <w:tr w:rsidR="00AC03F8" w:rsidRPr="008D10BE" w:rsidTr="002A55CB">
        <w:trPr>
          <w:trHeight w:hRule="exact" w:val="402"/>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Hoppe</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"10.1200/JCO.2012.47.7430", "ISSN" : "15277755", "abstract" : "Purpose To determine factors associated with early functional decline during first-line chemotherapy in older patients.Patients and Methods Patients age \u2265 70 years receiving first-line chemotherapy for cancer were prospectively considered for inclusion across 12 centers in France. Functional decline was defined as a decrease of \u2265 0.5 points on the Activities of Daily Living (ADL) scale between the beginning of chemotherapy and the second cycle. Factors associated with functional decline were sought from pretreatment abbreviated comprehensive geriatric assessment, including ADL, Instrumental ADL (IADL), Mini-Nutritional Assessment (MNA), Mini\u2013Mental State Examination (MMSE), Geriatric Depression Scale (GDS15), and Timed Get Up and Go (GUG) test, and from comorbidities (Cumulative Illness Rating Scale\u2013Geriatrics), MAX2 index, and baseline biologic and clinical information.Results Of 364 included patients, 50 experienced functional decline (16.7%; median, 0.5 points). Abnormal preadmission performance status, IADL, GDS15, MMSE, GUG, and MNA were associated with increased likelihood of functional decline (univariate analysis). In the multivariate model adjusted for baseline ADL and MAX2 index, high baseline GDS (odds ratio [OR], 2.16; 95% CI, 1.09 to 4.30; P = .03) and low IADL scores (OR, 2.87; 95% CI, 1.06 to 7.79; P = .04) were independently associated with increased risk of functional decline.Conclusion Our results outline associations between baseline depression, instrumental dependencies, and early functional decline during chemotherapy for older patients. ADL should be sequentially evaluated early during treatment. Baseline evaluation of GDS15 and IADL may be proposed to anticipate this event. ", "author" : [ { "dropping-particle" : "", "family" : "Hoppe", "given" : "St\u00e9phanie", "non-dropping-particle" : "", "parse-names" : false, "suffix" : "" }, { "dropping-particle" : "", "family" : "Rainfray", "given" : "Muriel", "non-dropping-particle" : "", "parse-names" : false, "suffix" : "" }, { "dropping-particle" : "", "family" : "Fonck", "given" : "Marianne", "non-dropping-particle" : "", "parse-names" : false, "suffix" : "" }, { "dropping-particle" : "", "family" : "Hoppenreys", "given" : "Laurent", "non-dropping-particle" : "", "parse-names" : false, "suffix" : "" }, { "dropping-particle" : "", "family" : "Blanc", "given" : "Jean Fr\u00e9d\u0301eric", "non-dropping-particle" : "", "parse-names" : false, "suffix" : "" }, { "dropping-particle" : "", "family" : "Ceccaldi", "given" : "Jo\u00ebl", "non-dropping-particle" : "", "parse-names" : false, "suffix" : "" }, { "dropping-particle" : "", "family" : "Mertens", "given" : "C\u00e9cile", "non-dropping-particle" : "", "parse-names" : false, "suffix" : "" }, { "dropping-particle" : "", "family" : "Blanc-Bisson", "given" : "Christ\u00e8le", "non-dropping-particle" : "", "parse-names" : false, "suffix" : "" }, { "dropping-particle" : "", "family" : "Imbert", "given" : "Yves", "non-dropping-particle" : "", "parse-names" : false, "suffix" : "" }, { "dropping-particle" : "", "family" : "Cany", "given" : "Laurent", "non-dropping-particle" : "", "parse-names" : false, "suffix" : "" }, { "dropping-particle" : "", "family" : "Vogt", "given" : "Luc", "non-dropping-particle" : "", "parse-names" : false, "suffix" : "" }, { "dropping-particle" : "", "family" : "Dauba", "given" : "J\u00e9r\u0302ome", "non-dropping-particle" : "", "parse-names" : false, "suffix" : "" }, { "dropping-particle" : "", "family" : "Houed\u0301\u00e9", "given" : "Nadine", "non-dropping-particle" : "", "parse-names" : false, "suffix" : "" }, { "dropping-particle" : "", "family" : "Bellera", "given" : "Carine a.", "non-dropping-particle" : "", "parse-names" : false, "suffix" : "" }, { "dropping-particle" : "", "family" : "Floquet", "given" : "Anne", "non-dropping-particle" : "", "parse-names" : false, "suffix" : "" }, { "dropping-particle" : "", "family" : "Fabry", "given" : "Marie No\u00eblle", "non-dropping-particle" : "", "parse-names" : false, "suffix" : "" }, { "dropping-particle" : "", "family" : "Ravaud", "given" : "Alain", "non-dropping-particle" : "", "parse-names" : false, "suffix" : "" }, { "dropping-particle" : "", "family" : "Chakiba", "given" : "Camille", "non-dropping-particle" : "", "parse-names" : false, "suffix" : "" }, { "dropping-particle" : "", "family" : "Mathoulin-Pe\u013aissier", "given" : "Simone", "non-dropping-particle" : "", "parse-names" : false, "suffix" : "" }, { "dropping-particle" : "", "family" : "Soubeyran", "given" : "Pierre", "non-dropping-particle" : "", "parse-names" : false, "suffix" : "" } ], "container-title" : "Journal of Clinical Oncology", "id" : "ITEM-1", "issue" : "31", "issued" : { "date-parts" : [ [ "2013" ] ] }, "page" : "3877-3882", "title" : "Functional decline in older patients with cancer receiving first-line chemotherapy", "type" : "article-journal", "volume" : "31" }, "uris" : [ "http://www.mendeley.com/documents/?uuid=67daf3e9-f19f-4389-8bae-d01044dcbae1" ] } ], "mendeley" : { "formattedCitation" : "(23)", "plainTextFormattedCitation" : "(23)", "previouslyFormattedCitation" : "(23)"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(23)</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2013</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r>
      <w:tr w:rsidR="00AC03F8" w:rsidRPr="008D10BE" w:rsidTr="002A55CB">
        <w:trPr>
          <w:trHeight w:hRule="exact" w:val="482"/>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Huisman</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"10.1371/journal.pone.0086863", "ISSN" : "19326203", "PMID" : "24475186", "abstract" : "OBJECTIVE: To determine the predictive value of the \"Timed Up &amp; Go\" (TUG), a validated assessment tool, on a prospective cohort study and to compare these findings to the ASA classification, an instrument commonly used for quantifying patients' physical status and anesthetic risk.\\n\\nBACKGROUND: In the onco-geriatric surgical population it is important to identify patients at increased risk of adverse post-operative outcome to minimize the risk of over- and under-treatment and improve outcome in this population.\\n\\nMETHODS: 280 patients \u226570 years undergoing elective surgery for solid tumors were prospectively recruited. Primary endpoint was 30-day morbidity. Pre-operatively TUG was administered and ASA-classification was registered. Data were analyzed using multivariable logistic regression analyses to estimate odds ratios (OR) and 95% confidence intervals (95%-CI). Absolute risks and area under the receiver operating characteristic curves (AUC's) were calculated.\\n\\nRESULTS: 180 (64.3%) patients (median age: 76) underwent major surgery. 55 (20.1%) patients experienced major complications. 50.0% of patients with high TUG and 25.6% of patients with ASA\u22653 experienced major complications (absolute risks). TUG and ASA were independent predictors of the occurrence of major complications (TUG:OR 3.43; 95%-CI\u200a=\u200a1.14-10.35. ASA1 vs. 2:OR 5.91; 95%-CI\u200a=\u200a0.93-37.77. ASA1 vs. 3&amp;4:OR 12.77; 95%-CI\u200a=\u200a1.84-88.74). AUCTUG was 0.64 (95%-CI\u200a=\u200a0.55-0.73, p\u200a=\u200a0.001) and AUCASA was 0.59 (95%-CI\u200a=\u200a0.51-0.67, p\u200a=\u200a0.04).\\n\\nCONCLUSIONS: Twice as many onco-geriatric patients at risk of post-operative complications, who might benefit from pre-operative interventions, are identified using TUG than when using ASA.", "author" : [ { "dropping-particle" : "", "family" : "Huisman", "given" : "Monique G.", "non-dropping-particle" : "", "parse-names" : false, "suffix" : "" }, { "dropping-particle" : "", "family" : "Leeuwen", "given" : "Barbara L.", "non-dropping-particle" : "Van", "parse-names" : false, "suffix" : "" }, { "dropping-particle" : "", "family" : "Ugolini", "given" : "Giampaolo", "non-dropping-particle" : "", "parse-names" : false, "suffix" : "" }, { "dropping-particle" : "", "family" : "Montroni", "given" : "Isacco", "non-dropping-particle" : "", "parse-names" : false, "suffix" : "" }, { "dropping-particle" : "", "family" : "Spiliotis", "given" : "John", "non-dropping-particle" : "", "parse-names" : false, "suffix" : "" }, { "dropping-particle" : "", "family" : "Stabilini", "given" : "Cesare", "non-dropping-particle" : "", "parse-names" : false, "suffix" : "" }, { "dropping-particle" : "", "family" : "Carino", "given" : "Nicola De Liguori", "non-dropping-particle" : "", "parse-names" : false, "suffix" : "" }, { "dropping-particle" : "", "family" : "Farinella", "given" : "Eriberto", "non-dropping-particle" : "", "parse-names" : false, "suffix" : "" }, { "dropping-particle" : "", "family" : "Bock", "given" : "Geertruida H.", "non-dropping-particle" : "De", "parse-names" : false, "suffix" : "" }, { "dropping-particle" : "", "family" : "Audisio", "given" : "Riccardo a.", "non-dropping-particle" : "", "parse-names" : false, "suffix" : "" } ], "container-title" : "PLoS ONE", "id" : "ITEM-1", "issue" : "1", "issued" : { "date-parts" : [ [ "2014" ] ] }, "title" : "\"Timed Up &amp; Go\": A screening tool for predicting 30-day morbidity in onco-geriatric surgical patients? A multicenter cohort study", "type" : "article-journal", "volume" : "9" }, "uris" : [ "http://www.mendeley.com/documents/?uuid=142a614f-95a6-434d-b5ea-3d7718bd1e0c" ] } ], "mendeley" : { "formattedCitation" : "(24)", "plainTextFormattedCitation" : "(24)", "previouslyFormattedCitation" : "(24)"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(24)</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2014</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 xml:space="preserve">+ </w:t>
            </w:r>
          </w:p>
        </w:tc>
      </w:tr>
      <w:tr w:rsidR="00AC03F8" w:rsidRPr="008D10BE" w:rsidTr="002A55CB">
        <w:trPr>
          <w:trHeight w:hRule="exact" w:val="696"/>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Hurria</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"10.1200/JCO.2011.34.7625", "ISSN" : "0732183X", "abstract" : "Purpose Older adults are vulnerable to chemotherapy toxicity; however, there are limited data to identify those at risk. The goals of this study are to identify risk factors for chemotherapy toxicity in older adults and develop a risk stratification schema for chemotherapy toxicity.Patients and Methods Patients age \u2265 65 years with cancer from seven institutions completed a prechemotherapy assessment that captured sociodemographics, tumor/treatment variables, laboratory test results, and geriatric assessment variables (function, comorbidity, cognition, psychological state, social activity/support, and nutritional status). Patients were followed through the chemotherapy course to capture grade 3 (severe), grade 4 (life-threatening or disabling), and grade 5 (death) as defined by the National Cancer Institute Common Terminology Criteria for Adverse Events.Results In total, 500 patients with a mean age of 73 years (range, 65 to 91 years) with stage I to IV lung (29%), GI (27%), gynecologic (17%), breast (11%), genitourinary (10%), or other (6%) cancer joined this prospective study. Grade 3 to 5 toxicity occurred in 53% of the patients (39% grade 3, 12% grade 4, 2% grade 5). A predictive model for grade 3 to 5 toxicity was developed that consisted of geriatric assessment variables, laboratory test values, and patient, tumor, and treatment characteristics. A scoring system in which the median risk score was 7 (range, 0 to 19) and risk stratification schema (risk score: percent incidence of grade 3 to 5 toxicity) identified older adults at low (0 to 5 points; 30%), intermediate (6 to 9 points; 52%), or high risk (10 to 19 points; 83%) of chemotherapy toxicity (P &lt; .001).Conclusion A risk stratification schema can establish the risk of chemotherapy toxicity in older adults. Geriatric assessment variables independently predicted the risk of toxicity. ", "author" : [ { "dropping-particle" : "", "family" : "Hurria", "given" : "Arti", "non-dropping-particle" : "", "parse-names" : false, "suffix" : "" }, { "dropping-particle" : "", "family" : "Togawa", "given" : "Kayo", "non-dropping-particle" : "", "parse-names" : false, "suffix" : "" }, { "dropping-particle" : "", "family" : "Mohile", "given" : "Supriya G.", "non-dropping-particle" : "", "parse-names" : false, "suffix" : "" }, { "dropping-particle" : "", "family" : "Owusu", "given" : "Cynthia", "non-dropping-particle" : "", "parse-names" : false, "suffix" : "" }, { "dropping-particle" : "", "family" : "Klepin", "given" : "Heidi D.", "non-dropping-particle" : "", "parse-names" : false, "suffix" : "" }, { "dropping-particle" : "", "family" : "Gross", "given" : "Cary P.", "non-dropping-particle" : "", "parse-names" : false, "suffix" : "" }, { "dropping-particle" : "", "family" : "Lichtman", "given" : "Stuart M.", "non-dropping-particle" : "", "parse-names" : false, "suffix" : "" }, { "dropping-particle" : "", "family" : "Gajra", "given" : "Ajeet", "non-dropping-particle" : "", "parse-names" : false, "suffix" : "" }, { "dropping-particle" : "", "family" : "Bhatia", "given" : "Smita", "non-dropping-particle" : "", "parse-names" : false, "suffix" : "" }, { "dropping-particle" : "", "family" : "Katheria", "given" : "Vani", "non-dropping-particle" : "", "parse-names" : false, "suffix" : "" }, { "dropping-particle" : "", "family" : "Klapper", "given" : "Shira", "non-dropping-particle" : "", "parse-names" : false, "suffix" : "" }, { "dropping-particle" : "", "family" : "Hansen", "given" : "Kurt", "non-dropping-particle" : "", "parse-names" : false, "suffix" : "" }, { "dropping-particle" : "", "family" : "Ramani", "given" : "Rupal", "non-dropping-particle" : "", "parse-names" : false, "suffix" : "" }, { "dropping-particle" : "", "family" : "Lachs", "given" : "Mark", "non-dropping-particle" : "", "parse-names" : false, "suffix" : "" }, { "dropping-particle" : "", "family" : "Wong", "given" : "F. Lennie", "non-dropping-particle" : "", "parse-names" : false, "suffix" : "" }, { "dropping-particle" : "", "family" : "Tew", "given" : "William P.", "non-dropping-particle" : "", "parse-names" : false, "suffix" : "" } ], "container-title" : "Journal of Clinical Oncology", "id" : "ITEM-1", "issue" : "25", "issued" : { "date-parts" : [ [ "2011" ] ] }, "page" : "3457-3465", "title" : "Predicting chemotherapy toxicity in older adults with cancer: A prospective multicenter study", "type" : "article-journal", "volume" : "29" }, "uris" : [ "http://www.mendeley.com/documents/?uuid=14ad8549-c920-44eb-bd96-fdffbefdc02e" ] } ], "mendeley" : { "formattedCitation" : "(25)", "plainTextFormattedCitation" : "(25)", "previouslyFormattedCitation" : "(25)"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(25)</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2011</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r>
      <w:tr w:rsidR="00AC03F8" w:rsidRPr="008D10BE" w:rsidTr="002A55CB">
        <w:trPr>
          <w:trHeight w:hRule="exact" w:val="402"/>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Kanesvaran</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"10.1200/JCO.2010.32.0796", "ISSN" : "0732-183X", "PMID" : "21859998", "author" : [ { "dropping-particle" : "", "family" : "Kanesvaran", "given" : "R.", "non-dropping-particle" : "", "parse-names" : false, "suffix" : "" }, { "dropping-particle" : "", "family" : "Li", "given" : "H.", "non-dropping-particle" : "", "parse-names" : false, "suffix" : "" }, { "dropping-particle" : "", "family" : "Koo", "given" : "K.-N.", "non-dropping-particle" : "", "parse-names" : false, "suffix" : "" }, { "dropping-particle" : "", "family" : "Poon", "given" : "D.", "non-dropping-particle" : "", "parse-names" : false, "suffix" : "" } ], "container-title" : "Journal of Clinical Oncology", "id" : "ITEM-1", "issue" : "27", "issued" : { "date-parts" : [ [ "2011" ] ] }, "page" : "3620-3627", "title" : "Analysis of Prognostic Factors of Comprehensive Geriatric Assessment and Development of a Clinical Scoring System in Elderly Asian Patients With Cancer", "type" : "article-journal", "volume" : "29" }, "uris" : [ "http://www.mendeley.com/documents/?uuid=ae31d070-c6aa-47c6-be96-a39065d9e4cf" ] } ], "mendeley" : { "formattedCitation" : "(26)", "plainTextFormattedCitation" : "(26)", "previouslyFormattedCitation" : "(26)"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(26)</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2011</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p w:rsidR="00AC03F8" w:rsidRPr="008D10BE" w:rsidRDefault="00AC03F8" w:rsidP="002A55CB">
            <w:pPr>
              <w:jc w:val="center"/>
              <w:rPr>
                <w:rFonts w:ascii="Arial" w:hAnsi="Arial" w:cs="Arial"/>
                <w:sz w:val="16"/>
                <w:szCs w:val="16"/>
              </w:rPr>
            </w:pP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r>
      <w:tr w:rsidR="00AC03F8" w:rsidRPr="008D10BE" w:rsidTr="002A55CB">
        <w:trPr>
          <w:trHeight w:hRule="exact" w:val="540"/>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Klepin</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"10.1111/j.1532-5415.2009.02620.x", "ISBN" : "1532-5415 (Electronic)\\r0002-8614 (Linking)", "ISSN" : "00028614", "PMID" : "20122042", "abstract" : "OBJECTIVES: To evaluate objective physical performance measures as predictors of survival and subsequent disability in older patients with cancer. DESIGN: Longitudinal cohort study. SETTING: Health, Aging and Body Composition (Health ABC) Study. PARTICIPANTS: Four hundred twenty-nine individuals diagnosed with cancer during the first 6 years of follow-up of the Health ABC Study. MEASUREMENTS: The associations between precancer measures of physical performance (20-m usual gait speed, 400-m long-distance corridor walk (LDCW), and grip strength) and overall survival and a short-term outcome of 2-year progression to disability or death were evaluated. Cox proportional hazards and logistic regression models, stratified for metastatic disease, respectively, were used for outcomes. RESULTS: Mean age was 77.2, 36.1% were women, and 45.7% were black. Faster 20-m usual walking speed was associated with a lower risk of death in the metastatic group (hazard ratio=0.89, 95% confidence interval (CI)=0.79-0.99) and lower 2-year progression to disability or death in the nonmetastatic group (odds ratio (OR)=0.77, 95% CI=0.64-0.94). Ability to complete the 400-m LDCW was associated with lower 2-year progression to disability or death in the nonmetastatic group (OR=0.24, 95% CI=0.10-0.62). There were no associations between grip strength and disability or death. CONCLUSION: Lower extremity physical performance tests (usual gait speed and 400-m LDCW) were associated with survival and 2-year progression to disability or death. Objective physical performance measures may help inform pretreatment evaluations in older adults with cancer.", "author" : [ { "dropping-particle" : "", "family" : "Klepin", "given" : "Heidi D.", "non-dropping-particle" : "", "parse-names" : false, "suffix" : "" }, { "dropping-particle" : "", "family" : "Geiger", "given" : "Ann M.", "non-dropping-particle" : "", "parse-names" : false, "suffix" : "" }, { "dropping-particle" : "", "family" : "Tooze", "given" : "Janet a.", "non-dropping-particle" : "", "parse-names" : false, "suffix" : "" }, { "dropping-particle" : "", "family" : "Newman", "given" : "Anne B.", "non-dropping-particle" : "", "parse-names" : false, "suffix" : "" }, { "dropping-particle" : "", "family" : "Colbert", "given" : "Lisa H.", "non-dropping-particle" : "", "parse-names" : false, "suffix" : "" }, { "dropping-particle" : "", "family" : "Bauer", "given" : "Douglas C.", "non-dropping-particle" : "", "parse-names" : false, "suffix" : "" }, { "dropping-particle" : "", "family" : "Satterfield", "given" : "Suzanne", "non-dropping-particle" : "", "parse-names" : false, "suffix" : "" }, { "dropping-particle" : "", "family" : "Pavon", "given" : "Juliessa", "non-dropping-particle" : "", "parse-names" : false, "suffix" : "" }, { "dropping-particle" : "", "family" : "Kritchevsky", "given" : "Stephen B.", "non-dropping-particle" : "", "parse-names" : false, "suffix" : "" } ], "container-title" : "Journal of the American Geriatrics Society", "id" : "ITEM-1", "issue" : "1", "issued" : { "date-parts" : [ [ "2010" ] ] }, "page" : "76-82", "title" : "Physical performance and subsequent disability and survival in older adults with malignancy: Results from the health, aging and body composition study", "type" : "article-journal", "volume" : "58" }, "uris" : [ "http://www.mendeley.com/documents/?uuid=21efe822-063f-4965-81d5-cb30e1ef3d6b" ] } ], "mendeley" : { "formattedCitation" : "(28)", "plainTextFormattedCitation" : "(28)", "previouslyFormattedCitation" : "(28)"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540FCD">
              <w:rPr>
                <w:rFonts w:ascii="Arial" w:hAnsi="Arial" w:cs="Arial"/>
                <w:bCs/>
                <w:noProof/>
                <w:sz w:val="16"/>
                <w:szCs w:val="16"/>
                <w:lang w:eastAsia="en-US"/>
              </w:rPr>
              <w:t>(28)</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2010</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r>
      <w:tr w:rsidR="00AC03F8" w:rsidRPr="008D10BE" w:rsidTr="002A55CB">
        <w:trPr>
          <w:trHeight w:hRule="exact" w:val="546"/>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Klepin</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"10.1182/blood-2012-12-471680.Presented", "author" : [ { "dropping-particle" : "", "family" : "Klepin", "given" : "Heidi D", "non-dropping-particle" : "", "parse-names" : false, "suffix" : "" }, { "dropping-particle" : "", "family" : "Geiger", "given" : "Ann M", "non-dropping-particle" : "", "parse-names" : false, "suffix" : "" }, { "dropping-particle" : "", "family" : "Tooze", "given" : "Janet a", "non-dropping-particle" : "", "parse-names" : false, "suffix" : "" }, { "dropping-particle" : "", "family" : "Kritchevsky", "given" : "Stephen B", "non-dropping-particle" : "", "parse-names" : false, "suffix" : "" }, { "dropping-particle" : "", "family" : "Williamson", "given" : "Jeff D", "non-dropping-particle" : "", "parse-names" : false, "suffix" : "" }, { "dropping-particle" : "", "family" : "Pardee", "given" : "Timothy S", "non-dropping-particle" : "", "parse-names" : false, "suffix" : "" }, { "dropping-particle" : "", "family" : "Ellis", "given" : "Leslie R", "non-dropping-particle" : "", "parse-names" : false, "suffix" : "" }, { "dropping-particle" : "", "family" : "Powell", "given" : "Bayard L", "non-dropping-particle" : "", "parse-names" : false, "suffix" : "" } ], "id" : "ITEM-1", "issue" : "21", "issued" : { "date-parts" : [ [ "2013" ] ] }, "page" : "4287-4294", "title" : "Geriatric assessment predicts survival for older adults receiving induction chemotherapy for acute myelogenous leukemia", "type" : "article-journal", "volume" : "121" }, "uris" : [ "http://www.mendeley.com/documents/?uuid=80dcff28-2b8c-49df-867c-6b6c65363f78" ] } ], "mendeley" : { "formattedCitation" : "(27)", "plainTextFormattedCitation" : "(27)", "previouslyFormattedCitation" : "(27)"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540FCD">
              <w:rPr>
                <w:rFonts w:ascii="Arial" w:hAnsi="Arial" w:cs="Arial"/>
                <w:bCs/>
                <w:noProof/>
                <w:sz w:val="16"/>
                <w:szCs w:val="16"/>
                <w:lang w:eastAsia="en-US"/>
              </w:rPr>
              <w:t>(27)</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2013</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 xml:space="preserve">+ </w:t>
            </w:r>
          </w:p>
        </w:tc>
      </w:tr>
      <w:tr w:rsidR="00AC03F8" w:rsidRPr="008D10BE" w:rsidTr="002A55CB">
        <w:trPr>
          <w:trHeight w:hRule="exact" w:val="392"/>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Muffly</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"10.1016/j.bbmt.2013.12.031", "ISSN" : "10838791", "author" : [ { "dropping-particle" : "", "family" : "Muffly", "given" : "Lori", "non-dropping-particle" : "", "parse-names" : false, "suffix" : "" }, { "dropping-particle" : "", "family" : "Kocherginsky", "given" : "Masha", "non-dropping-particle" : "", "parse-names" : false, "suffix" : "" }, { "dropping-particle" : "", "family" : "Stock", "given" : "Wendy", "non-dropping-particle" : "", "parse-names" : false, "suffix" : "" }, { "dropping-particle" : "", "family" : "Chu", "given" : "Quynh", "non-dropping-particle" : "", "parse-names" : false, "suffix" : "" }, { "dropping-particle" : "", "family" : "Bishop", "given" : "Michael R.", "non-dropping-particle" : "", "parse-names" : false, "suffix" : "" }, { "dropping-particle" : "", "family" : "Godley", "given" : "Lucy", "non-dropping-particle" : "", "parse-names" : false, "suffix" : "" }, { "dropping-particle" : "", "family" : "Kline", "given" : "Justin", "non-dropping-particle" : "", "parse-names" : false, "suffix" : "" }, { "dropping-particle" : "", "family" : "Liu", "given" : "Hongtao", "non-dropping-particle" : "", "parse-names" : false, "suffix" : "" }, { "dropping-particle" : "", "family" : "Odenike", "given" : "Olatoyosi", "non-dropping-particle" : "", "parse-names" : false, "suffix" : "" }, { "dropping-particle" : "", "family" : "Larson", "given" : "Richard", "non-dropping-particle" : "", "parse-names" : false, "suffix" : "" }, { "dropping-particle" : "", "family" : "Besien", "given" : "Koen", "non-dropping-particle" : "van", "parse-names" : false, "suffix" : "" }, { "dropping-particle" : "", "family" : "Artz", "given" : "Andrew S.", "non-dropping-particle" : "", "parse-names" : false, "suffix" : "" } ], "container-title" : "Biology of Blood and Marrow Transplantation", "id" : "ITEM-1", "issue" : "2", "issued" : { "date-parts" : [ [ "2014" ] ] }, "page" : "S39-S40", "title" : "Geriatric Assessment (GA) to Predict Survival in Older Allogeneic Hematopoietic Cell Transplantation (HCT) Recipients", "type" : "article-journal", "volume" : "20" }, "uris" : [ "http://www.mendeley.com/documents/?uuid=605f4a63-29a3-4b1d-92d6-33ed69f76dbe" ] } ], "mendeley" : { "formattedCitation" : "(29)", "plainTextFormattedCitation" : "(29)", "previouslyFormattedCitation" : "(29)"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(29)</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2014</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 xml:space="preserve">+ </w:t>
            </w:r>
          </w:p>
        </w:tc>
      </w:tr>
      <w:tr w:rsidR="00AC03F8" w:rsidRPr="008D10BE" w:rsidTr="002A55CB">
        <w:trPr>
          <w:trHeight w:hRule="exact" w:val="675"/>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Ramsdale</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"http://dx.doi.org/10.1111/j.1532-5415.2012.04000.x", "ISBN" : "0002-8614", "PMID" : "70737412", "abstract" : "Background: 75% of CRC patients (pts) are &gt;=65 years. To assist with prognostication and treatment selection, oncologists typically use the Eastern Cooperative Oncology Group Performance Status (ECOG PS), a subjective overall assessment by the physician, graded on a 0 (asymptomatic and fully functional) to 5 (dead) scale. Age is also frequently considered in therapy decisions. Age and ECOG PS alone may be insufficient to predict chemotherapy tolerance and clinical outcomes. This prospective trial investigates the efficacy of CGA for predicting these endpoints. Methods: CRC pts &gt;=65 years and eligible to receive chemotherapy were enrolled between Feb. 2006 and Feb. 2009 (n = 38). Baseline ECOG PS and CGA measures, including functional status, performance status, cognition, comorbidities, and nutrition were collected using validated tools. Chemotherapy administration was standardized using 'relative dose intensity' (RDI), a ratio of received to expected doses for the first 2 months of therapy. Overall survival (OS) data was collected. Results: Median age was 72 (range: 65-89); 63% male; 50% African American, 47% white, 3% Hispanic; 79% with stage IV disease at time of enrollment. RDI was most correlated with performance status as measured by Short Physical Performance Battery (SPPB, r2=0.25, p=0.003) and total comorbidities (r2=0.20, p=0.006). ECOG PS had the strongest correlation with RDI&gt;0.85 (p=0.02). OS was associated with ECOG PS (HR 1.8, p=0.05), Activities of Daily Living (ADL) impairment (HR 5.6, p=0.005), and Vulnerable Elders Survey (VES-13, HR 5.3, p=0.002), but only VES-13 (HR 15.61, p=0.016) was significant in a backward stepwise multivariate regression model. Age was not associated with either RDI or OS. Conclusions: ECOG PS was associated with completing RDI&gt;85%, a commonly used and validated cut-off for chemotherapy efficacy. SPPB may help further risk-stratify. VES-13, a validated 13- item questionnaire which is easily administered in clinic, was the strongest correlate of OS, stronger than age or ECOG PS. Age was not correlated with completion of full dose chemotherapy or OS in this older cohort. Geriatric screening measures including SPPB and VES-13 should be used in addition to ECOG PS to risk-stratify older patients with CRC.", "author" : [ { "dropping-particle" : "", "family" : "Ramsdale", "given" : "E", "non-dropping-particle" : "", "parse-names" : false, "suffix" : "" }, { "dropping-particle" : "", "family" : "Bylow", "given" : "K", "non-dropping-particle" : "", "parse-names" : false, "suffix" : "" }, { "dropping-particle" : "", "family" : "Polite", "given" : "B", "non-dropping-particle" : "", "parse-names" : false, "suffix" : "" }, { "dropping-particle" : "", "family" : "Kindler", "given" : "H", "non-dropping-particle" : "", "parse-names" : false, "suffix" : "" }, { "dropping-particle" : "", "family" : "Dale", "given" : "W", "non-dropping-particle" : "", "parse-names" : false, "suffix" : "" } ], "container-title" : "Journal of the American Geriatrics Society", "id" : "ITEM-1", "issued" : { "date-parts" : [ [ "2012" ] ] }, "page" : "S2", "title" : "Relationship between components of the Comprehensive Geriatric Assessment (CGA), chemotherapy dose intensity and overall survival in a colorectal cancer (CRC) cohort age 65 and over", "type" : "article-journal", "volume" : "60" }, "uris" : [ "http://www.mendeley.com/documents/?uuid=b0db47d4-74c1-49c1-b2b6-4be2bad423ff" ] } ], "mendeley" : { "formattedCitation" : "(30)", "plainTextFormattedCitation" : "(30)", "previouslyFormattedCitation" : "(30)"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(30)</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2012</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r>
      <w:tr w:rsidR="00AC03F8" w:rsidRPr="008D10BE" w:rsidTr="002A55CB">
        <w:trPr>
          <w:trHeight w:hRule="exact" w:val="690"/>
        </w:trPr>
        <w:tc>
          <w:tcPr>
            <w:tcW w:w="1559" w:type="dxa"/>
          </w:tcPr>
          <w:p w:rsidR="00AC03F8" w:rsidRPr="008D10BE" w:rsidRDefault="00AC03F8" w:rsidP="002A55CB">
            <w:pPr>
              <w:rPr>
                <w:rFonts w:ascii="Arial" w:hAnsi="Arial" w:cs="Arial"/>
                <w:bCs/>
                <w:sz w:val="16"/>
                <w:szCs w:val="16"/>
                <w:lang w:eastAsia="en-US"/>
              </w:rPr>
            </w:pPr>
            <w:r w:rsidRPr="008D10BE">
              <w:rPr>
                <w:rFonts w:ascii="Arial" w:hAnsi="Arial" w:cs="Arial"/>
                <w:bCs/>
                <w:sz w:val="16"/>
                <w:szCs w:val="16"/>
                <w:lang w:eastAsia="en-US"/>
              </w:rPr>
              <w:t>Soubeyran</w:t>
            </w:r>
            <w:r w:rsidRPr="008D10BE">
              <w:rPr>
                <w:rFonts w:ascii="Arial" w:hAnsi="Arial" w:cs="Arial"/>
                <w:bCs/>
                <w:sz w:val="16"/>
                <w:szCs w:val="16"/>
                <w:lang w:eastAsia="en-US"/>
              </w:rPr>
              <w:fldChar w:fldCharType="begin" w:fldLock="1"/>
            </w:r>
            <w:r>
              <w:rPr>
                <w:rFonts w:ascii="Arial" w:hAnsi="Arial" w:cs="Arial"/>
                <w:bCs/>
                <w:sz w:val="16"/>
                <w:szCs w:val="16"/>
                <w:lang w:eastAsia="en-US"/>
              </w:rPr>
              <w:instrText>ADDIN CSL_CITATION { "citationItems" : [ { "id" : "ITEM-1", "itemData" : { "DOI" : "10.1200/JCO.2011.35.7442", "ISSN" : "0732-183X", "author" : [ { "dropping-particle" : "", "family" : "Soubeyran", "given" : "P.", "non-dropping-particle" : "", "parse-names" : false, "suffix" : "" }, { "dropping-particle" : "", "family" : "Fonck", "given" : "M.", "non-dropping-particle" : "", "parse-names" : false, "suffix" : "" }, { "dropping-particle" : "", "family" : "Blanc-Bisson", "given" : "C.", "non-dropping-particle" : "", "parse-names" : false, "suffix" : "" }, { "dropping-particle" : "", "family" : "Blanc", "given" : "J.-F.", "non-dropping-particle" : "", "parse-names" : false, "suffix" : "" }, { "dropping-particle" : "", "family" : "Ceccaldi", "given" : "J.", "non-dropping-particle" : "", "parse-names" : false, "suffix" : "" }, { "dropping-particle" : "", "family" : "Mertens", "given" : "C.", "non-dropping-particle" : "", "parse-names" : false, "suffix" : "" }, { "dropping-particle" : "", "family" : "Imbert", "given" : "Y.", "non-dropping-particle" : "", "parse-names" : false, "suffix" : "" }, { "dropping-particle" : "", "family" : "Cany", "given" : "L.", "non-dropping-particle" : "", "parse-names" : false, "suffix" : "" }, { "dropping-particle" : "", "family" : "Vogt", "given" : "L.", "non-dropping-particle" : "", "parse-names" : false, "suffix" : "" }, { "dropping-particle" : "", "family" : "Dauba", "given" : "J.", "non-dropping-particle" : "", "parse-names" : false, "suffix" : "" }, { "dropping-particle" : "", "family" : "Andriamampionona", "given" : "F.", "non-dropping-particle" : "", "parse-names" : false, "suffix" : "" }, { "dropping-particle" : "", "family" : "Houede", "given" : "N.", "non-dropping-particle" : "", "parse-names" : false, "suffix" : "" }, { "dropping-particle" : "", "family" : "Floquet", "given" : "a.", "non-dropping-particle" : "", "parse-names" : false, "suffix" : "" }, { "dropping-particle" : "", "family" : "Chomy", "given" : "F.", "non-dropping-particle" : "", "parse-names" : false, "suffix" : "" }, { "dropping-particle" : "", "family" : "Brouste", "given" : "V.", "non-dropping-particle" : "", "parse-names" : false, "suffix" : "" }, { "dropping-particle" : "", "family" : "Ravaud", "given" : "a.", "non-dropping-particle" : "", "parse-names" : false, "suffix" : "" }, { "dropping-particle" : "", "family" : "Bellera", "given" : "C.", "non-dropping-particle" : "", "parse-names" : false, "suffix" : "" }, { "dropping-particle" : "", "family" : "Rainfray", "given" : "M.", "non-dropping-particle" : "", "parse-names" : false, "suffix" : "" } ], "container-title" : "Journal of Clinical Oncology", "id" : "ITEM-1", "issue" : "15", "issued" : { "date-parts" : [ [ "2012" ] ] }, "page" : "1829-1834", "title" : "Predictors of Early Death Risk in Older Patients Treated With First-Line Chemotherapy for Cancer", "type" : "article-journal", "volume" : "30" }, "uris" : [ "http://www.mendeley.com/documents/?uuid=c968230f-46a8-4fa5-a69c-b58bd4ee9312" ] } ], "mendeley" : { "formattedCitation" : "(31)", "plainTextFormattedCitation" : "(31)", "previouslyFormattedCitation" : "(31)" }, "properties" : { "noteIndex" : 0 }, "schema" : "https://github.com/citation-style-language/schema/raw/master/csl-citation.json" }</w:instrText>
            </w:r>
            <w:r w:rsidRPr="008D10BE">
              <w:rPr>
                <w:rFonts w:ascii="Arial" w:hAnsi="Arial" w:cs="Arial"/>
                <w:bCs/>
                <w:sz w:val="16"/>
                <w:szCs w:val="16"/>
                <w:lang w:eastAsia="en-US"/>
              </w:rPr>
              <w:fldChar w:fldCharType="separate"/>
            </w:r>
            <w:r w:rsidRPr="000F40A6">
              <w:rPr>
                <w:rFonts w:ascii="Arial" w:hAnsi="Arial" w:cs="Arial"/>
                <w:bCs/>
                <w:noProof/>
                <w:sz w:val="16"/>
                <w:szCs w:val="16"/>
                <w:lang w:eastAsia="en-US"/>
              </w:rPr>
              <w:t>(31)</w:t>
            </w:r>
            <w:r w:rsidRPr="008D10BE">
              <w:rPr>
                <w:rFonts w:ascii="Arial" w:hAnsi="Arial" w:cs="Arial"/>
                <w:bCs/>
                <w:sz w:val="16"/>
                <w:szCs w:val="16"/>
                <w:lang w:eastAsia="en-US"/>
              </w:rPr>
              <w:fldChar w:fldCharType="end"/>
            </w:r>
          </w:p>
        </w:tc>
        <w:tc>
          <w:tcPr>
            <w:tcW w:w="1185" w:type="dxa"/>
          </w:tcPr>
          <w:p w:rsidR="00AC03F8" w:rsidRPr="008D10BE" w:rsidRDefault="00AC03F8" w:rsidP="002A55CB">
            <w:pPr>
              <w:jc w:val="center"/>
              <w:rPr>
                <w:rFonts w:ascii="Arial" w:hAnsi="Arial" w:cs="Arial"/>
                <w:bCs/>
                <w:sz w:val="16"/>
                <w:szCs w:val="16"/>
                <w:lang w:eastAsia="en-US"/>
              </w:rPr>
            </w:pPr>
            <w:r w:rsidRPr="008D10BE">
              <w:rPr>
                <w:rFonts w:ascii="Arial" w:hAnsi="Arial" w:cs="Arial"/>
                <w:bCs/>
                <w:sz w:val="16"/>
                <w:szCs w:val="16"/>
                <w:lang w:eastAsia="en-US"/>
              </w:rPr>
              <w:t>2012</w:t>
            </w:r>
          </w:p>
        </w:tc>
        <w:tc>
          <w:tcPr>
            <w:tcW w:w="619" w:type="dxa"/>
            <w:tcBorders>
              <w:left w:val="double" w:sz="4" w:space="0" w:color="auto"/>
            </w:tcBorders>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709"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5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676"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075"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w:t>
            </w:r>
          </w:p>
        </w:tc>
        <w:tc>
          <w:tcPr>
            <w:tcW w:w="2410" w:type="dxa"/>
            <w:tcMar>
              <w:top w:w="28" w:type="dxa"/>
              <w:left w:w="28" w:type="dxa"/>
              <w:bottom w:w="28" w:type="dxa"/>
              <w:right w:w="28" w:type="dxa"/>
            </w:tcMar>
            <w:vAlign w:val="center"/>
          </w:tcPr>
          <w:p w:rsidR="00AC03F8" w:rsidRPr="008D10BE" w:rsidRDefault="00AC03F8" w:rsidP="002A55CB">
            <w:pPr>
              <w:jc w:val="center"/>
              <w:rPr>
                <w:rFonts w:ascii="Arial" w:hAnsi="Arial" w:cs="Arial"/>
                <w:sz w:val="16"/>
                <w:szCs w:val="16"/>
              </w:rPr>
            </w:pPr>
            <w:r w:rsidRPr="008D10BE">
              <w:rPr>
                <w:rFonts w:ascii="Arial" w:hAnsi="Arial" w:cs="Arial"/>
                <w:sz w:val="16"/>
                <w:szCs w:val="16"/>
              </w:rPr>
              <w:t xml:space="preserve">+ </w:t>
            </w:r>
          </w:p>
        </w:tc>
      </w:tr>
    </w:tbl>
    <w:p w:rsidR="00AC03F8" w:rsidRPr="008D10BE" w:rsidRDefault="00AC03F8" w:rsidP="00AC03F8">
      <w:pPr>
        <w:rPr>
          <w:rFonts w:ascii="Arial" w:hAnsi="Arial" w:cs="Arial"/>
          <w:sz w:val="20"/>
          <w:szCs w:val="20"/>
        </w:rPr>
      </w:pPr>
    </w:p>
    <w:p w:rsidR="00AC03F8" w:rsidRPr="008D10BE" w:rsidRDefault="00AC03F8" w:rsidP="00AC03F8">
      <w:pPr>
        <w:widowControl w:val="0"/>
        <w:autoSpaceDE w:val="0"/>
        <w:autoSpaceDN w:val="0"/>
        <w:adjustRightInd w:val="0"/>
        <w:spacing w:after="140" w:line="288" w:lineRule="auto"/>
        <w:rPr>
          <w:rFonts w:ascii="Arial" w:hAnsi="Arial" w:cs="Arial"/>
          <w:spacing w:val="2"/>
          <w:sz w:val="20"/>
          <w:szCs w:val="20"/>
        </w:rPr>
      </w:pPr>
    </w:p>
    <w:p w:rsidR="009522A8" w:rsidRDefault="009522A8"/>
    <w:sectPr w:rsidR="009522A8" w:rsidSect="009522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3F8"/>
    <w:rsid w:val="002E3FA0"/>
    <w:rsid w:val="009522A8"/>
    <w:rsid w:val="00AC03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2E47C6-2EF9-43AC-BA6B-A5BF12BB5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3F8"/>
    <w:pPr>
      <w:spacing w:after="0" w:line="240" w:lineRule="auto"/>
    </w:pPr>
    <w:rPr>
      <w:rFonts w:ascii="Times New Roman" w:eastAsia="Times New Roman" w:hAnsi="Times New Roman" w:cs="Times New Roman"/>
      <w:sz w:val="24"/>
      <w:szCs w:val="24"/>
      <w:lang w:val="en-US"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8918</Words>
  <Characters>50837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Norbert Verweij</dc:creator>
  <cp:lastModifiedBy>Kerslake, Kerenza</cp:lastModifiedBy>
  <cp:revision>2</cp:revision>
  <dcterms:created xsi:type="dcterms:W3CDTF">2016-08-01T12:58:00Z</dcterms:created>
  <dcterms:modified xsi:type="dcterms:W3CDTF">2016-08-01T12:58:00Z</dcterms:modified>
</cp:coreProperties>
</file>