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center" w:tblpY="2025"/>
        <w:tblW w:w="10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00"/>
        <w:gridCol w:w="1045"/>
        <w:gridCol w:w="7628"/>
      </w:tblGrid>
      <w:tr w:rsidR="00683B1F" w:rsidRPr="00087341" w:rsidTr="002A55CB">
        <w:trPr>
          <w:trHeight w:val="230"/>
        </w:trPr>
        <w:tc>
          <w:tcPr>
            <w:tcW w:w="2300" w:type="dxa"/>
            <w:vMerge w:val="restart"/>
            <w:tcBorders>
              <w:top w:val="single" w:sz="4" w:space="0" w:color="auto"/>
              <w:right w:val="single" w:sz="12" w:space="0" w:color="auto"/>
            </w:tcBorders>
            <w:shd w:val="clear" w:color="auto" w:fill="auto"/>
          </w:tcPr>
          <w:p w:rsidR="00683B1F" w:rsidRPr="00A15528" w:rsidRDefault="00683B1F" w:rsidP="002A55CB">
            <w:pPr>
              <w:jc w:val="center"/>
              <w:rPr>
                <w:rFonts w:ascii="Arial" w:hAnsi="Arial" w:cs="Arial"/>
                <w:b/>
                <w:color w:val="FF0000"/>
                <w:sz w:val="20"/>
                <w:szCs w:val="20"/>
              </w:rPr>
            </w:pPr>
            <w:bookmarkStart w:id="0" w:name="_GoBack"/>
            <w:bookmarkEnd w:id="0"/>
          </w:p>
        </w:tc>
        <w:tc>
          <w:tcPr>
            <w:tcW w:w="1045" w:type="dxa"/>
            <w:vMerge w:val="restart"/>
            <w:tcBorders>
              <w:top w:val="single" w:sz="4" w:space="0" w:color="auto"/>
            </w:tcBorders>
            <w:shd w:val="clear" w:color="auto" w:fill="auto"/>
          </w:tcPr>
          <w:p w:rsidR="00683B1F" w:rsidRPr="00A15528" w:rsidRDefault="00683B1F" w:rsidP="002A55CB">
            <w:pPr>
              <w:rPr>
                <w:rFonts w:ascii="Arial" w:hAnsi="Arial" w:cs="Arial"/>
                <w:b/>
                <w:color w:val="FF0000"/>
                <w:sz w:val="20"/>
                <w:szCs w:val="20"/>
              </w:rPr>
            </w:pPr>
            <w:r w:rsidRPr="00A15528">
              <w:rPr>
                <w:rFonts w:ascii="Arial" w:hAnsi="Arial" w:cs="Arial"/>
                <w:b/>
                <w:color w:val="FF0000"/>
                <w:sz w:val="20"/>
                <w:szCs w:val="20"/>
              </w:rPr>
              <w:t>Test</w:t>
            </w:r>
          </w:p>
        </w:tc>
        <w:tc>
          <w:tcPr>
            <w:tcW w:w="7628" w:type="dxa"/>
            <w:vMerge w:val="restart"/>
            <w:tcBorders>
              <w:top w:val="single" w:sz="4" w:space="0" w:color="auto"/>
              <w:bottom w:val="nil"/>
              <w:right w:val="single" w:sz="4" w:space="0" w:color="auto"/>
            </w:tcBorders>
            <w:shd w:val="clear" w:color="auto" w:fill="auto"/>
          </w:tcPr>
          <w:p w:rsidR="00683B1F" w:rsidRPr="00A15528" w:rsidRDefault="00683B1F" w:rsidP="002A55CB">
            <w:pPr>
              <w:rPr>
                <w:rFonts w:ascii="Arial" w:hAnsi="Arial" w:cs="Arial"/>
                <w:b/>
                <w:color w:val="FF0000"/>
                <w:sz w:val="20"/>
                <w:szCs w:val="20"/>
              </w:rPr>
            </w:pPr>
            <w:r w:rsidRPr="00A15528">
              <w:rPr>
                <w:rFonts w:ascii="Arial" w:hAnsi="Arial" w:cs="Arial"/>
                <w:b/>
                <w:color w:val="FF0000"/>
                <w:sz w:val="20"/>
                <w:szCs w:val="20"/>
              </w:rPr>
              <w:t xml:space="preserve">Corrected for confounders: </w:t>
            </w:r>
          </w:p>
        </w:tc>
      </w:tr>
      <w:tr w:rsidR="00683B1F" w:rsidRPr="00087341" w:rsidTr="002A55CB">
        <w:trPr>
          <w:trHeight w:val="230"/>
        </w:trPr>
        <w:tc>
          <w:tcPr>
            <w:tcW w:w="2300" w:type="dxa"/>
            <w:vMerge/>
            <w:tcBorders>
              <w:bottom w:val="double" w:sz="4" w:space="0" w:color="auto"/>
              <w:right w:val="single" w:sz="12" w:space="0" w:color="auto"/>
            </w:tcBorders>
            <w:shd w:val="clear" w:color="auto" w:fill="auto"/>
          </w:tcPr>
          <w:p w:rsidR="00683B1F" w:rsidRPr="00A15528" w:rsidRDefault="00683B1F" w:rsidP="002A55CB">
            <w:pPr>
              <w:rPr>
                <w:rFonts w:ascii="Arial" w:hAnsi="Arial" w:cs="Arial"/>
                <w:color w:val="FF0000"/>
                <w:sz w:val="20"/>
                <w:szCs w:val="20"/>
              </w:rPr>
            </w:pPr>
          </w:p>
        </w:tc>
        <w:tc>
          <w:tcPr>
            <w:tcW w:w="1045" w:type="dxa"/>
            <w:vMerge/>
            <w:tcBorders>
              <w:bottom w:val="double" w:sz="4" w:space="0" w:color="auto"/>
            </w:tcBorders>
            <w:shd w:val="clear" w:color="auto" w:fill="auto"/>
          </w:tcPr>
          <w:p w:rsidR="00683B1F" w:rsidRPr="00A15528" w:rsidRDefault="00683B1F" w:rsidP="002A55CB">
            <w:pPr>
              <w:rPr>
                <w:rFonts w:ascii="Arial" w:hAnsi="Arial" w:cs="Arial"/>
                <w:b/>
                <w:color w:val="FF0000"/>
                <w:sz w:val="20"/>
                <w:szCs w:val="20"/>
              </w:rPr>
            </w:pPr>
          </w:p>
        </w:tc>
        <w:tc>
          <w:tcPr>
            <w:tcW w:w="7628" w:type="dxa"/>
            <w:vMerge/>
            <w:tcBorders>
              <w:bottom w:val="double" w:sz="4" w:space="0" w:color="auto"/>
              <w:right w:val="single" w:sz="4" w:space="0" w:color="auto"/>
            </w:tcBorders>
            <w:shd w:val="clear" w:color="auto" w:fill="auto"/>
          </w:tcPr>
          <w:p w:rsidR="00683B1F" w:rsidRPr="00A15528" w:rsidRDefault="00683B1F" w:rsidP="002A55CB">
            <w:pPr>
              <w:rPr>
                <w:rFonts w:ascii="Arial" w:hAnsi="Arial" w:cs="Arial"/>
                <w:color w:val="FF0000"/>
                <w:sz w:val="20"/>
                <w:szCs w:val="20"/>
              </w:rPr>
            </w:pPr>
          </w:p>
        </w:tc>
      </w:tr>
      <w:tr w:rsidR="00683B1F" w:rsidRPr="00087341" w:rsidTr="002A55CB">
        <w:tblPrEx>
          <w:tblCellMar>
            <w:left w:w="108" w:type="dxa"/>
            <w:right w:w="108" w:type="dxa"/>
          </w:tblCellMar>
          <w:tblLook w:val="04A0" w:firstRow="1" w:lastRow="0" w:firstColumn="1" w:lastColumn="0" w:noHBand="0" w:noVBand="1"/>
        </w:tblPrEx>
        <w:trPr>
          <w:trHeight w:val="155"/>
        </w:trPr>
        <w:tc>
          <w:tcPr>
            <w:tcW w:w="2300" w:type="dxa"/>
            <w:tcBorders>
              <w:top w:val="single" w:sz="4" w:space="0" w:color="EEECE1"/>
              <w:bottom w:val="single" w:sz="2" w:space="0" w:color="auto"/>
              <w:right w:val="single" w:sz="12" w:space="0" w:color="auto"/>
            </w:tcBorders>
            <w:shd w:val="clear" w:color="auto" w:fill="auto"/>
          </w:tcPr>
          <w:p w:rsidR="00683B1F" w:rsidRPr="00A15528" w:rsidRDefault="00683B1F" w:rsidP="002A55CB">
            <w:pPr>
              <w:rPr>
                <w:rFonts w:ascii="Arial" w:hAnsi="Arial" w:cs="Arial"/>
                <w:color w:val="FF0000"/>
                <w:sz w:val="20"/>
                <w:szCs w:val="20"/>
              </w:rPr>
            </w:pPr>
            <w:r w:rsidRPr="00A15528">
              <w:rPr>
                <w:rFonts w:ascii="Arial" w:hAnsi="Arial" w:cs="Arial"/>
                <w:color w:val="FF0000"/>
                <w:sz w:val="20"/>
                <w:szCs w:val="20"/>
              </w:rPr>
              <w:t>Hamaker</w:t>
            </w:r>
            <w:r w:rsidRPr="00A15528">
              <w:rPr>
                <w:rFonts w:ascii="Arial" w:hAnsi="Arial" w:cs="Arial"/>
                <w:color w:val="FF0000"/>
                <w:sz w:val="20"/>
                <w:szCs w:val="20"/>
              </w:rPr>
              <w:fldChar w:fldCharType="begin" w:fldLock="1"/>
            </w:r>
            <w:r w:rsidRPr="00A15528">
              <w:rPr>
                <w:rFonts w:ascii="Arial" w:hAnsi="Arial" w:cs="Arial"/>
                <w:color w:val="FF0000"/>
                <w:sz w:val="20"/>
                <w:szCs w:val="20"/>
              </w:rPr>
              <w:instrText>ADDIN CSL_CITATION { "citationItems" : [ { "id" : "ITEM-1", "itemData" : { "DOI" : "10.1007/s00277-013-2001-0", "ISSN" : "14320584", "PMID" : "24488257", "abstract" : "The G8 screening tool was developed to separate fit older cancer patients who were able to receive standard treatment from those that should undergo a geriatric assessment to guide tailoring of therapy. We set out to determine the discriminative power and prognostic value of the G8 in older patients with a haematological malignancy. Between September 2009 and May 2013, a multi-dimensional geriatric assessment was performed in consecutive patients aged \u226567\u00a0years diagnosed with blood cancer at the Innsbruck University Hospital. The assessment included (instrumental) activities of daily living, cognition, mood, nutritional status, mobility, polypharmacy and social support. In parallel, the G8 was also administered (cut-off \u2264 14). Using a cut-off of \u22652 impaired domains, 70\u00a0% of the 108 included patients were considered as having an impaired geriatric assessment while 61\u00a0% had an impaired G8. The G8 lacked discriminative power for impairments on full geriatric assessment: sensitivity 69, specificity 79, positive predictive value 89 and negative predictive value 50\u00a0%. However, G8 was an independent predictor of mortality within the first year after inclusion (hazard ratio 3.93; 95\u00a0% confidence interval 1.67-9.22, p\u2009&lt;\u20090.001). Remarkably, patients with impaired G8 fared poorly, irrespective of treatment choices (p\u2009&lt;\u20090.001). This is the first report on the clinical and prognostic relevance of G8 in elderly patients with haematological malignancies. Although the G8 lacked discriminative power for outcome of multi-dimensional geriatric assessment, this score appears to be a powerful prognosticator and could potentially represent a useful tool in treatment decisions. This novel finding certainly deserves further exploration.", "author" : [ { "dropping-particle" : "", "family" : "Hamaker", "given" : "Marije E.", "non-dropping-particle" : "", "parse-names" : false, "suffix" : "" }, { "dropping-particle" : "", "family" : "Mitrovic", "given" : "M.", "non-dropping-particle" : "", "parse-names" : false, "suffix" : "" }, { "dropping-particle" : "", "family" : "Stauder", "given" : "R.", "non-dropping-particle" : "", "parse-names" : false, "suffix" : "" } ], "container-title" : "Annals of Hematology", "id" : "ITEM-1", "issue" : "6", "issued" : { "date-parts" : [ [ "2014" ] ] }, "page" : "1031-1040", "title" : "The G8 screening tool detects relevant geriatric impairments and predicts survival in elderly patients with a haematological malignancy", "type" : "article-journal", "volume" : "93" }, "uris" : [ "http://www.mendeley.com/documents/?uuid=815f6c84-8a98-4c26-be55-b62da9510e87" ] } ], "mendeley" : { "formattedCitation" : "(22)", "plainTextFormattedCitation" : "(22)", "previouslyFormattedCitation" : "(22)" }, "properties" : { "noteIndex" : 0 }, "schema" : "https://github.com/citation-style-language/schema/raw/master/csl-citation.json" }</w:instrText>
            </w:r>
            <w:r w:rsidRPr="00A15528">
              <w:rPr>
                <w:rFonts w:ascii="Arial" w:hAnsi="Arial" w:cs="Arial"/>
                <w:color w:val="FF0000"/>
                <w:sz w:val="20"/>
                <w:szCs w:val="20"/>
              </w:rPr>
              <w:fldChar w:fldCharType="separate"/>
            </w:r>
            <w:r w:rsidRPr="00A15528">
              <w:rPr>
                <w:rFonts w:ascii="Arial" w:hAnsi="Arial" w:cs="Arial"/>
                <w:noProof/>
                <w:color w:val="FF0000"/>
                <w:sz w:val="20"/>
                <w:szCs w:val="20"/>
              </w:rPr>
              <w:t>(22)</w:t>
            </w:r>
            <w:r w:rsidRPr="00A15528">
              <w:rPr>
                <w:rFonts w:ascii="Arial" w:hAnsi="Arial" w:cs="Arial"/>
                <w:color w:val="FF0000"/>
                <w:sz w:val="20"/>
                <w:szCs w:val="20"/>
              </w:rPr>
              <w:fldChar w:fldCharType="end"/>
            </w:r>
            <w:r w:rsidRPr="00A15528">
              <w:rPr>
                <w:rFonts w:ascii="Arial" w:hAnsi="Arial" w:cs="Arial"/>
                <w:color w:val="FF0000"/>
                <w:sz w:val="20"/>
                <w:szCs w:val="20"/>
              </w:rPr>
              <w:t xml:space="preserve">  </w:t>
            </w:r>
          </w:p>
        </w:tc>
        <w:tc>
          <w:tcPr>
            <w:tcW w:w="1045" w:type="dxa"/>
            <w:tcBorders>
              <w:top w:val="single" w:sz="4" w:space="0" w:color="EEECE1"/>
              <w:bottom w:val="single" w:sz="2" w:space="0" w:color="auto"/>
            </w:tcBorders>
            <w:shd w:val="clear" w:color="auto" w:fill="auto"/>
          </w:tcPr>
          <w:p w:rsidR="00683B1F" w:rsidRPr="00A15528" w:rsidRDefault="00683B1F" w:rsidP="002A55CB">
            <w:pPr>
              <w:rPr>
                <w:rFonts w:ascii="Arial" w:hAnsi="Arial" w:cs="Arial"/>
                <w:b/>
                <w:color w:val="FF0000"/>
                <w:sz w:val="20"/>
                <w:szCs w:val="20"/>
              </w:rPr>
            </w:pPr>
            <w:r w:rsidRPr="00A15528">
              <w:rPr>
                <w:rFonts w:ascii="Arial" w:hAnsi="Arial" w:cs="Arial"/>
                <w:b/>
                <w:color w:val="FF0000"/>
                <w:sz w:val="20"/>
                <w:szCs w:val="20"/>
              </w:rPr>
              <w:t>TUG</w:t>
            </w:r>
          </w:p>
        </w:tc>
        <w:tc>
          <w:tcPr>
            <w:tcW w:w="7628" w:type="dxa"/>
            <w:tcBorders>
              <w:top w:val="double" w:sz="4" w:space="0" w:color="auto"/>
              <w:bottom w:val="single" w:sz="2" w:space="0" w:color="auto"/>
              <w:right w:val="single" w:sz="4" w:space="0" w:color="auto"/>
            </w:tcBorders>
            <w:shd w:val="clear" w:color="auto" w:fill="auto"/>
          </w:tcPr>
          <w:p w:rsidR="00683B1F" w:rsidRPr="00A15528" w:rsidRDefault="00683B1F" w:rsidP="002A55CB">
            <w:pPr>
              <w:autoSpaceDE w:val="0"/>
              <w:autoSpaceDN w:val="0"/>
              <w:adjustRightInd w:val="0"/>
              <w:rPr>
                <w:rFonts w:ascii="Arial" w:hAnsi="Arial" w:cs="Arial"/>
                <w:color w:val="FF0000"/>
                <w:sz w:val="20"/>
                <w:szCs w:val="20"/>
                <w:lang w:val="en-GB"/>
              </w:rPr>
            </w:pPr>
            <w:r w:rsidRPr="00A15528">
              <w:rPr>
                <w:rFonts w:ascii="Arial" w:hAnsi="Arial" w:cs="Arial"/>
                <w:color w:val="FF0000"/>
                <w:sz w:val="20"/>
                <w:szCs w:val="20"/>
                <w:lang w:val="en-GB"/>
              </w:rPr>
              <w:t>age, sex, haematological diagnosis, unfavourable tumour characteristics, comorbidity, initial treatment decision, performance status</w:t>
            </w:r>
          </w:p>
          <w:p w:rsidR="00683B1F" w:rsidRPr="00A15528" w:rsidRDefault="00683B1F" w:rsidP="002A55CB">
            <w:pPr>
              <w:autoSpaceDE w:val="0"/>
              <w:autoSpaceDN w:val="0"/>
              <w:adjustRightInd w:val="0"/>
              <w:rPr>
                <w:rFonts w:ascii="Arial" w:hAnsi="Arial" w:cs="Arial"/>
                <w:color w:val="FF0000"/>
                <w:sz w:val="20"/>
                <w:szCs w:val="20"/>
                <w:lang w:val="en-GB"/>
              </w:rPr>
            </w:pPr>
          </w:p>
        </w:tc>
      </w:tr>
      <w:tr w:rsidR="00683B1F" w:rsidRPr="00087341" w:rsidTr="002A55CB">
        <w:tblPrEx>
          <w:tblCellMar>
            <w:left w:w="108" w:type="dxa"/>
            <w:right w:w="108" w:type="dxa"/>
          </w:tblCellMar>
          <w:tblLook w:val="04A0" w:firstRow="1" w:lastRow="0" w:firstColumn="1" w:lastColumn="0" w:noHBand="0" w:noVBand="1"/>
        </w:tblPrEx>
        <w:trPr>
          <w:trHeight w:val="106"/>
        </w:trPr>
        <w:tc>
          <w:tcPr>
            <w:tcW w:w="2300" w:type="dxa"/>
            <w:tcBorders>
              <w:top w:val="single" w:sz="2" w:space="0" w:color="auto"/>
              <w:bottom w:val="single" w:sz="2" w:space="0" w:color="auto"/>
              <w:right w:val="single" w:sz="12" w:space="0" w:color="auto"/>
            </w:tcBorders>
            <w:shd w:val="clear" w:color="auto" w:fill="auto"/>
          </w:tcPr>
          <w:p w:rsidR="00683B1F" w:rsidRPr="00A15528" w:rsidRDefault="00683B1F" w:rsidP="002A55CB">
            <w:pPr>
              <w:rPr>
                <w:rFonts w:ascii="Arial" w:hAnsi="Arial" w:cs="Arial"/>
                <w:color w:val="FF0000"/>
                <w:sz w:val="20"/>
                <w:szCs w:val="20"/>
              </w:rPr>
            </w:pPr>
            <w:r w:rsidRPr="00A15528">
              <w:rPr>
                <w:rFonts w:ascii="Arial" w:hAnsi="Arial" w:cs="Arial"/>
                <w:color w:val="FF0000"/>
                <w:sz w:val="20"/>
                <w:szCs w:val="20"/>
              </w:rPr>
              <w:t>Hoppe</w:t>
            </w:r>
            <w:r w:rsidRPr="00A15528">
              <w:rPr>
                <w:rFonts w:ascii="Arial" w:hAnsi="Arial" w:cs="Arial"/>
                <w:color w:val="FF0000"/>
                <w:sz w:val="20"/>
                <w:szCs w:val="20"/>
              </w:rPr>
              <w:fldChar w:fldCharType="begin" w:fldLock="1"/>
            </w:r>
            <w:r w:rsidRPr="00A15528">
              <w:rPr>
                <w:rFonts w:ascii="Arial" w:hAnsi="Arial" w:cs="Arial"/>
                <w:color w:val="FF0000"/>
                <w:sz w:val="20"/>
                <w:szCs w:val="20"/>
              </w:rPr>
              <w:instrText>ADDIN CSL_CITATION { "citationItems" : [ { "id" : "ITEM-1", "itemData" : { "DOI" : "10.1200/JCO.2012.47.7430", "ISSN" : "15277755", "abstract" : "Purpose To determine factors associated with early functional decline during first-line chemotherapy in older patients.Patients and Methods Patients age \u2265 70 years receiving first-line chemotherapy for cancer were prospectively considered for inclusion across 12 centers in France. Functional decline was defined as a decrease of \u2265 0.5 points on the Activities of Daily Living (ADL) scale between the beginning of chemotherapy and the second cycle. Factors associated with functional decline were sought from pretreatment abbreviated comprehensive geriatric assessment, including ADL, Instrumental ADL (IADL), Mini-Nutritional Assessment (MNA), Mini\u2013Mental State Examination (MMSE), Geriatric Depression Scale (GDS15), and Timed Get Up and Go (GUG) test, and from comorbidities (Cumulative Illness Rating Scale\u2013Geriatrics), MAX2 index, and baseline biologic and clinical information.Results Of 364 included patients, 50 experienced functional decline (16.7%; median, 0.5 points). Abnormal preadmission performance status, IADL, GDS15, MMSE, GUG, and MNA were associated with increased likelihood of functional decline (univariate analysis). In the multivariate model adjusted for baseline ADL and MAX2 index, high baseline GDS (odds ratio [OR], 2.16; 95% CI, 1.09 to 4.30; P = .03) and low IADL scores (OR, 2.87; 95% CI, 1.06 to 7.79; P = .04) were independently associated with increased risk of functional decline.Conclusion Our results outline associations between baseline depression, instrumental dependencies, and early functional decline during chemotherapy for older patients. ADL should be sequentially evaluated early during treatment. Baseline evaluation of GDS15 and IADL may be proposed to anticipate this event. ", "author" : [ { "dropping-particle" : "", "family" : "Hoppe", "given" : "St\u00e9phanie", "non-dropping-particle" : "", "parse-names" : false, "suffix" : "" }, { "dropping-particle" : "", "family" : "Rainfray", "given" : "Muriel", "non-dropping-particle" : "", "parse-names" : false, "suffix" : "" }, { "dropping-particle" : "", "family" : "Fonck", "given" : "Marianne", "non-dropping-particle" : "", "parse-names" : false, "suffix" : "" }, { "dropping-particle" : "", "family" : "Hoppenreys", "given" : "Laurent", "non-dropping-particle" : "", "parse-names" : false, "suffix" : "" }, { "dropping-particle" : "", "family" : "Blanc", "given" : "Jean Fr\u00e9d\u0301eric", "non-dropping-particle" : "", "parse-names" : false, "suffix" : "" }, { "dropping-particle" : "", "family" : "Ceccaldi", "given" : "Jo\u00ebl", "non-dropping-particle" : "", "parse-names" : false, "suffix" : "" }, { "dropping-particle" : "", "family" : "Mertens", "given" : "C\u00e9cile", "non-dropping-particle" : "", "parse-names" : false, "suffix" : "" }, { "dropping-particle" : "", "family" : "Blanc-Bisson", "given" : "Christ\u00e8le", "non-dropping-particle" : "", "parse-names" : false, "suffix" : "" }, { "dropping-particle" : "", "family" : "Imbert", "given" : "Yves", "non-dropping-particle" : "", "parse-names" : false, "suffix" : "" }, { "dropping-particle" : "", "family" : "Cany", "given" : "Laurent", "non-dropping-particle" : "", "parse-names" : false, "suffix" : "" }, { "dropping-particle" : "", "family" : "Vogt", "given" : "Luc", "non-dropping-particle" : "", "parse-names" : false, "suffix" : "" }, { "dropping-particle" : "", "family" : "Dauba", "given" : "J\u00e9r\u0302ome", "non-dropping-particle" : "", "parse-names" : false, "suffix" : "" }, { "dropping-particle" : "", "family" : "Houed\u0301\u00e9", "given" : "Nadine", "non-dropping-particle" : "", "parse-names" : false, "suffix" : "" }, { "dropping-particle" : "", "family" : "Bellera", "given" : "Carine a.", "non-dropping-particle" : "", "parse-names" : false, "suffix" : "" }, { "dropping-particle" : "", "family" : "Floquet", "given" : "Anne", "non-dropping-particle" : "", "parse-names" : false, "suffix" : "" }, { "dropping-particle" : "", "family" : "Fabry", "given" : "Marie No\u00eblle", "non-dropping-particle" : "", "parse-names" : false, "suffix" : "" }, { "dropping-particle" : "", "family" : "Ravaud", "given" : "Alain", "non-dropping-particle" : "", "parse-names" : false, "suffix" : "" }, { "dropping-particle" : "", "family" : "Chakiba", "given" : "Camille", "non-dropping-particle" : "", "parse-names" : false, "suffix" : "" }, { "dropping-particle" : "", "family" : "Mathoulin-Pe\u013aissier", "given" : "Simone", "non-dropping-particle" : "", "parse-names" : false, "suffix" : "" }, { "dropping-particle" : "", "family" : "Soubeyran", "given" : "Pierre", "non-dropping-particle" : "", "parse-names" : false, "suffix" : "" } ], "container-title" : "Journal of Clinical Oncology", "id" : "ITEM-1", "issue" : "31", "issued" : { "date-parts" : [ [ "2013" ] ] }, "page" : "3877-3882", "title" : "Functional decline in older patients with cancer receiving first-line chemotherapy", "type" : "article-journal", "volume" : "31" }, "uris" : [ "http://www.mendeley.com/documents/?uuid=67daf3e9-f19f-4389-8bae-d01044dcbae1" ] } ], "mendeley" : { "formattedCitation" : "(24)", "plainTextFormattedCitation" : "(24)", "previouslyFormattedCitation" : "(24)" }, "properties" : { "noteIndex" : 0 }, "schema" : "https://github.com/citation-style-language/schema/raw/master/csl-citation.json" }</w:instrText>
            </w:r>
            <w:r w:rsidRPr="00A15528">
              <w:rPr>
                <w:rFonts w:ascii="Arial" w:hAnsi="Arial" w:cs="Arial"/>
                <w:color w:val="FF0000"/>
                <w:sz w:val="20"/>
                <w:szCs w:val="20"/>
              </w:rPr>
              <w:fldChar w:fldCharType="separate"/>
            </w:r>
            <w:r w:rsidRPr="00A15528">
              <w:rPr>
                <w:rFonts w:ascii="Arial" w:hAnsi="Arial" w:cs="Arial"/>
                <w:noProof/>
                <w:color w:val="FF0000"/>
                <w:sz w:val="20"/>
                <w:szCs w:val="20"/>
              </w:rPr>
              <w:t>(24)</w:t>
            </w:r>
            <w:r w:rsidRPr="00A15528">
              <w:rPr>
                <w:rFonts w:ascii="Arial" w:hAnsi="Arial" w:cs="Arial"/>
                <w:color w:val="FF0000"/>
                <w:sz w:val="20"/>
                <w:szCs w:val="20"/>
              </w:rPr>
              <w:fldChar w:fldCharType="end"/>
            </w:r>
            <w:r w:rsidRPr="00A15528">
              <w:rPr>
                <w:rFonts w:ascii="Arial" w:hAnsi="Arial" w:cs="Arial"/>
                <w:color w:val="FF0000"/>
                <w:sz w:val="20"/>
                <w:szCs w:val="20"/>
              </w:rPr>
              <w:t xml:space="preserve"> </w:t>
            </w:r>
          </w:p>
        </w:tc>
        <w:tc>
          <w:tcPr>
            <w:tcW w:w="1045" w:type="dxa"/>
            <w:tcBorders>
              <w:top w:val="single" w:sz="2" w:space="0" w:color="auto"/>
              <w:bottom w:val="single" w:sz="2" w:space="0" w:color="auto"/>
            </w:tcBorders>
            <w:shd w:val="clear" w:color="auto" w:fill="auto"/>
          </w:tcPr>
          <w:p w:rsidR="00683B1F" w:rsidRPr="00A15528" w:rsidRDefault="00683B1F" w:rsidP="002A55CB">
            <w:pPr>
              <w:rPr>
                <w:rFonts w:ascii="Arial" w:hAnsi="Arial" w:cs="Arial"/>
                <w:b/>
                <w:color w:val="FF0000"/>
                <w:sz w:val="20"/>
                <w:szCs w:val="20"/>
              </w:rPr>
            </w:pPr>
            <w:r w:rsidRPr="00A15528">
              <w:rPr>
                <w:rFonts w:ascii="Arial" w:hAnsi="Arial" w:cs="Arial"/>
                <w:b/>
                <w:color w:val="FF0000"/>
                <w:sz w:val="20"/>
                <w:szCs w:val="20"/>
              </w:rPr>
              <w:t>TUG</w:t>
            </w:r>
          </w:p>
        </w:tc>
        <w:tc>
          <w:tcPr>
            <w:tcW w:w="7628" w:type="dxa"/>
            <w:tcBorders>
              <w:top w:val="single" w:sz="2" w:space="0" w:color="auto"/>
              <w:bottom w:val="single" w:sz="2" w:space="0" w:color="auto"/>
              <w:right w:val="single" w:sz="4" w:space="0" w:color="auto"/>
            </w:tcBorders>
            <w:shd w:val="clear" w:color="auto" w:fill="auto"/>
          </w:tcPr>
          <w:p w:rsidR="00683B1F" w:rsidRPr="00A15528" w:rsidRDefault="00683B1F" w:rsidP="002A55CB">
            <w:pPr>
              <w:autoSpaceDE w:val="0"/>
              <w:autoSpaceDN w:val="0"/>
              <w:adjustRightInd w:val="0"/>
              <w:rPr>
                <w:rFonts w:ascii="Arial" w:hAnsi="Arial" w:cs="Arial"/>
                <w:color w:val="FF0000"/>
                <w:sz w:val="20"/>
                <w:szCs w:val="20"/>
                <w:lang w:val="en-GB"/>
              </w:rPr>
            </w:pPr>
            <w:r w:rsidRPr="00A15528">
              <w:rPr>
                <w:rFonts w:ascii="Arial" w:hAnsi="Arial" w:cs="Arial"/>
                <w:color w:val="FF0000"/>
                <w:sz w:val="20"/>
                <w:szCs w:val="20"/>
                <w:lang w:val="en-GB"/>
              </w:rPr>
              <w:t>age, sex, ECOG PS, weight loss, body mass index, leukocytes, platelet count, creatinine clearance, C-reactive protein, hemoglobin, albumin, tumor site, disease extension, chosen treatment strategy, CIRS-G, MAX2, ADL, IADL, MNA, MMSE, GDS15</w:t>
            </w:r>
          </w:p>
          <w:p w:rsidR="00683B1F" w:rsidRPr="00A15528" w:rsidRDefault="00683B1F" w:rsidP="002A55CB">
            <w:pPr>
              <w:autoSpaceDE w:val="0"/>
              <w:autoSpaceDN w:val="0"/>
              <w:adjustRightInd w:val="0"/>
              <w:rPr>
                <w:rFonts w:ascii="Arial" w:hAnsi="Arial" w:cs="Arial"/>
                <w:color w:val="FF0000"/>
                <w:sz w:val="20"/>
                <w:szCs w:val="20"/>
                <w:lang w:val="en-GB"/>
              </w:rPr>
            </w:pPr>
          </w:p>
        </w:tc>
      </w:tr>
      <w:tr w:rsidR="00683B1F" w:rsidRPr="00087341" w:rsidTr="002A55CB">
        <w:tblPrEx>
          <w:tblCellMar>
            <w:left w:w="108" w:type="dxa"/>
            <w:right w:w="108" w:type="dxa"/>
          </w:tblCellMar>
          <w:tblLook w:val="04A0" w:firstRow="1" w:lastRow="0" w:firstColumn="1" w:lastColumn="0" w:noHBand="0" w:noVBand="1"/>
        </w:tblPrEx>
        <w:trPr>
          <w:trHeight w:val="71"/>
        </w:trPr>
        <w:tc>
          <w:tcPr>
            <w:tcW w:w="2300" w:type="dxa"/>
            <w:tcBorders>
              <w:top w:val="single" w:sz="2" w:space="0" w:color="auto"/>
              <w:bottom w:val="single" w:sz="2" w:space="0" w:color="auto"/>
              <w:right w:val="single" w:sz="12" w:space="0" w:color="auto"/>
            </w:tcBorders>
            <w:shd w:val="clear" w:color="auto" w:fill="auto"/>
          </w:tcPr>
          <w:p w:rsidR="00683B1F" w:rsidRPr="00A15528" w:rsidRDefault="00683B1F" w:rsidP="002A55CB">
            <w:pPr>
              <w:rPr>
                <w:rFonts w:ascii="Arial" w:hAnsi="Arial" w:cs="Arial"/>
                <w:color w:val="FF0000"/>
                <w:sz w:val="20"/>
                <w:szCs w:val="20"/>
              </w:rPr>
            </w:pPr>
            <w:r w:rsidRPr="00A15528">
              <w:rPr>
                <w:rFonts w:ascii="Arial" w:hAnsi="Arial" w:cs="Arial"/>
                <w:color w:val="FF0000"/>
                <w:sz w:val="20"/>
                <w:szCs w:val="20"/>
              </w:rPr>
              <w:t>Huisman</w:t>
            </w:r>
            <w:r w:rsidRPr="00A15528">
              <w:rPr>
                <w:rFonts w:ascii="Arial" w:hAnsi="Arial" w:cs="Arial"/>
                <w:color w:val="FF0000"/>
                <w:sz w:val="20"/>
                <w:szCs w:val="20"/>
              </w:rPr>
              <w:fldChar w:fldCharType="begin" w:fldLock="1"/>
            </w:r>
            <w:r w:rsidRPr="00A15528">
              <w:rPr>
                <w:rFonts w:ascii="Arial" w:hAnsi="Arial" w:cs="Arial"/>
                <w:color w:val="FF0000"/>
                <w:sz w:val="20"/>
                <w:szCs w:val="20"/>
              </w:rPr>
              <w:instrText>ADDIN CSL_CITATION { "citationItems" : [ { "id" : "ITEM-1", "itemData" : { "DOI" : "10.1371/journal.pone.0086863", "ISSN" : "19326203", "PMID" : "24475186", "abstract" : "OBJECTIVE: To determine the predictive value of the \"Timed Up &amp; Go\" (TUG), a validated assessment tool, on a prospective cohort study and to compare these findings to the ASA classification, an instrument commonly used for quantifying patients' physical status and anesthetic risk.\\n\\nBACKGROUND: In the onco-geriatric surgical population it is important to identify patients at increased risk of adverse post-operative outcome to minimize the risk of over- and under-treatment and improve outcome in this population.\\n\\nMETHODS: 280 patients \u226570 years undergoing elective surgery for solid tumors were prospectively recruited. Primary endpoint was 30-day morbidity. Pre-operatively TUG was administered and ASA-classification was registered. Data were analyzed using multivariable logistic regression analyses to estimate odds ratios (OR) and 95% confidence intervals (95%-CI). Absolute risks and area under the receiver operating characteristic curves (AUC's) were calculated.\\n\\nRESULTS: 180 (64.3%) patients (median age: 76) underwent major surgery. 55 (20.1%) patients experienced major complications. 50.0% of patients with high TUG and 25.6% of patients with ASA\u22653 experienced major complications (absolute risks). TUG and ASA were independent predictors of the occurrence of major complications (TUG:OR 3.43; 95%-CI\u200a=\u200a1.14-10.35. ASA1 vs. 2:OR 5.91; 95%-CI\u200a=\u200a0.93-37.77. ASA1 vs. 3&amp;4:OR 12.77; 95%-CI\u200a=\u200a1.84-88.74). AUCTUG was 0.64 (95%-CI\u200a=\u200a0.55-0.73, p\u200a=\u200a0.001) and AUCASA was 0.59 (95%-CI\u200a=\u200a0.51-0.67, p\u200a=\u200a0.04).\\n\\nCONCLUSIONS: Twice as many onco-geriatric patients at risk of post-operative complications, who might benefit from pre-operative interventions, are identified using TUG than when using ASA.", "author" : [ { "dropping-particle" : "", "family" : "Huisman", "given" : "Monique G.", "non-dropping-particle" : "", "parse-names" : false, "suffix" : "" }, { "dropping-particle" : "", "family" : "Leeuwen", "given" : "Barbara L.", "non-dropping-particle" : "Van", "parse-names" : false, "suffix" : "" }, { "dropping-particle" : "", "family" : "Ugolini", "given" : "Giampaolo", "non-dropping-particle" : "", "parse-names" : false, "suffix" : "" }, { "dropping-particle" : "", "family" : "Montroni", "given" : "Isacco", "non-dropping-particle" : "", "parse-names" : false, "suffix" : "" }, { "dropping-particle" : "", "family" : "Spiliotis", "given" : "John", "non-dropping-particle" : "", "parse-names" : false, "suffix" : "" }, { "dropping-particle" : "", "family" : "Stabilini", "given" : "Cesare", "non-dropping-particle" : "", "parse-names" : false, "suffix" : "" }, { "dropping-particle" : "", "family" : "Carino", "given" : "Nicola De Liguori", "non-dropping-particle" : "", "parse-names" : false, "suffix" : "" }, { "dropping-particle" : "", "family" : "Farinella", "given" : "Eriberto", "non-dropping-particle" : "", "parse-names" : false, "suffix" : "" }, { "dropping-particle" : "", "family" : "Bock", "given" : "Geertruida H.", "non-dropping-particle" : "De", "parse-names" : false, "suffix" : "" }, { "dropping-particle" : "", "family" : "Audisio", "given" : "Riccardo a.", "non-dropping-particle" : "", "parse-names" : false, "suffix" : "" } ], "container-title" : "PLoS ONE", "id" : "ITEM-1", "issue" : "1", "issued" : { "date-parts" : [ [ "2014" ] ] }, "title" : "\"Timed Up &amp; Go\": A screening tool for predicting 30-day morbidity in onco-geriatric surgical patients? A multicenter cohort study", "type" : "article-journal", "volume" : "9" }, "uris" : [ "http://www.mendeley.com/documents/?uuid=142a614f-95a6-434d-b5ea-3d7718bd1e0c" ] } ], "mendeley" : { "formattedCitation" : "(25)", "plainTextFormattedCitation" : "(25)", "previouslyFormattedCitation" : "(25)" }, "properties" : { "noteIndex" : 0 }, "schema" : "https://github.com/citation-style-language/schema/raw/master/csl-citation.json" }</w:instrText>
            </w:r>
            <w:r w:rsidRPr="00A15528">
              <w:rPr>
                <w:rFonts w:ascii="Arial" w:hAnsi="Arial" w:cs="Arial"/>
                <w:color w:val="FF0000"/>
                <w:sz w:val="20"/>
                <w:szCs w:val="20"/>
              </w:rPr>
              <w:fldChar w:fldCharType="separate"/>
            </w:r>
            <w:r w:rsidRPr="00A15528">
              <w:rPr>
                <w:rFonts w:ascii="Arial" w:hAnsi="Arial" w:cs="Arial"/>
                <w:noProof/>
                <w:color w:val="FF0000"/>
                <w:sz w:val="20"/>
                <w:szCs w:val="20"/>
              </w:rPr>
              <w:t>(25)</w:t>
            </w:r>
            <w:r w:rsidRPr="00A15528">
              <w:rPr>
                <w:rFonts w:ascii="Arial" w:hAnsi="Arial" w:cs="Arial"/>
                <w:color w:val="FF0000"/>
                <w:sz w:val="20"/>
                <w:szCs w:val="20"/>
              </w:rPr>
              <w:fldChar w:fldCharType="end"/>
            </w:r>
            <w:r w:rsidRPr="00A15528">
              <w:rPr>
                <w:rFonts w:ascii="Arial" w:hAnsi="Arial" w:cs="Arial"/>
                <w:color w:val="FF0000"/>
                <w:sz w:val="20"/>
                <w:szCs w:val="20"/>
              </w:rPr>
              <w:t xml:space="preserve">  </w:t>
            </w:r>
          </w:p>
        </w:tc>
        <w:tc>
          <w:tcPr>
            <w:tcW w:w="1045" w:type="dxa"/>
            <w:tcBorders>
              <w:top w:val="single" w:sz="2" w:space="0" w:color="auto"/>
              <w:bottom w:val="single" w:sz="2" w:space="0" w:color="auto"/>
            </w:tcBorders>
            <w:shd w:val="clear" w:color="auto" w:fill="auto"/>
          </w:tcPr>
          <w:p w:rsidR="00683B1F" w:rsidRPr="00A15528" w:rsidRDefault="00683B1F" w:rsidP="002A55CB">
            <w:pPr>
              <w:rPr>
                <w:rFonts w:ascii="Arial" w:hAnsi="Arial" w:cs="Arial"/>
                <w:b/>
                <w:color w:val="FF0000"/>
                <w:sz w:val="20"/>
                <w:szCs w:val="20"/>
              </w:rPr>
            </w:pPr>
            <w:r w:rsidRPr="00A15528">
              <w:rPr>
                <w:rFonts w:ascii="Arial" w:hAnsi="Arial" w:cs="Arial"/>
                <w:b/>
                <w:color w:val="FF0000"/>
                <w:sz w:val="20"/>
                <w:szCs w:val="20"/>
              </w:rPr>
              <w:t>TUG</w:t>
            </w:r>
          </w:p>
        </w:tc>
        <w:tc>
          <w:tcPr>
            <w:tcW w:w="7628" w:type="dxa"/>
            <w:tcBorders>
              <w:top w:val="single" w:sz="2" w:space="0" w:color="auto"/>
              <w:bottom w:val="single" w:sz="2" w:space="0" w:color="auto"/>
              <w:right w:val="single" w:sz="4" w:space="0" w:color="auto"/>
            </w:tcBorders>
            <w:shd w:val="clear" w:color="auto" w:fill="auto"/>
          </w:tcPr>
          <w:p w:rsidR="00683B1F" w:rsidRPr="00A15528" w:rsidRDefault="00683B1F" w:rsidP="002A55CB">
            <w:pPr>
              <w:rPr>
                <w:rFonts w:ascii="Arial" w:hAnsi="Arial" w:cs="Arial"/>
                <w:color w:val="FF0000"/>
                <w:sz w:val="20"/>
                <w:szCs w:val="20"/>
              </w:rPr>
            </w:pPr>
            <w:r w:rsidRPr="00A15528">
              <w:rPr>
                <w:rFonts w:ascii="Arial" w:hAnsi="Arial" w:cs="Arial"/>
                <w:color w:val="FF0000"/>
                <w:sz w:val="20"/>
                <w:szCs w:val="20"/>
              </w:rPr>
              <w:t>ASA</w:t>
            </w:r>
          </w:p>
          <w:p w:rsidR="00683B1F" w:rsidRPr="00A15528" w:rsidRDefault="00683B1F" w:rsidP="002A55CB">
            <w:pPr>
              <w:rPr>
                <w:rFonts w:ascii="Arial" w:hAnsi="Arial" w:cs="Arial"/>
                <w:color w:val="FF0000"/>
                <w:sz w:val="20"/>
                <w:szCs w:val="20"/>
              </w:rPr>
            </w:pPr>
          </w:p>
        </w:tc>
      </w:tr>
      <w:tr w:rsidR="00683B1F" w:rsidRPr="00087341" w:rsidTr="002A55CB">
        <w:tblPrEx>
          <w:tblCellMar>
            <w:left w:w="108" w:type="dxa"/>
            <w:right w:w="108" w:type="dxa"/>
          </w:tblCellMar>
          <w:tblLook w:val="04A0" w:firstRow="1" w:lastRow="0" w:firstColumn="1" w:lastColumn="0" w:noHBand="0" w:noVBand="1"/>
        </w:tblPrEx>
        <w:trPr>
          <w:trHeight w:val="235"/>
        </w:trPr>
        <w:tc>
          <w:tcPr>
            <w:tcW w:w="2300" w:type="dxa"/>
            <w:tcBorders>
              <w:top w:val="single" w:sz="2" w:space="0" w:color="auto"/>
              <w:bottom w:val="single" w:sz="2" w:space="0" w:color="auto"/>
              <w:right w:val="single" w:sz="12" w:space="0" w:color="auto"/>
            </w:tcBorders>
            <w:shd w:val="clear" w:color="auto" w:fill="auto"/>
          </w:tcPr>
          <w:p w:rsidR="00683B1F" w:rsidRPr="00A15528" w:rsidRDefault="00683B1F" w:rsidP="002A55CB">
            <w:pPr>
              <w:rPr>
                <w:rFonts w:ascii="Arial" w:hAnsi="Arial" w:cs="Arial"/>
                <w:color w:val="FF0000"/>
                <w:sz w:val="20"/>
                <w:szCs w:val="20"/>
              </w:rPr>
            </w:pPr>
            <w:r w:rsidRPr="00A15528">
              <w:rPr>
                <w:rFonts w:ascii="Arial" w:hAnsi="Arial" w:cs="Arial"/>
                <w:color w:val="FF0000"/>
                <w:sz w:val="20"/>
                <w:szCs w:val="20"/>
              </w:rPr>
              <w:t>Soubeyran</w:t>
            </w:r>
            <w:r w:rsidRPr="00A15528">
              <w:rPr>
                <w:rFonts w:ascii="Arial" w:hAnsi="Arial" w:cs="Arial"/>
                <w:color w:val="FF0000"/>
                <w:sz w:val="20"/>
                <w:szCs w:val="20"/>
              </w:rPr>
              <w:fldChar w:fldCharType="begin" w:fldLock="1"/>
            </w:r>
            <w:r w:rsidRPr="00A15528">
              <w:rPr>
                <w:rFonts w:ascii="Arial" w:hAnsi="Arial" w:cs="Arial"/>
                <w:color w:val="FF0000"/>
                <w:sz w:val="20"/>
                <w:szCs w:val="20"/>
              </w:rPr>
              <w:instrText>ADDIN CSL_CITATION { "citationItems" : [ { "id" : "ITEM-1", "itemData" : { "DOI" : "10.1200/JCO.2011.35.7442", "ISSN" : "0732-183X", "author" : [ { "dropping-particle" : "", "family" : "Soubeyran", "given" : "P.", "non-dropping-particle" : "", "parse-names" : false, "suffix" : "" }, { "dropping-particle" : "", "family" : "Fonck", "given" : "M.", "non-dropping-particle" : "", "parse-names" : false, "suffix" : "" }, { "dropping-particle" : "", "family" : "Blanc-Bisson", "given" : "C.", "non-dropping-particle" : "", "parse-names" : false, "suffix" : "" }, { "dropping-particle" : "", "family" : "Blanc", "given" : "J.-F.", "non-dropping-particle" : "", "parse-names" : false, "suffix" : "" }, { "dropping-particle" : "", "family" : "Ceccaldi", "given" : "J.", "non-dropping-particle" : "", "parse-names" : false, "suffix" : "" }, { "dropping-particle" : "", "family" : "Mertens", "given" : "C.", "non-dropping-particle" : "", "parse-names" : false, "suffix" : "" }, { "dropping-particle" : "", "family" : "Imbert", "given" : "Y.", "non-dropping-particle" : "", "parse-names" : false, "suffix" : "" }, { "dropping-particle" : "", "family" : "Cany", "given" : "L.", "non-dropping-particle" : "", "parse-names" : false, "suffix" : "" }, { "dropping-particle" : "", "family" : "Vogt", "given" : "L.", "non-dropping-particle" : "", "parse-names" : false, "suffix" : "" }, { "dropping-particle" : "", "family" : "Dauba", "given" : "J.", "non-dropping-particle" : "", "parse-names" : false, "suffix" : "" }, { "dropping-particle" : "", "family" : "Andriamampionona", "given" : "F.", "non-dropping-particle" : "", "parse-names" : false, "suffix" : "" }, { "dropping-particle" : "", "family" : "Houede", "given" : "N.", "non-dropping-particle" : "", "parse-names" : false, "suffix" : "" }, { "dropping-particle" : "", "family" : "Floquet", "given" : "a.", "non-dropping-particle" : "", "parse-names" : false, "suffix" : "" }, { "dropping-particle" : "", "family" : "Chomy", "given" : "F.", "non-dropping-particle" : "", "parse-names" : false, "suffix" : "" }, { "dropping-particle" : "", "family" : "Brouste", "given" : "V.", "non-dropping-particle" : "", "parse-names" : false, "suffix" : "" }, { "dropping-particle" : "", "family" : "Ravaud", "given" : "a.", "non-dropping-particle" : "", "parse-names" : false, "suffix" : "" }, { "dropping-particle" : "", "family" : "Bellera", "given" : "C.", "non-dropping-particle" : "", "parse-names" : false, "suffix" : "" }, { "dropping-particle" : "", "family" : "Rainfray", "given" : "M.", "non-dropping-particle" : "", "parse-names" : false, "suffix" : "" } ], "container-title" : "Journal of Clinical Oncology", "id" : "ITEM-1", "issue" : "15", "issued" : { "date-parts" : [ [ "2012" ] ] }, "page" : "1829-1834", "title" : "Predictors of Early Death Risk in Older Patients Treated With First-Line Chemotherapy for Cancer", "type" : "article-journal", "volume" : "30" }, "uris" : [ "http://www.mendeley.com/documents/?uuid=c968230f-46a8-4fa5-a69c-b58bd4ee9312" ] } ], "mendeley" : { "formattedCitation" : "(32)", "plainTextFormattedCitation" : "(32)", "previouslyFormattedCitation" : "(32)" }, "properties" : { "noteIndex" : 0 }, "schema" : "https://github.com/citation-style-language/schema/raw/master/csl-citation.json" }</w:instrText>
            </w:r>
            <w:r w:rsidRPr="00A15528">
              <w:rPr>
                <w:rFonts w:ascii="Arial" w:hAnsi="Arial" w:cs="Arial"/>
                <w:color w:val="FF0000"/>
                <w:sz w:val="20"/>
                <w:szCs w:val="20"/>
              </w:rPr>
              <w:fldChar w:fldCharType="separate"/>
            </w:r>
            <w:r w:rsidRPr="00A15528">
              <w:rPr>
                <w:rFonts w:ascii="Arial" w:hAnsi="Arial" w:cs="Arial"/>
                <w:noProof/>
                <w:color w:val="FF0000"/>
                <w:sz w:val="20"/>
                <w:szCs w:val="20"/>
              </w:rPr>
              <w:t>(32)</w:t>
            </w:r>
            <w:r w:rsidRPr="00A15528">
              <w:rPr>
                <w:rFonts w:ascii="Arial" w:hAnsi="Arial" w:cs="Arial"/>
                <w:color w:val="FF0000"/>
                <w:sz w:val="20"/>
                <w:szCs w:val="20"/>
              </w:rPr>
              <w:fldChar w:fldCharType="end"/>
            </w:r>
            <w:r w:rsidRPr="00A15528">
              <w:rPr>
                <w:rFonts w:ascii="Arial" w:hAnsi="Arial" w:cs="Arial"/>
                <w:color w:val="FF0000"/>
                <w:sz w:val="20"/>
                <w:szCs w:val="20"/>
              </w:rPr>
              <w:t xml:space="preserve"> </w:t>
            </w:r>
          </w:p>
        </w:tc>
        <w:tc>
          <w:tcPr>
            <w:tcW w:w="1045" w:type="dxa"/>
            <w:tcBorders>
              <w:top w:val="single" w:sz="2" w:space="0" w:color="auto"/>
              <w:bottom w:val="single" w:sz="2" w:space="0" w:color="auto"/>
            </w:tcBorders>
            <w:shd w:val="clear" w:color="auto" w:fill="auto"/>
          </w:tcPr>
          <w:p w:rsidR="00683B1F" w:rsidRPr="00A15528" w:rsidRDefault="00683B1F" w:rsidP="002A55CB">
            <w:pPr>
              <w:rPr>
                <w:rFonts w:ascii="Arial" w:hAnsi="Arial" w:cs="Arial"/>
                <w:b/>
                <w:color w:val="FF0000"/>
                <w:sz w:val="20"/>
                <w:szCs w:val="20"/>
              </w:rPr>
            </w:pPr>
            <w:r w:rsidRPr="00A15528">
              <w:rPr>
                <w:rFonts w:ascii="Arial" w:hAnsi="Arial" w:cs="Arial"/>
                <w:b/>
                <w:color w:val="FF0000"/>
                <w:sz w:val="20"/>
                <w:szCs w:val="20"/>
              </w:rPr>
              <w:t>TUG</w:t>
            </w:r>
          </w:p>
        </w:tc>
        <w:tc>
          <w:tcPr>
            <w:tcW w:w="7628" w:type="dxa"/>
            <w:tcBorders>
              <w:top w:val="single" w:sz="2" w:space="0" w:color="auto"/>
              <w:bottom w:val="single" w:sz="2" w:space="0" w:color="auto"/>
              <w:right w:val="single" w:sz="4" w:space="0" w:color="auto"/>
            </w:tcBorders>
            <w:shd w:val="clear" w:color="auto" w:fill="auto"/>
          </w:tcPr>
          <w:p w:rsidR="00683B1F" w:rsidRPr="00A15528" w:rsidRDefault="00683B1F" w:rsidP="002A55CB">
            <w:pPr>
              <w:autoSpaceDE w:val="0"/>
              <w:autoSpaceDN w:val="0"/>
              <w:adjustRightInd w:val="0"/>
              <w:rPr>
                <w:rFonts w:ascii="Arial" w:hAnsi="Arial" w:cs="Arial"/>
                <w:color w:val="FF0000"/>
                <w:sz w:val="20"/>
                <w:szCs w:val="20"/>
                <w:lang w:val="en-GB"/>
              </w:rPr>
            </w:pPr>
            <w:r w:rsidRPr="00A15528">
              <w:rPr>
                <w:rFonts w:ascii="Arial" w:hAnsi="Arial" w:cs="Arial"/>
                <w:color w:val="FF0000"/>
                <w:sz w:val="20"/>
                <w:szCs w:val="20"/>
                <w:lang w:val="en-GB"/>
              </w:rPr>
              <w:t>sex, age, PS, platelet count, tumor extension and site, MNA,</w:t>
            </w:r>
          </w:p>
          <w:p w:rsidR="00683B1F" w:rsidRPr="00A15528" w:rsidRDefault="00683B1F" w:rsidP="002A55CB">
            <w:pPr>
              <w:rPr>
                <w:rFonts w:ascii="Arial" w:hAnsi="Arial" w:cs="Arial"/>
                <w:color w:val="FF0000"/>
                <w:sz w:val="20"/>
                <w:szCs w:val="20"/>
                <w:lang w:val="en-GB"/>
              </w:rPr>
            </w:pPr>
            <w:r w:rsidRPr="00A15528">
              <w:rPr>
                <w:rFonts w:ascii="Arial" w:hAnsi="Arial" w:cs="Arial"/>
                <w:color w:val="FF0000"/>
                <w:sz w:val="20"/>
                <w:szCs w:val="20"/>
                <w:lang w:val="en-GB"/>
              </w:rPr>
              <w:t xml:space="preserve"> ADL, MMSEadjusted for treatment site</w:t>
            </w:r>
          </w:p>
          <w:p w:rsidR="00683B1F" w:rsidRPr="00A15528" w:rsidRDefault="00683B1F" w:rsidP="002A55CB">
            <w:pPr>
              <w:rPr>
                <w:rFonts w:ascii="Arial" w:hAnsi="Arial" w:cs="Arial"/>
                <w:color w:val="FF0000"/>
                <w:sz w:val="20"/>
                <w:szCs w:val="20"/>
              </w:rPr>
            </w:pPr>
          </w:p>
        </w:tc>
      </w:tr>
      <w:tr w:rsidR="00683B1F" w:rsidRPr="00087341" w:rsidTr="002A55CB">
        <w:tblPrEx>
          <w:tblCellMar>
            <w:left w:w="108" w:type="dxa"/>
            <w:right w:w="108" w:type="dxa"/>
          </w:tblCellMar>
          <w:tblLook w:val="04A0" w:firstRow="1" w:lastRow="0" w:firstColumn="1" w:lastColumn="0" w:noHBand="0" w:noVBand="1"/>
        </w:tblPrEx>
        <w:trPr>
          <w:trHeight w:val="90"/>
        </w:trPr>
        <w:tc>
          <w:tcPr>
            <w:tcW w:w="2300" w:type="dxa"/>
            <w:tcBorders>
              <w:top w:val="single" w:sz="2" w:space="0" w:color="auto"/>
              <w:bottom w:val="single" w:sz="2" w:space="0" w:color="auto"/>
              <w:right w:val="single" w:sz="12" w:space="0" w:color="auto"/>
            </w:tcBorders>
            <w:shd w:val="clear" w:color="auto" w:fill="auto"/>
          </w:tcPr>
          <w:p w:rsidR="00683B1F" w:rsidRPr="00A15528" w:rsidRDefault="00683B1F" w:rsidP="002A55CB">
            <w:pPr>
              <w:rPr>
                <w:rFonts w:ascii="Arial" w:hAnsi="Arial" w:cs="Arial"/>
                <w:color w:val="FF0000"/>
                <w:sz w:val="20"/>
                <w:szCs w:val="20"/>
              </w:rPr>
            </w:pPr>
            <w:r w:rsidRPr="00A15528">
              <w:rPr>
                <w:rFonts w:ascii="Arial" w:hAnsi="Arial" w:cs="Arial"/>
                <w:color w:val="FF0000"/>
                <w:sz w:val="20"/>
                <w:szCs w:val="20"/>
              </w:rPr>
              <w:t>Cesari</w:t>
            </w:r>
            <w:r w:rsidRPr="00A15528">
              <w:rPr>
                <w:rFonts w:ascii="Arial" w:hAnsi="Arial" w:cs="Arial"/>
                <w:color w:val="FF0000"/>
                <w:sz w:val="20"/>
                <w:szCs w:val="20"/>
              </w:rPr>
              <w:fldChar w:fldCharType="begin" w:fldLock="1"/>
            </w:r>
            <w:r w:rsidRPr="00A15528">
              <w:rPr>
                <w:rFonts w:ascii="Arial" w:hAnsi="Arial" w:cs="Arial"/>
                <w:color w:val="FF0000"/>
                <w:sz w:val="20"/>
                <w:szCs w:val="20"/>
              </w:rPr>
              <w:instrText>ADDIN CSL_CITATION { "citationItems" : [ { "id" : "ITEM-1", "itemData" : { "DOI" : "10.1093/gerona/glt073", "ISBN" : "1079-5006", "ISSN" : "10795006", "PMID" : "23733856", "abstract" : "Screening tools for the identification of vulnerable older patients with cancer are needed. Aim of this study is to measure the prognostic value of multiple screening tools for the assessment of mortality risk in oncogeriatrics.The prognostic value of the following assessment tools was tested in 200 older women with gynecological cancer (mean age = 73.5 years) for 1-year mortality: Short Physical Performance Battery, usual gait speed, handgrip strength, Eastern Cooperative Oncology Group Performance Status scale, Karnofsky Performance Status scale, Vulnerable Elders Scale-13, activities of daily living, and instrumental activities of daily living. Cox proportional hazard models were performed to estimate the associations of the performance measures with mortality. Areas under receiver operating characteristic curves were also estimated.Twenty-three participants (11.5%) died during the follow-up. The Short Physical Performance Battery, usual gait speed, and instrumental activities of daily living were the only parameters significantly associated with mortality, even after adjustment for confounders. No statistically significant results were reported for other functional measures. Similar results were obtained when testing the predictive values of the performance measures at the receiver operating characteristic analyses.The Short Physical Performance Battery and especially the usual gait speed may represent promising tools for measuring the mortality risk of older cancer patients, thus potentially supporting clinical decisions. Further studies are needed to confirm and extend the present findings.", "author" : [ { "dropping-particle" : "", "family" : "Cesari", "given" : "Matteo", "non-dropping-particle" : "", "parse-names" : false, "suffix" : "" }, { "dropping-particle" : "", "family" : "Cerullo", "given" : "Francesco", "non-dropping-particle" : "", "parse-names" : false, "suffix" : "" }, { "dropping-particle" : "", "family" : "Zamboni", "given" : "Valentina", "non-dropping-particle" : "", "parse-names" : false, "suffix" : "" }, { "dropping-particle" : "", "family" : "Palma", "given" : "Rita", "non-dropping-particle" : "Di", "parse-names" : false, "suffix" : "" }, { "dropping-particle" : "", "family" : "Scambia", "given" : "Giovanni", "non-dropping-particle" : "", "parse-names" : false, "suffix" : "" }, { "dropping-particle" : "", "family" : "Balducci", "given" : "Lodovico", "non-dropping-particle" : "", "parse-names" : false, "suffix" : "" }, { "dropping-particle" : "", "family" : "Antonelli Incalzi", "given" : "Raffaele", "non-dropping-particle" : "", "parse-names" : false, "suffix" : "" }, { "dropping-particle" : "", "family" : "Vellas", "given" : "Bruno", "non-dropping-particle" : "", "parse-names" : false, "suffix" : "" }, { "dropping-particle" : "", "family" : "Gambassi", "given" : "Giovanni", "non-dropping-particle" : "", "parse-names" : false, "suffix" : "" } ], "container-title" : "J Gerontol A Biol Sci Med Sci", "id" : "ITEM-1", "issue" : "9", "issued" : { "date-parts" : [ [ "2013" ] ] }, "page" : "1129-1133", "title" : "Functional status and mortality in older women with gynecological cancer.", "type" : "article-journal", "volume" : "68" }, "uris" : [ "http://www.mendeley.com/documents/?uuid=456a12ae-6e56-4e1b-8971-79e2675a1bee" ] } ], "mendeley" : { "formattedCitation" : "(19)", "plainTextFormattedCitation" : "(19)", "previouslyFormattedCitation" : "(19)" }, "properties" : { "noteIndex" : 0 }, "schema" : "https://github.com/citation-style-language/schema/raw/master/csl-citation.json" }</w:instrText>
            </w:r>
            <w:r w:rsidRPr="00A15528">
              <w:rPr>
                <w:rFonts w:ascii="Arial" w:hAnsi="Arial" w:cs="Arial"/>
                <w:color w:val="FF0000"/>
                <w:sz w:val="20"/>
                <w:szCs w:val="20"/>
              </w:rPr>
              <w:fldChar w:fldCharType="separate"/>
            </w:r>
            <w:r w:rsidRPr="00A15528">
              <w:rPr>
                <w:rFonts w:ascii="Arial" w:hAnsi="Arial" w:cs="Arial"/>
                <w:noProof/>
                <w:color w:val="FF0000"/>
                <w:sz w:val="20"/>
                <w:szCs w:val="20"/>
              </w:rPr>
              <w:t>(19)</w:t>
            </w:r>
            <w:r w:rsidRPr="00A15528">
              <w:rPr>
                <w:rFonts w:ascii="Arial" w:hAnsi="Arial" w:cs="Arial"/>
                <w:color w:val="FF0000"/>
                <w:sz w:val="20"/>
                <w:szCs w:val="20"/>
              </w:rPr>
              <w:fldChar w:fldCharType="end"/>
            </w:r>
            <w:r w:rsidRPr="00A15528">
              <w:rPr>
                <w:rFonts w:ascii="Arial" w:hAnsi="Arial" w:cs="Arial"/>
                <w:color w:val="FF0000"/>
                <w:sz w:val="20"/>
                <w:szCs w:val="20"/>
              </w:rPr>
              <w:t xml:space="preserve"> </w:t>
            </w:r>
          </w:p>
        </w:tc>
        <w:tc>
          <w:tcPr>
            <w:tcW w:w="1045" w:type="dxa"/>
            <w:tcBorders>
              <w:top w:val="single" w:sz="2" w:space="0" w:color="auto"/>
              <w:bottom w:val="single" w:sz="2" w:space="0" w:color="auto"/>
            </w:tcBorders>
            <w:shd w:val="clear" w:color="auto" w:fill="auto"/>
          </w:tcPr>
          <w:p w:rsidR="00683B1F" w:rsidRPr="00A15528" w:rsidRDefault="00683B1F" w:rsidP="002A55CB">
            <w:pPr>
              <w:rPr>
                <w:rFonts w:ascii="Arial" w:hAnsi="Arial" w:cs="Arial"/>
                <w:b/>
                <w:color w:val="FF0000"/>
                <w:sz w:val="20"/>
                <w:szCs w:val="20"/>
              </w:rPr>
            </w:pPr>
            <w:r w:rsidRPr="00A15528">
              <w:rPr>
                <w:rFonts w:ascii="Arial" w:hAnsi="Arial" w:cs="Arial"/>
                <w:b/>
                <w:color w:val="FF0000"/>
                <w:sz w:val="20"/>
                <w:szCs w:val="20"/>
              </w:rPr>
              <w:t>SPPB</w:t>
            </w:r>
          </w:p>
        </w:tc>
        <w:tc>
          <w:tcPr>
            <w:tcW w:w="7628" w:type="dxa"/>
            <w:tcBorders>
              <w:top w:val="single" w:sz="2" w:space="0" w:color="auto"/>
              <w:bottom w:val="single" w:sz="2" w:space="0" w:color="auto"/>
              <w:right w:val="single" w:sz="4" w:space="0" w:color="auto"/>
            </w:tcBorders>
            <w:shd w:val="clear" w:color="auto" w:fill="auto"/>
          </w:tcPr>
          <w:p w:rsidR="00683B1F" w:rsidRPr="00A15528" w:rsidRDefault="00683B1F" w:rsidP="002A55CB">
            <w:pPr>
              <w:autoSpaceDE w:val="0"/>
              <w:autoSpaceDN w:val="0"/>
              <w:adjustRightInd w:val="0"/>
              <w:rPr>
                <w:rFonts w:ascii="Arial" w:eastAsia="TimesLTStd-Roman" w:hAnsi="Arial" w:cs="Arial"/>
                <w:color w:val="FF0000"/>
                <w:sz w:val="20"/>
                <w:szCs w:val="20"/>
                <w:lang w:val="en-GB"/>
              </w:rPr>
            </w:pPr>
            <w:r w:rsidRPr="00A15528">
              <w:rPr>
                <w:rFonts w:ascii="Arial" w:eastAsia="TimesLTStd-Roman" w:hAnsi="Arial" w:cs="Arial"/>
                <w:color w:val="FF0000"/>
                <w:sz w:val="20"/>
                <w:szCs w:val="20"/>
                <w:lang w:val="en-GB"/>
              </w:rPr>
              <w:t>age, body mass index, Mini-Mental State Examination, quality of life, cancer stage</w:t>
            </w:r>
          </w:p>
          <w:p w:rsidR="00683B1F" w:rsidRPr="00A15528" w:rsidRDefault="00683B1F" w:rsidP="002A55CB">
            <w:pPr>
              <w:autoSpaceDE w:val="0"/>
              <w:autoSpaceDN w:val="0"/>
              <w:adjustRightInd w:val="0"/>
              <w:rPr>
                <w:rFonts w:ascii="Arial" w:eastAsia="TimesLTStd-Roman" w:hAnsi="Arial" w:cs="Arial"/>
                <w:color w:val="FF0000"/>
                <w:sz w:val="20"/>
                <w:szCs w:val="20"/>
                <w:lang w:val="en-GB"/>
              </w:rPr>
            </w:pPr>
          </w:p>
        </w:tc>
      </w:tr>
      <w:tr w:rsidR="00683B1F" w:rsidRPr="00087341" w:rsidTr="002A55CB">
        <w:tblPrEx>
          <w:tblCellMar>
            <w:left w:w="108" w:type="dxa"/>
            <w:right w:w="108" w:type="dxa"/>
          </w:tblCellMar>
          <w:tblLook w:val="04A0" w:firstRow="1" w:lastRow="0" w:firstColumn="1" w:lastColumn="0" w:noHBand="0" w:noVBand="1"/>
        </w:tblPrEx>
        <w:trPr>
          <w:trHeight w:val="155"/>
        </w:trPr>
        <w:tc>
          <w:tcPr>
            <w:tcW w:w="2300" w:type="dxa"/>
            <w:tcBorders>
              <w:top w:val="single" w:sz="2" w:space="0" w:color="auto"/>
              <w:bottom w:val="single" w:sz="2" w:space="0" w:color="auto"/>
              <w:right w:val="single" w:sz="12" w:space="0" w:color="auto"/>
            </w:tcBorders>
            <w:shd w:val="clear" w:color="auto" w:fill="auto"/>
          </w:tcPr>
          <w:p w:rsidR="00683B1F" w:rsidRPr="00A15528" w:rsidRDefault="00683B1F" w:rsidP="002A55CB">
            <w:pPr>
              <w:rPr>
                <w:rFonts w:ascii="Arial" w:hAnsi="Arial" w:cs="Arial"/>
                <w:color w:val="FF0000"/>
                <w:sz w:val="20"/>
                <w:szCs w:val="20"/>
              </w:rPr>
            </w:pPr>
            <w:r w:rsidRPr="00A15528">
              <w:rPr>
                <w:rFonts w:ascii="Arial" w:hAnsi="Arial" w:cs="Arial"/>
                <w:color w:val="FF0000"/>
                <w:sz w:val="20"/>
                <w:szCs w:val="20"/>
              </w:rPr>
              <w:t xml:space="preserve">Klepin (2013) </w:t>
            </w:r>
            <w:r w:rsidRPr="00A15528">
              <w:rPr>
                <w:rFonts w:ascii="Arial" w:hAnsi="Arial" w:cs="Arial"/>
                <w:color w:val="FF0000"/>
                <w:sz w:val="20"/>
                <w:szCs w:val="20"/>
              </w:rPr>
              <w:fldChar w:fldCharType="begin" w:fldLock="1"/>
            </w:r>
            <w:r w:rsidRPr="00A15528">
              <w:rPr>
                <w:rFonts w:ascii="Arial" w:hAnsi="Arial" w:cs="Arial"/>
                <w:color w:val="FF0000"/>
                <w:sz w:val="20"/>
                <w:szCs w:val="20"/>
              </w:rPr>
              <w:instrText>ADDIN CSL_CITATION { "citationItems" : [ { "id" : "ITEM-1", "itemData" : { "DOI" : "10.1182/blood-2012-12-471680.Presented", "author" : [ { "dropping-particle" : "", "family" : "Klepin", "given" : "Heidi D", "non-dropping-particle" : "", "parse-names" : false, "suffix" : "" }, { "dropping-particle" : "", "family" : "Geiger", "given" : "Ann M", "non-dropping-particle" : "", "parse-names" : false, "suffix" : "" }, { "dropping-particle" : "", "family" : "Tooze", "given" : "Janet a", "non-dropping-particle" : "", "parse-names" : false, "suffix" : "" }, { "dropping-particle" : "", "family" : "Kritchevsky", "given" : "Stephen B", "non-dropping-particle" : "", "parse-names" : false, "suffix" : "" }, { "dropping-particle" : "", "family" : "Williamson", "given" : "Jeff D", "non-dropping-particle" : "", "parse-names" : false, "suffix" : "" }, { "dropping-particle" : "", "family" : "Pardee", "given" : "Timothy S", "non-dropping-particle" : "", "parse-names" : false, "suffix" : "" }, { "dropping-particle" : "", "family" : "Ellis", "given" : "Leslie R", "non-dropping-particle" : "", "parse-names" : false, "suffix" : "" }, { "dropping-particle" : "", "family" : "Powell", "given" : "Bayard L", "non-dropping-particle" : "", "parse-names" : false, "suffix" : "" } ], "id" : "ITEM-1", "issue" : "21", "issued" : { "date-parts" : [ [ "2013" ] ] }, "page" : "4287-4294", "title" : "Geriatric assessment predicts survival for older adults receiving induction chemotherapy for acute myelogenous leukemia", "type" : "article-journal", "volume" : "121" }, "uris" : [ "http://www.mendeley.com/documents/?uuid=80dcff28-2b8c-49df-867c-6b6c65363f78" ] } ], "mendeley" : { "formattedCitation" : "(29)", "plainTextFormattedCitation" : "(29)", "previouslyFormattedCitation" : "(29)" }, "properties" : { "noteIndex" : 0 }, "schema" : "https://github.com/citation-style-language/schema/raw/master/csl-citation.json" }</w:instrText>
            </w:r>
            <w:r w:rsidRPr="00A15528">
              <w:rPr>
                <w:rFonts w:ascii="Arial" w:hAnsi="Arial" w:cs="Arial"/>
                <w:color w:val="FF0000"/>
                <w:sz w:val="20"/>
                <w:szCs w:val="20"/>
              </w:rPr>
              <w:fldChar w:fldCharType="separate"/>
            </w:r>
            <w:r w:rsidRPr="00A15528">
              <w:rPr>
                <w:rFonts w:ascii="Arial" w:hAnsi="Arial" w:cs="Arial"/>
                <w:noProof/>
                <w:color w:val="FF0000"/>
                <w:sz w:val="20"/>
                <w:szCs w:val="20"/>
              </w:rPr>
              <w:t>(29)</w:t>
            </w:r>
            <w:r w:rsidRPr="00A15528">
              <w:rPr>
                <w:rFonts w:ascii="Arial" w:hAnsi="Arial" w:cs="Arial"/>
                <w:color w:val="FF0000"/>
                <w:sz w:val="20"/>
                <w:szCs w:val="20"/>
              </w:rPr>
              <w:fldChar w:fldCharType="end"/>
            </w:r>
          </w:p>
        </w:tc>
        <w:tc>
          <w:tcPr>
            <w:tcW w:w="1045" w:type="dxa"/>
            <w:tcBorders>
              <w:top w:val="single" w:sz="2" w:space="0" w:color="auto"/>
              <w:bottom w:val="single" w:sz="2" w:space="0" w:color="auto"/>
            </w:tcBorders>
            <w:shd w:val="clear" w:color="auto" w:fill="auto"/>
          </w:tcPr>
          <w:p w:rsidR="00683B1F" w:rsidRPr="00A15528" w:rsidRDefault="00683B1F" w:rsidP="002A55CB">
            <w:pPr>
              <w:rPr>
                <w:rFonts w:ascii="Arial" w:hAnsi="Arial" w:cs="Arial"/>
                <w:color w:val="FF0000"/>
                <w:sz w:val="20"/>
                <w:szCs w:val="20"/>
              </w:rPr>
            </w:pPr>
            <w:r w:rsidRPr="00A15528">
              <w:rPr>
                <w:rFonts w:ascii="Arial" w:hAnsi="Arial" w:cs="Arial"/>
                <w:b/>
                <w:color w:val="FF0000"/>
                <w:sz w:val="20"/>
                <w:szCs w:val="20"/>
              </w:rPr>
              <w:t>SPPB</w:t>
            </w:r>
          </w:p>
        </w:tc>
        <w:tc>
          <w:tcPr>
            <w:tcW w:w="7628" w:type="dxa"/>
            <w:tcBorders>
              <w:top w:val="single" w:sz="2" w:space="0" w:color="auto"/>
              <w:bottom w:val="single" w:sz="2" w:space="0" w:color="auto"/>
              <w:right w:val="single" w:sz="4" w:space="0" w:color="auto"/>
            </w:tcBorders>
            <w:shd w:val="clear" w:color="auto" w:fill="auto"/>
          </w:tcPr>
          <w:p w:rsidR="00683B1F" w:rsidRPr="00A15528" w:rsidRDefault="00683B1F" w:rsidP="002A55CB">
            <w:pPr>
              <w:autoSpaceDE w:val="0"/>
              <w:autoSpaceDN w:val="0"/>
              <w:adjustRightInd w:val="0"/>
              <w:rPr>
                <w:rFonts w:ascii="Arial" w:hAnsi="Arial" w:cs="Arial"/>
                <w:color w:val="FF0000"/>
                <w:sz w:val="20"/>
                <w:szCs w:val="20"/>
                <w:lang w:val="en-GB"/>
              </w:rPr>
            </w:pPr>
            <w:r w:rsidRPr="00A15528">
              <w:rPr>
                <w:rFonts w:ascii="Arial" w:hAnsi="Arial" w:cs="Arial"/>
                <w:color w:val="FF0000"/>
                <w:sz w:val="20"/>
                <w:szCs w:val="20"/>
                <w:lang w:val="en-GB"/>
              </w:rPr>
              <w:t>age, gender, ECOG performance status, cytogenetic risk</w:t>
            </w:r>
          </w:p>
          <w:p w:rsidR="00683B1F" w:rsidRPr="00A15528" w:rsidRDefault="00683B1F" w:rsidP="002A55CB">
            <w:pPr>
              <w:rPr>
                <w:rFonts w:ascii="Arial" w:hAnsi="Arial" w:cs="Arial"/>
                <w:color w:val="FF0000"/>
                <w:sz w:val="20"/>
                <w:szCs w:val="20"/>
                <w:lang w:val="en-GB"/>
              </w:rPr>
            </w:pPr>
            <w:r w:rsidRPr="00A15528">
              <w:rPr>
                <w:rFonts w:ascii="Arial" w:hAnsi="Arial" w:cs="Arial"/>
                <w:color w:val="FF0000"/>
                <w:sz w:val="20"/>
                <w:szCs w:val="20"/>
                <w:lang w:val="en-GB"/>
              </w:rPr>
              <w:t>group, prior MDS,  haemoglobin</w:t>
            </w:r>
          </w:p>
          <w:p w:rsidR="00683B1F" w:rsidRPr="00A15528" w:rsidRDefault="00683B1F" w:rsidP="002A55CB">
            <w:pPr>
              <w:rPr>
                <w:rFonts w:ascii="Arial" w:hAnsi="Arial" w:cs="Arial"/>
                <w:color w:val="FF0000"/>
                <w:sz w:val="20"/>
                <w:szCs w:val="20"/>
              </w:rPr>
            </w:pPr>
          </w:p>
        </w:tc>
      </w:tr>
      <w:tr w:rsidR="00683B1F" w:rsidRPr="00087341" w:rsidTr="002A55CB">
        <w:tblPrEx>
          <w:tblCellMar>
            <w:left w:w="108" w:type="dxa"/>
            <w:right w:w="108" w:type="dxa"/>
          </w:tblCellMar>
          <w:tblLook w:val="04A0" w:firstRow="1" w:lastRow="0" w:firstColumn="1" w:lastColumn="0" w:noHBand="0" w:noVBand="1"/>
        </w:tblPrEx>
        <w:trPr>
          <w:trHeight w:val="331"/>
        </w:trPr>
        <w:tc>
          <w:tcPr>
            <w:tcW w:w="2300" w:type="dxa"/>
            <w:tcBorders>
              <w:top w:val="single" w:sz="2" w:space="0" w:color="auto"/>
              <w:bottom w:val="single" w:sz="2" w:space="0" w:color="auto"/>
              <w:right w:val="single" w:sz="12" w:space="0" w:color="auto"/>
            </w:tcBorders>
            <w:shd w:val="clear" w:color="auto" w:fill="auto"/>
          </w:tcPr>
          <w:p w:rsidR="00683B1F" w:rsidRPr="00A15528" w:rsidRDefault="00683B1F" w:rsidP="002A55CB">
            <w:pPr>
              <w:rPr>
                <w:rFonts w:ascii="Arial" w:hAnsi="Arial" w:cs="Arial"/>
                <w:color w:val="FF0000"/>
                <w:sz w:val="20"/>
                <w:szCs w:val="20"/>
              </w:rPr>
            </w:pPr>
            <w:r w:rsidRPr="00A15528">
              <w:rPr>
                <w:rFonts w:ascii="Arial" w:hAnsi="Arial" w:cs="Arial"/>
                <w:color w:val="FF0000"/>
                <w:sz w:val="20"/>
                <w:szCs w:val="20"/>
              </w:rPr>
              <w:t>Cesari</w:t>
            </w:r>
            <w:r w:rsidRPr="00A15528">
              <w:rPr>
                <w:rFonts w:ascii="Arial" w:hAnsi="Arial" w:cs="Arial"/>
                <w:color w:val="FF0000"/>
                <w:sz w:val="20"/>
                <w:szCs w:val="20"/>
              </w:rPr>
              <w:fldChar w:fldCharType="begin" w:fldLock="1"/>
            </w:r>
            <w:r w:rsidRPr="00A15528">
              <w:rPr>
                <w:rFonts w:ascii="Arial" w:hAnsi="Arial" w:cs="Arial"/>
                <w:color w:val="FF0000"/>
                <w:sz w:val="20"/>
                <w:szCs w:val="20"/>
              </w:rPr>
              <w:instrText>ADDIN CSL_CITATION { "citationItems" : [ { "id" : "ITEM-1", "itemData" : { "DOI" : "10.1093/gerona/glt073", "ISBN" : "1079-5006", "ISSN" : "10795006", "PMID" : "23733856", "abstract" : "Screening tools for the identification of vulnerable older patients with cancer are needed. Aim of this study is to measure the prognostic value of multiple screening tools for the assessment of mortality risk in oncogeriatrics.The prognostic value of the following assessment tools was tested in 200 older women with gynecological cancer (mean age = 73.5 years) for 1-year mortality: Short Physical Performance Battery, usual gait speed, handgrip strength, Eastern Cooperative Oncology Group Performance Status scale, Karnofsky Performance Status scale, Vulnerable Elders Scale-13, activities of daily living, and instrumental activities of daily living. Cox proportional hazard models were performed to estimate the associations of the performance measures with mortality. Areas under receiver operating characteristic curves were also estimated.Twenty-three participants (11.5%) died during the follow-up. The Short Physical Performance Battery, usual gait speed, and instrumental activities of daily living were the only parameters significantly associated with mortality, even after adjustment for confounders. No statistically significant results were reported for other functional measures. Similar results were obtained when testing the predictive values of the performance measures at the receiver operating characteristic analyses.The Short Physical Performance Battery and especially the usual gait speed may represent promising tools for measuring the mortality risk of older cancer patients, thus potentially supporting clinical decisions. Further studies are needed to confirm and extend the present findings.", "author" : [ { "dropping-particle" : "", "family" : "Cesari", "given" : "Matteo", "non-dropping-particle" : "", "parse-names" : false, "suffix" : "" }, { "dropping-particle" : "", "family" : "Cerullo", "given" : "Francesco", "non-dropping-particle" : "", "parse-names" : false, "suffix" : "" }, { "dropping-particle" : "", "family" : "Zamboni", "given" : "Valentina", "non-dropping-particle" : "", "parse-names" : false, "suffix" : "" }, { "dropping-particle" : "", "family" : "Palma", "given" : "Rita", "non-dropping-particle" : "Di", "parse-names" : false, "suffix" : "" }, { "dropping-particle" : "", "family" : "Scambia", "given" : "Giovanni", "non-dropping-particle" : "", "parse-names" : false, "suffix" : "" }, { "dropping-particle" : "", "family" : "Balducci", "given" : "Lodovico", "non-dropping-particle" : "", "parse-names" : false, "suffix" : "" }, { "dropping-particle" : "", "family" : "Antonelli Incalzi", "given" : "Raffaele", "non-dropping-particle" : "", "parse-names" : false, "suffix" : "" }, { "dropping-particle" : "", "family" : "Vellas", "given" : "Bruno", "non-dropping-particle" : "", "parse-names" : false, "suffix" : "" }, { "dropping-particle" : "", "family" : "Gambassi", "given" : "Giovanni", "non-dropping-particle" : "", "parse-names" : false, "suffix" : "" } ], "container-title" : "J Gerontol A Biol Sci Med Sci", "id" : "ITEM-1", "issue" : "9", "issued" : { "date-parts" : [ [ "2013" ] ] }, "page" : "1129-1133", "title" : "Functional status and mortality in older women with gynecological cancer.", "type" : "article-journal", "volume" : "68" }, "uris" : [ "http://www.mendeley.com/documents/?uuid=456a12ae-6e56-4e1b-8971-79e2675a1bee" ] } ], "mendeley" : { "formattedCitation" : "(19)", "plainTextFormattedCitation" : "(19)", "previouslyFormattedCitation" : "(19)" }, "properties" : { "noteIndex" : 0 }, "schema" : "https://github.com/citation-style-language/schema/raw/master/csl-citation.json" }</w:instrText>
            </w:r>
            <w:r w:rsidRPr="00A15528">
              <w:rPr>
                <w:rFonts w:ascii="Arial" w:hAnsi="Arial" w:cs="Arial"/>
                <w:color w:val="FF0000"/>
                <w:sz w:val="20"/>
                <w:szCs w:val="20"/>
              </w:rPr>
              <w:fldChar w:fldCharType="separate"/>
            </w:r>
            <w:r w:rsidRPr="00A15528">
              <w:rPr>
                <w:rFonts w:ascii="Arial" w:hAnsi="Arial" w:cs="Arial"/>
                <w:noProof/>
                <w:color w:val="FF0000"/>
                <w:sz w:val="20"/>
                <w:szCs w:val="20"/>
              </w:rPr>
              <w:t>(19)</w:t>
            </w:r>
            <w:r w:rsidRPr="00A15528">
              <w:rPr>
                <w:rFonts w:ascii="Arial" w:hAnsi="Arial" w:cs="Arial"/>
                <w:color w:val="FF0000"/>
                <w:sz w:val="20"/>
                <w:szCs w:val="20"/>
              </w:rPr>
              <w:fldChar w:fldCharType="end"/>
            </w:r>
            <w:r w:rsidRPr="00A15528">
              <w:rPr>
                <w:rFonts w:ascii="Arial" w:hAnsi="Arial" w:cs="Arial"/>
                <w:color w:val="FF0000"/>
                <w:sz w:val="20"/>
                <w:szCs w:val="20"/>
              </w:rPr>
              <w:t xml:space="preserve">  </w:t>
            </w:r>
          </w:p>
        </w:tc>
        <w:tc>
          <w:tcPr>
            <w:tcW w:w="1045" w:type="dxa"/>
            <w:tcBorders>
              <w:top w:val="single" w:sz="2" w:space="0" w:color="auto"/>
              <w:bottom w:val="single" w:sz="2" w:space="0" w:color="auto"/>
            </w:tcBorders>
            <w:shd w:val="clear" w:color="auto" w:fill="auto"/>
          </w:tcPr>
          <w:p w:rsidR="00683B1F" w:rsidRPr="00A15528" w:rsidRDefault="00683B1F" w:rsidP="002A55CB">
            <w:pPr>
              <w:rPr>
                <w:rFonts w:ascii="Arial" w:hAnsi="Arial" w:cs="Arial"/>
                <w:color w:val="FF0000"/>
                <w:sz w:val="20"/>
                <w:szCs w:val="20"/>
              </w:rPr>
            </w:pPr>
            <w:r w:rsidRPr="00A15528">
              <w:rPr>
                <w:rFonts w:ascii="Arial" w:hAnsi="Arial" w:cs="Arial"/>
                <w:b/>
                <w:color w:val="FF0000"/>
                <w:sz w:val="20"/>
                <w:szCs w:val="20"/>
              </w:rPr>
              <w:t xml:space="preserve">Gait </w:t>
            </w:r>
          </w:p>
        </w:tc>
        <w:tc>
          <w:tcPr>
            <w:tcW w:w="7628" w:type="dxa"/>
            <w:tcBorders>
              <w:top w:val="single" w:sz="2" w:space="0" w:color="auto"/>
              <w:bottom w:val="single" w:sz="2" w:space="0" w:color="auto"/>
              <w:right w:val="single" w:sz="4" w:space="0" w:color="auto"/>
            </w:tcBorders>
            <w:shd w:val="clear" w:color="auto" w:fill="auto"/>
          </w:tcPr>
          <w:p w:rsidR="00683B1F" w:rsidRPr="00A15528" w:rsidRDefault="00683B1F" w:rsidP="002A55CB">
            <w:pPr>
              <w:rPr>
                <w:rFonts w:ascii="Arial" w:eastAsia="TimesLTStd-Roman" w:hAnsi="Arial" w:cs="Arial"/>
                <w:color w:val="FF0000"/>
                <w:sz w:val="20"/>
                <w:szCs w:val="20"/>
                <w:lang w:val="en-GB"/>
              </w:rPr>
            </w:pPr>
            <w:r w:rsidRPr="00A15528">
              <w:rPr>
                <w:rFonts w:ascii="Arial" w:eastAsia="TimesLTStd-Roman" w:hAnsi="Arial" w:cs="Arial"/>
                <w:color w:val="FF0000"/>
                <w:sz w:val="20"/>
                <w:szCs w:val="20"/>
                <w:lang w:val="en-GB"/>
              </w:rPr>
              <w:t>age, body mass index, Mini-Mental State Examination, quality of life, cancer stage</w:t>
            </w:r>
          </w:p>
          <w:p w:rsidR="00683B1F" w:rsidRPr="00A15528" w:rsidRDefault="00683B1F" w:rsidP="002A55CB">
            <w:pPr>
              <w:rPr>
                <w:rFonts w:ascii="Arial" w:hAnsi="Arial" w:cs="Arial"/>
                <w:color w:val="FF0000"/>
                <w:sz w:val="20"/>
                <w:szCs w:val="20"/>
              </w:rPr>
            </w:pPr>
          </w:p>
        </w:tc>
      </w:tr>
      <w:tr w:rsidR="00683B1F" w:rsidRPr="00087341" w:rsidTr="002A55CB">
        <w:tblPrEx>
          <w:tblCellMar>
            <w:left w:w="108" w:type="dxa"/>
            <w:right w:w="108" w:type="dxa"/>
          </w:tblCellMar>
          <w:tblLook w:val="04A0" w:firstRow="1" w:lastRow="0" w:firstColumn="1" w:lastColumn="0" w:noHBand="0" w:noVBand="1"/>
        </w:tblPrEx>
        <w:trPr>
          <w:trHeight w:val="269"/>
        </w:trPr>
        <w:tc>
          <w:tcPr>
            <w:tcW w:w="2300" w:type="dxa"/>
            <w:tcBorders>
              <w:top w:val="single" w:sz="2" w:space="0" w:color="auto"/>
              <w:bottom w:val="single" w:sz="2" w:space="0" w:color="auto"/>
              <w:right w:val="single" w:sz="12" w:space="0" w:color="auto"/>
            </w:tcBorders>
            <w:shd w:val="clear" w:color="auto" w:fill="auto"/>
          </w:tcPr>
          <w:p w:rsidR="00683B1F" w:rsidRPr="00A15528" w:rsidRDefault="00683B1F" w:rsidP="002A55CB">
            <w:pPr>
              <w:rPr>
                <w:rFonts w:ascii="Arial" w:hAnsi="Arial" w:cs="Arial"/>
                <w:color w:val="FF0000"/>
                <w:sz w:val="20"/>
                <w:szCs w:val="20"/>
              </w:rPr>
            </w:pPr>
            <w:r w:rsidRPr="00A15528">
              <w:rPr>
                <w:rFonts w:ascii="Arial" w:hAnsi="Arial" w:cs="Arial"/>
                <w:color w:val="FF0000"/>
                <w:sz w:val="20"/>
                <w:szCs w:val="20"/>
              </w:rPr>
              <w:t xml:space="preserve">Klepin (2010) </w:t>
            </w:r>
            <w:r w:rsidRPr="00A15528">
              <w:rPr>
                <w:rFonts w:ascii="Arial" w:hAnsi="Arial" w:cs="Arial"/>
                <w:color w:val="FF0000"/>
                <w:sz w:val="20"/>
                <w:szCs w:val="20"/>
              </w:rPr>
              <w:fldChar w:fldCharType="begin" w:fldLock="1"/>
            </w:r>
            <w:r w:rsidRPr="00A15528">
              <w:rPr>
                <w:rFonts w:ascii="Arial" w:hAnsi="Arial" w:cs="Arial"/>
                <w:color w:val="FF0000"/>
                <w:sz w:val="20"/>
                <w:szCs w:val="20"/>
              </w:rPr>
              <w:instrText>ADDIN CSL_CITATION { "citationItems" : [ { "id" : "ITEM-1", "itemData" : { "DOI" : "10.1111/j.1532-5415.2009.02620.x", "ISBN" : "1532-5415 (Electronic)\\r0002-8614 (Linking)", "ISSN" : "00028614", "PMID" : "20122042", "abstract" : "OBJECTIVES: To evaluate objective physical performance measures as predictors of survival and subsequent disability in older patients with cancer. DESIGN: Longitudinal cohort study. SETTING: Health, Aging and Body Composition (Health ABC) Study. PARTICIPANTS: Four hundred twenty-nine individuals diagnosed with cancer during the first 6 years of follow-up of the Health ABC Study. MEASUREMENTS: The associations between precancer measures of physical performance (20-m usual gait speed, 400-m long-distance corridor walk (LDCW), and grip strength) and overall survival and a short-term outcome of 2-year progression to disability or death were evaluated. Cox proportional hazards and logistic regression models, stratified for metastatic disease, respectively, were used for outcomes. RESULTS: Mean age was 77.2, 36.1% were women, and 45.7% were black. Faster 20-m usual walking speed was associated with a lower risk of death in the metastatic group (hazard ratio=0.89, 95% confidence interval (CI)=0.79-0.99) and lower 2-year progression to disability or death in the nonmetastatic group (odds ratio (OR)=0.77, 95% CI=0.64-0.94). Ability to complete the 400-m LDCW was associated with lower 2-year progression to disability or death in the nonmetastatic group (OR=0.24, 95% CI=0.10-0.62). There were no associations between grip strength and disability or death. CONCLUSION: Lower extremity physical performance tests (usual gait speed and 400-m LDCW) were associated with survival and 2-year progression to disability or death. Objective physical performance measures may help inform pretreatment evaluations in older adults with cancer.", "author" : [ { "dropping-particle" : "", "family" : "Klepin", "given" : "Heidi D.", "non-dropping-particle" : "", "parse-names" : false, "suffix" : "" }, { "dropping-particle" : "", "family" : "Geiger", "given" : "Ann M.", "non-dropping-particle" : "", "parse-names" : false, "suffix" : "" }, { "dropping-particle" : "", "family" : "Tooze", "given" : "Janet a.", "non-dropping-particle" : "", "parse-names" : false, "suffix" : "" }, { "dropping-particle" : "", "family" : "Newman", "given" : "Anne B.", "non-dropping-particle" : "", "parse-names" : false, "suffix" : "" }, { "dropping-particle" : "", "family" : "Colbert", "given" : "Lisa H.", "non-dropping-particle" : "", "parse-names" : false, "suffix" : "" }, { "dropping-particle" : "", "family" : "Bauer", "given" : "Douglas C.", "non-dropping-particle" : "", "parse-names" : false, "suffix" : "" }, { "dropping-particle" : "", "family" : "Satterfield", "given" : "Suzanne", "non-dropping-particle" : "", "parse-names" : false, "suffix" : "" }, { "dropping-particle" : "", "family" : "Pavon", "given" : "Juliessa", "non-dropping-particle" : "", "parse-names" : false, "suffix" : "" }, { "dropping-particle" : "", "family" : "Kritchevsky", "given" : "Stephen B.", "non-dropping-particle" : "", "parse-names" : false, "suffix" : "" } ], "container-title" : "Journal of the American Geriatrics Society", "id" : "ITEM-1", "issue" : "1", "issued" : { "date-parts" : [ [ "2010" ] ] }, "page" : "76-82", "title" : "Physical performance and subsequent disability and survival in older adults with malignancy: Results from the health, aging and body composition study", "type" : "article-journal", "volume" : "58" }, "uris" : [ "http://www.mendeley.com/documents/?uuid=21efe822-063f-4965-81d5-cb30e1ef3d6b" ] } ], "mendeley" : { "formattedCitation" : "(28)", "plainTextFormattedCitation" : "(28)", "previouslyFormattedCitation" : "(28)" }, "properties" : { "noteIndex" : 0 }, "schema" : "https://github.com/citation-style-language/schema/raw/master/csl-citation.json" }</w:instrText>
            </w:r>
            <w:r w:rsidRPr="00A15528">
              <w:rPr>
                <w:rFonts w:ascii="Arial" w:hAnsi="Arial" w:cs="Arial"/>
                <w:color w:val="FF0000"/>
                <w:sz w:val="20"/>
                <w:szCs w:val="20"/>
              </w:rPr>
              <w:fldChar w:fldCharType="separate"/>
            </w:r>
            <w:r w:rsidRPr="00A15528">
              <w:rPr>
                <w:rFonts w:ascii="Arial" w:hAnsi="Arial" w:cs="Arial"/>
                <w:noProof/>
                <w:color w:val="FF0000"/>
                <w:sz w:val="20"/>
                <w:szCs w:val="20"/>
              </w:rPr>
              <w:t>(28)</w:t>
            </w:r>
            <w:r w:rsidRPr="00A15528">
              <w:rPr>
                <w:rFonts w:ascii="Arial" w:hAnsi="Arial" w:cs="Arial"/>
                <w:color w:val="FF0000"/>
                <w:sz w:val="20"/>
                <w:szCs w:val="20"/>
              </w:rPr>
              <w:fldChar w:fldCharType="end"/>
            </w:r>
            <w:r w:rsidRPr="00A15528">
              <w:rPr>
                <w:rFonts w:ascii="Arial" w:hAnsi="Arial" w:cs="Arial"/>
                <w:color w:val="FF0000"/>
                <w:sz w:val="20"/>
                <w:szCs w:val="20"/>
              </w:rPr>
              <w:t xml:space="preserve"> </w:t>
            </w:r>
          </w:p>
          <w:p w:rsidR="00683B1F" w:rsidRPr="00A15528" w:rsidRDefault="00683B1F" w:rsidP="002A55CB">
            <w:pPr>
              <w:rPr>
                <w:rFonts w:ascii="Arial" w:hAnsi="Arial" w:cs="Arial"/>
                <w:i/>
                <w:color w:val="FF0000"/>
                <w:sz w:val="20"/>
                <w:szCs w:val="20"/>
              </w:rPr>
            </w:pPr>
            <w:r w:rsidRPr="00A15528">
              <w:rPr>
                <w:rFonts w:ascii="Arial" w:hAnsi="Arial" w:cs="Arial"/>
                <w:i/>
                <w:color w:val="FF0000"/>
                <w:sz w:val="20"/>
                <w:szCs w:val="20"/>
              </w:rPr>
              <w:t xml:space="preserve">     </w:t>
            </w:r>
          </w:p>
          <w:p w:rsidR="00683B1F" w:rsidRPr="00A15528" w:rsidRDefault="00683B1F" w:rsidP="002A55CB">
            <w:pPr>
              <w:rPr>
                <w:rFonts w:ascii="Arial" w:hAnsi="Arial" w:cs="Arial"/>
                <w:i/>
                <w:color w:val="FF0000"/>
                <w:sz w:val="20"/>
                <w:szCs w:val="20"/>
              </w:rPr>
            </w:pPr>
          </w:p>
        </w:tc>
        <w:tc>
          <w:tcPr>
            <w:tcW w:w="1045" w:type="dxa"/>
            <w:tcBorders>
              <w:top w:val="single" w:sz="2" w:space="0" w:color="auto"/>
              <w:bottom w:val="single" w:sz="2" w:space="0" w:color="auto"/>
            </w:tcBorders>
            <w:shd w:val="clear" w:color="auto" w:fill="auto"/>
          </w:tcPr>
          <w:p w:rsidR="00683B1F" w:rsidRPr="00A15528" w:rsidRDefault="00683B1F" w:rsidP="002A55CB">
            <w:pPr>
              <w:rPr>
                <w:rFonts w:ascii="Arial" w:hAnsi="Arial" w:cs="Arial"/>
                <w:color w:val="FF0000"/>
                <w:sz w:val="20"/>
                <w:szCs w:val="20"/>
              </w:rPr>
            </w:pPr>
            <w:r w:rsidRPr="00A15528">
              <w:rPr>
                <w:rFonts w:ascii="Arial" w:hAnsi="Arial" w:cs="Arial"/>
                <w:b/>
                <w:color w:val="FF0000"/>
                <w:sz w:val="20"/>
                <w:szCs w:val="20"/>
              </w:rPr>
              <w:t xml:space="preserve">Gait </w:t>
            </w:r>
          </w:p>
        </w:tc>
        <w:tc>
          <w:tcPr>
            <w:tcW w:w="7628" w:type="dxa"/>
            <w:tcBorders>
              <w:top w:val="single" w:sz="2" w:space="0" w:color="auto"/>
              <w:bottom w:val="single" w:sz="2" w:space="0" w:color="auto"/>
              <w:right w:val="single" w:sz="4" w:space="0" w:color="auto"/>
            </w:tcBorders>
            <w:shd w:val="clear" w:color="auto" w:fill="auto"/>
          </w:tcPr>
          <w:p w:rsidR="00683B1F" w:rsidRPr="00A15528" w:rsidRDefault="00683B1F" w:rsidP="002A55CB">
            <w:pPr>
              <w:rPr>
                <w:rFonts w:ascii="Arial" w:hAnsi="Arial" w:cs="Arial"/>
                <w:color w:val="FF0000"/>
                <w:sz w:val="20"/>
                <w:szCs w:val="20"/>
                <w:lang w:val="en-GB"/>
              </w:rPr>
            </w:pPr>
            <w:r w:rsidRPr="00A15528">
              <w:rPr>
                <w:rFonts w:ascii="Arial" w:hAnsi="Arial" w:cs="Arial"/>
                <w:color w:val="FF0000"/>
                <w:sz w:val="20"/>
                <w:szCs w:val="20"/>
                <w:lang w:val="en-GB"/>
              </w:rPr>
              <w:t>demographics, smoking status, physical activity, major disability at baseline, cognitive screen (modified Mini-Mental State Examination score), diabetes mellitus,  cardiovascular disease, obstructive pulmonary disease, cancer type (breast, lung, prostate, colorectal).</w:t>
            </w:r>
          </w:p>
          <w:p w:rsidR="00683B1F" w:rsidRPr="00A15528" w:rsidRDefault="00683B1F" w:rsidP="002A55CB">
            <w:pPr>
              <w:rPr>
                <w:rFonts w:ascii="Arial" w:hAnsi="Arial" w:cs="Arial"/>
                <w:color w:val="FF0000"/>
                <w:sz w:val="20"/>
                <w:szCs w:val="20"/>
              </w:rPr>
            </w:pPr>
          </w:p>
        </w:tc>
      </w:tr>
      <w:tr w:rsidR="00683B1F" w:rsidRPr="00087341" w:rsidTr="002A55CB">
        <w:tblPrEx>
          <w:tblCellMar>
            <w:left w:w="108" w:type="dxa"/>
            <w:right w:w="108" w:type="dxa"/>
          </w:tblCellMar>
          <w:tblLook w:val="04A0" w:firstRow="1" w:lastRow="0" w:firstColumn="1" w:lastColumn="0" w:noHBand="0" w:noVBand="1"/>
        </w:tblPrEx>
        <w:trPr>
          <w:trHeight w:val="157"/>
        </w:trPr>
        <w:tc>
          <w:tcPr>
            <w:tcW w:w="2300" w:type="dxa"/>
            <w:tcBorders>
              <w:top w:val="single" w:sz="2" w:space="0" w:color="auto"/>
              <w:bottom w:val="single" w:sz="2" w:space="0" w:color="000000"/>
              <w:right w:val="single" w:sz="12" w:space="0" w:color="auto"/>
            </w:tcBorders>
            <w:shd w:val="clear" w:color="auto" w:fill="auto"/>
          </w:tcPr>
          <w:p w:rsidR="00683B1F" w:rsidRPr="00A15528" w:rsidRDefault="00683B1F" w:rsidP="002A55CB">
            <w:pPr>
              <w:rPr>
                <w:rFonts w:ascii="Arial" w:hAnsi="Arial" w:cs="Arial"/>
                <w:color w:val="FF0000"/>
                <w:sz w:val="20"/>
                <w:szCs w:val="20"/>
              </w:rPr>
            </w:pPr>
            <w:r w:rsidRPr="00A15528">
              <w:rPr>
                <w:rFonts w:ascii="Arial" w:hAnsi="Arial" w:cs="Arial"/>
                <w:color w:val="FF0000"/>
                <w:sz w:val="20"/>
                <w:szCs w:val="20"/>
              </w:rPr>
              <w:t>Muffly</w:t>
            </w:r>
            <w:r w:rsidRPr="00A15528">
              <w:rPr>
                <w:rFonts w:ascii="Arial" w:hAnsi="Arial" w:cs="Arial"/>
                <w:color w:val="FF0000"/>
                <w:sz w:val="20"/>
                <w:szCs w:val="20"/>
              </w:rPr>
              <w:fldChar w:fldCharType="begin" w:fldLock="1"/>
            </w:r>
            <w:r w:rsidRPr="00A15528">
              <w:rPr>
                <w:rFonts w:ascii="Arial" w:hAnsi="Arial" w:cs="Arial"/>
                <w:color w:val="FF0000"/>
                <w:sz w:val="20"/>
                <w:szCs w:val="20"/>
              </w:rPr>
              <w:instrText>ADDIN CSL_CITATION { "citationItems" : [ { "id" : "ITEM-1", "itemData" : { "DOI" : "10.1016/j.bbmt.2013.12.031", "ISSN" : "10838791", "author" : [ { "dropping-particle" : "", "family" : "Muffly", "given" : "Lori", "non-dropping-particle" : "", "parse-names" : false, "suffix" : "" }, { "dropping-particle" : "", "family" : "Kocherginsky", "given" : "Masha", "non-dropping-particle" : "", "parse-names" : false, "suffix" : "" }, { "dropping-particle" : "", "family" : "Stock", "given" : "Wendy", "non-dropping-particle" : "", "parse-names" : false, "suffix" : "" }, { "dropping-particle" : "", "family" : "Chu", "given" : "Quynh", "non-dropping-particle" : "", "parse-names" : false, "suffix" : "" }, { "dropping-particle" : "", "family" : "Bishop", "given" : "Michael R.", "non-dropping-particle" : "", "parse-names" : false, "suffix" : "" }, { "dropping-particle" : "", "family" : "Godley", "given" : "Lucy", "non-dropping-particle" : "", "parse-names" : false, "suffix" : "" }, { "dropping-particle" : "", "family" : "Kline", "given" : "Justin", "non-dropping-particle" : "", "parse-names" : false, "suffix" : "" }, { "dropping-particle" : "", "family" : "Liu", "given" : "Hongtao", "non-dropping-particle" : "", "parse-names" : false, "suffix" : "" }, { "dropping-particle" : "", "family" : "Odenike", "given" : "Olatoyosi", "non-dropping-particle" : "", "parse-names" : false, "suffix" : "" }, { "dropping-particle" : "", "family" : "Larson", "given" : "Richard", "non-dropping-particle" : "", "parse-names" : false, "suffix" : "" }, { "dropping-particle" : "", "family" : "Besien", "given" : "Koen", "non-dropping-particle" : "van", "parse-names" : false, "suffix" : "" }, { "dropping-particle" : "", "family" : "Artz", "given" : "Andrew S.", "non-dropping-particle" : "", "parse-names" : false, "suffix" : "" } ], "container-title" : "Biology of Blood and Marrow Transplantation", "id" : "ITEM-1", "issue" : "2", "issued" : { "date-parts" : [ [ "2014" ] ] }, "page" : "S39-S40", "title" : "Geriatric Assessment (GA) to Predict Survival in Older Allogeneic Hematopoietic Cell Transplantation (HCT) Recipients", "type" : "article-journal", "volume" : "20" }, "uris" : [ "http://www.mendeley.com/documents/?uuid=605f4a63-29a3-4b1d-92d6-33ed69f76dbe" ] } ], "mendeley" : { "formattedCitation" : "(30)", "plainTextFormattedCitation" : "(30)", "previouslyFormattedCitation" : "(30)" }, "properties" : { "noteIndex" : 0 }, "schema" : "https://github.com/citation-style-language/schema/raw/master/csl-citation.json" }</w:instrText>
            </w:r>
            <w:r w:rsidRPr="00A15528">
              <w:rPr>
                <w:rFonts w:ascii="Arial" w:hAnsi="Arial" w:cs="Arial"/>
                <w:color w:val="FF0000"/>
                <w:sz w:val="20"/>
                <w:szCs w:val="20"/>
              </w:rPr>
              <w:fldChar w:fldCharType="separate"/>
            </w:r>
            <w:r w:rsidRPr="00A15528">
              <w:rPr>
                <w:rFonts w:ascii="Arial" w:hAnsi="Arial" w:cs="Arial"/>
                <w:noProof/>
                <w:color w:val="FF0000"/>
                <w:sz w:val="20"/>
                <w:szCs w:val="20"/>
              </w:rPr>
              <w:t>(30)</w:t>
            </w:r>
            <w:r w:rsidRPr="00A15528">
              <w:rPr>
                <w:rFonts w:ascii="Arial" w:hAnsi="Arial" w:cs="Arial"/>
                <w:color w:val="FF0000"/>
                <w:sz w:val="20"/>
                <w:szCs w:val="20"/>
              </w:rPr>
              <w:fldChar w:fldCharType="end"/>
            </w:r>
            <w:r w:rsidRPr="00A15528">
              <w:rPr>
                <w:rFonts w:ascii="Arial" w:hAnsi="Arial" w:cs="Arial"/>
                <w:color w:val="FF0000"/>
                <w:sz w:val="20"/>
                <w:szCs w:val="20"/>
              </w:rPr>
              <w:t xml:space="preserve"> </w:t>
            </w:r>
          </w:p>
        </w:tc>
        <w:tc>
          <w:tcPr>
            <w:tcW w:w="1045" w:type="dxa"/>
            <w:tcBorders>
              <w:top w:val="single" w:sz="2" w:space="0" w:color="auto"/>
              <w:bottom w:val="single" w:sz="2" w:space="0" w:color="000000"/>
            </w:tcBorders>
            <w:shd w:val="clear" w:color="auto" w:fill="auto"/>
          </w:tcPr>
          <w:p w:rsidR="00683B1F" w:rsidRPr="00A15528" w:rsidRDefault="00683B1F" w:rsidP="002A55CB">
            <w:pPr>
              <w:rPr>
                <w:rFonts w:ascii="Arial" w:hAnsi="Arial" w:cs="Arial"/>
                <w:color w:val="FF0000"/>
                <w:sz w:val="20"/>
                <w:szCs w:val="20"/>
              </w:rPr>
            </w:pPr>
            <w:r w:rsidRPr="00A15528">
              <w:rPr>
                <w:rFonts w:ascii="Arial" w:hAnsi="Arial" w:cs="Arial"/>
                <w:b/>
                <w:color w:val="FF0000"/>
                <w:sz w:val="20"/>
                <w:szCs w:val="20"/>
              </w:rPr>
              <w:t xml:space="preserve">Gait </w:t>
            </w:r>
          </w:p>
        </w:tc>
        <w:tc>
          <w:tcPr>
            <w:tcW w:w="7628" w:type="dxa"/>
            <w:tcBorders>
              <w:top w:val="single" w:sz="2" w:space="0" w:color="auto"/>
              <w:bottom w:val="single" w:sz="2" w:space="0" w:color="auto"/>
              <w:right w:val="single" w:sz="4" w:space="0" w:color="auto"/>
            </w:tcBorders>
            <w:shd w:val="clear" w:color="auto" w:fill="auto"/>
          </w:tcPr>
          <w:p w:rsidR="00683B1F" w:rsidRPr="00A15528" w:rsidRDefault="00683B1F" w:rsidP="002A55CB">
            <w:pPr>
              <w:autoSpaceDE w:val="0"/>
              <w:autoSpaceDN w:val="0"/>
              <w:adjustRightInd w:val="0"/>
              <w:rPr>
                <w:rFonts w:ascii="Arial" w:hAnsi="Arial" w:cs="Arial"/>
                <w:color w:val="FF0000"/>
                <w:sz w:val="20"/>
                <w:szCs w:val="20"/>
                <w:lang w:val="en-GB"/>
              </w:rPr>
            </w:pPr>
            <w:r w:rsidRPr="00A15528">
              <w:rPr>
                <w:rFonts w:ascii="Arial" w:hAnsi="Arial" w:cs="Arial"/>
                <w:color w:val="FF0000"/>
                <w:sz w:val="20"/>
                <w:szCs w:val="20"/>
                <w:lang w:val="en-GB"/>
              </w:rPr>
              <w:t>age, HCT-CI score, conditioning intensity, and disease risk (standard HCT prognostic factors)</w:t>
            </w:r>
          </w:p>
          <w:p w:rsidR="00683B1F" w:rsidRPr="00A15528" w:rsidRDefault="00683B1F" w:rsidP="002A55CB">
            <w:pPr>
              <w:autoSpaceDE w:val="0"/>
              <w:autoSpaceDN w:val="0"/>
              <w:adjustRightInd w:val="0"/>
              <w:rPr>
                <w:rFonts w:ascii="Arial" w:hAnsi="Arial" w:cs="Arial"/>
                <w:color w:val="FF0000"/>
                <w:sz w:val="20"/>
                <w:szCs w:val="20"/>
                <w:lang w:val="en-GB"/>
              </w:rPr>
            </w:pPr>
          </w:p>
        </w:tc>
      </w:tr>
    </w:tbl>
    <w:p w:rsidR="00683B1F" w:rsidRPr="000E6EB4" w:rsidRDefault="00683B1F" w:rsidP="00683B1F">
      <w:pPr>
        <w:spacing w:line="480" w:lineRule="auto"/>
        <w:rPr>
          <w:rFonts w:ascii="Arial" w:hAnsi="Arial" w:cs="Arial"/>
          <w:color w:val="FF0000"/>
          <w:sz w:val="22"/>
          <w:szCs w:val="22"/>
        </w:rPr>
      </w:pPr>
      <w:r w:rsidRPr="000E6EB4">
        <w:rPr>
          <w:rFonts w:ascii="Arial" w:hAnsi="Arial" w:cs="Arial"/>
          <w:color w:val="FF0000"/>
          <w:sz w:val="22"/>
          <w:szCs w:val="22"/>
        </w:rPr>
        <w:t xml:space="preserve">Appendix 3. Corrected confounders for studies with reported </w:t>
      </w:r>
      <w:r w:rsidRPr="000435EE">
        <w:rPr>
          <w:rFonts w:ascii="Arial" w:hAnsi="Arial" w:cs="Arial"/>
          <w:color w:val="FF0000"/>
          <w:sz w:val="22"/>
          <w:szCs w:val="22"/>
        </w:rPr>
        <w:t>multivariable</w:t>
      </w:r>
      <w:r w:rsidRPr="008D10BE">
        <w:rPr>
          <w:rFonts w:ascii="Arial" w:hAnsi="Arial" w:cs="Arial"/>
          <w:sz w:val="22"/>
          <w:szCs w:val="22"/>
        </w:rPr>
        <w:t xml:space="preserve"> </w:t>
      </w:r>
      <w:r w:rsidRPr="000E6EB4">
        <w:rPr>
          <w:rFonts w:ascii="Arial" w:hAnsi="Arial" w:cs="Arial"/>
          <w:color w:val="FF0000"/>
          <w:sz w:val="22"/>
          <w:szCs w:val="22"/>
        </w:rPr>
        <w:t>analysis</w:t>
      </w:r>
    </w:p>
    <w:p w:rsidR="00683B1F" w:rsidRDefault="00683B1F" w:rsidP="00683B1F">
      <w:pPr>
        <w:spacing w:line="480" w:lineRule="auto"/>
        <w:rPr>
          <w:rFonts w:ascii="Arial" w:hAnsi="Arial" w:cs="Arial"/>
          <w:sz w:val="20"/>
          <w:szCs w:val="20"/>
        </w:rPr>
      </w:pPr>
    </w:p>
    <w:p w:rsidR="009522A8" w:rsidRDefault="00683B1F" w:rsidP="00683B1F">
      <w:r w:rsidRPr="007109D0">
        <w:rPr>
          <w:rFonts w:ascii="Arial" w:hAnsi="Arial" w:cs="Arial"/>
          <w:color w:val="FF0000"/>
          <w:sz w:val="20"/>
          <w:szCs w:val="20"/>
        </w:rPr>
        <w:t>TUG: time up and go. SPPB: short physical performance battery. Gait: gait speed.</w:t>
      </w:r>
    </w:p>
    <w:sectPr w:rsidR="009522A8" w:rsidSect="009522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LTStd-Roman">
    <w:altName w:val="Arial Unicode MS"/>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B1F"/>
    <w:rsid w:val="00683B1F"/>
    <w:rsid w:val="00875421"/>
    <w:rsid w:val="009522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3CBBA1-F046-413A-944B-F0BE850C1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3B1F"/>
    <w:pPr>
      <w:spacing w:after="0" w:line="240" w:lineRule="auto"/>
    </w:pPr>
    <w:rPr>
      <w:rFonts w:ascii="Times New Roman" w:eastAsia="Times New Roman" w:hAnsi="Times New Roman" w:cs="Times New Roman"/>
      <w:sz w:val="24"/>
      <w:szCs w:val="24"/>
      <w:lang w:val="en-US"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4957</Words>
  <Characters>28260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Norbert Verweij</dc:creator>
  <cp:lastModifiedBy>Kerslake, Kerenza</cp:lastModifiedBy>
  <cp:revision>2</cp:revision>
  <dcterms:created xsi:type="dcterms:W3CDTF">2016-08-01T12:59:00Z</dcterms:created>
  <dcterms:modified xsi:type="dcterms:W3CDTF">2016-08-01T12:59:00Z</dcterms:modified>
</cp:coreProperties>
</file>