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A9" w:rsidRPr="00B177C2" w:rsidRDefault="00992AA9" w:rsidP="00992AA9">
      <w:pPr>
        <w:rPr>
          <w:b/>
        </w:rPr>
      </w:pPr>
      <w:r>
        <w:t xml:space="preserve">Supplementary material for Mellon et al., </w:t>
      </w:r>
      <w:r w:rsidRPr="00B177C2">
        <w:t>Long-term outcomes of induction chemotherapy and neoadjuvant stereotactic body radiotherapy for borderline resectable and locally adv</w:t>
      </w:r>
      <w:r>
        <w:t xml:space="preserve">anced pancreatic adenocarcinoma, </w:t>
      </w:r>
      <w:proofErr w:type="spellStart"/>
      <w:r>
        <w:t>Acta</w:t>
      </w:r>
      <w:proofErr w:type="spellEnd"/>
      <w:r>
        <w:t xml:space="preserve"> </w:t>
      </w:r>
      <w:proofErr w:type="spellStart"/>
      <w:r>
        <w:t>Oncologica</w:t>
      </w:r>
      <w:proofErr w:type="spellEnd"/>
      <w:r>
        <w:t>, 2015</w:t>
      </w:r>
    </w:p>
    <w:p w:rsidR="00624AF9" w:rsidRPr="005E17DC" w:rsidRDefault="0011382D" w:rsidP="00992AA9">
      <w:pPr>
        <w:pStyle w:val="Tabletitle"/>
      </w:pPr>
      <w:proofErr w:type="gramStart"/>
      <w:r>
        <w:t>Supplementary Table I</w:t>
      </w:r>
      <w:r w:rsidR="00992AA9">
        <w:t>.</w:t>
      </w:r>
      <w:r w:rsidR="00624AF9" w:rsidRPr="005E17DC">
        <w:t xml:space="preserve"> Radiation or </w:t>
      </w:r>
      <w:r w:rsidR="00992AA9" w:rsidRPr="005E17DC">
        <w:t>potentially radiation</w:t>
      </w:r>
      <w:r w:rsidR="00992AA9">
        <w:t>-</w:t>
      </w:r>
      <w:r w:rsidR="00992AA9" w:rsidRPr="005E17DC">
        <w:t>related toxicities</w:t>
      </w:r>
      <w:r w:rsidR="00992AA9">
        <w:t>.</w:t>
      </w:r>
      <w:proofErr w:type="gramEnd"/>
    </w:p>
    <w:tbl>
      <w:tblPr>
        <w:tblW w:w="0" w:type="auto"/>
        <w:tblLook w:val="04A0" w:firstRow="1" w:lastRow="0" w:firstColumn="1" w:lastColumn="0" w:noHBand="0" w:noVBand="1"/>
      </w:tblPr>
      <w:tblGrid>
        <w:gridCol w:w="4428"/>
        <w:gridCol w:w="1530"/>
      </w:tblGrid>
      <w:tr w:rsidR="00624AF9" w:rsidRPr="005E17DC" w:rsidTr="00F8138F">
        <w:tc>
          <w:tcPr>
            <w:tcW w:w="4428" w:type="dxa"/>
            <w:shd w:val="clear" w:color="auto" w:fill="auto"/>
          </w:tcPr>
          <w:p w:rsidR="00624AF9" w:rsidRPr="005E17DC" w:rsidRDefault="00624AF9" w:rsidP="00992AA9">
            <w:pPr>
              <w:contextualSpacing/>
              <w:rPr>
                <w:rFonts w:ascii="Arial" w:hAnsi="Arial" w:cs="Arial"/>
                <w:b/>
              </w:rPr>
            </w:pPr>
            <w:r w:rsidRPr="005E17DC">
              <w:rPr>
                <w:rFonts w:ascii="Arial" w:hAnsi="Arial" w:cs="Arial"/>
                <w:b/>
              </w:rPr>
              <w:t xml:space="preserve">Acute </w:t>
            </w:r>
            <w:r w:rsidR="00992AA9">
              <w:rPr>
                <w:rFonts w:ascii="Arial" w:hAnsi="Arial" w:cs="Arial"/>
                <w:b/>
              </w:rPr>
              <w:t>t</w:t>
            </w:r>
            <w:r w:rsidRPr="005E17DC">
              <w:rPr>
                <w:rFonts w:ascii="Arial" w:hAnsi="Arial" w:cs="Arial"/>
                <w:b/>
              </w:rPr>
              <w:t xml:space="preserve">oxicity </w:t>
            </w:r>
            <w:r w:rsidRPr="005E17DC">
              <w:rPr>
                <w:rFonts w:ascii="Arial" w:hAnsi="Arial" w:cs="Arial"/>
              </w:rPr>
              <w:t xml:space="preserve">(all) </w:t>
            </w:r>
          </w:p>
        </w:tc>
        <w:tc>
          <w:tcPr>
            <w:tcW w:w="1530" w:type="dxa"/>
            <w:shd w:val="clear" w:color="auto" w:fill="auto"/>
          </w:tcPr>
          <w:p w:rsidR="00624AF9" w:rsidRPr="005E17DC" w:rsidRDefault="00624AF9" w:rsidP="00F8138F">
            <w:pPr>
              <w:contextualSpacing/>
              <w:rPr>
                <w:rFonts w:ascii="Arial" w:hAnsi="Arial" w:cs="Arial"/>
                <w:b/>
              </w:rPr>
            </w:pPr>
            <w:r w:rsidRPr="005E17DC">
              <w:rPr>
                <w:rFonts w:ascii="Arial" w:hAnsi="Arial" w:cs="Arial"/>
                <w:b/>
              </w:rPr>
              <w:t xml:space="preserve">Number (%) </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Any  acute grade 1-2</w:t>
            </w:r>
          </w:p>
        </w:tc>
        <w:tc>
          <w:tcPr>
            <w:tcW w:w="1530" w:type="dxa"/>
            <w:shd w:val="clear" w:color="auto" w:fill="auto"/>
          </w:tcPr>
          <w:p w:rsidR="00624AF9" w:rsidRPr="005E17DC" w:rsidRDefault="00282BA2" w:rsidP="00F8138F">
            <w:pPr>
              <w:contextualSpacing/>
              <w:rPr>
                <w:rFonts w:ascii="Arial" w:hAnsi="Arial" w:cs="Arial"/>
              </w:rPr>
            </w:pPr>
            <w:r>
              <w:rPr>
                <w:rFonts w:ascii="Arial" w:hAnsi="Arial" w:cs="Arial"/>
              </w:rPr>
              <w:t>83 (52</w:t>
            </w:r>
            <w:r w:rsidR="00624AF9" w:rsidRPr="005E17DC">
              <w:rPr>
                <w:rFonts w:ascii="Arial" w:hAnsi="Arial" w:cs="Arial"/>
              </w:rPr>
              <w:t>%)</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Fatigue, grade 1-2</w:t>
            </w:r>
          </w:p>
        </w:tc>
        <w:tc>
          <w:tcPr>
            <w:tcW w:w="1530" w:type="dxa"/>
            <w:shd w:val="clear" w:color="auto" w:fill="auto"/>
          </w:tcPr>
          <w:p w:rsidR="00624AF9" w:rsidRPr="005E17DC" w:rsidRDefault="00282BA2" w:rsidP="00F8138F">
            <w:pPr>
              <w:contextualSpacing/>
              <w:rPr>
                <w:rFonts w:ascii="Arial" w:hAnsi="Arial" w:cs="Arial"/>
              </w:rPr>
            </w:pPr>
            <w:r>
              <w:rPr>
                <w:rFonts w:ascii="Arial" w:hAnsi="Arial" w:cs="Arial"/>
              </w:rPr>
              <w:t>49 (31</w:t>
            </w:r>
            <w:r w:rsidR="00624AF9" w:rsidRPr="005E17DC">
              <w:rPr>
                <w:rFonts w:ascii="Arial" w:hAnsi="Arial" w:cs="Arial"/>
              </w:rPr>
              <w:t>%)</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Pain, grade 2</w:t>
            </w:r>
          </w:p>
        </w:tc>
        <w:tc>
          <w:tcPr>
            <w:tcW w:w="1530" w:type="dxa"/>
            <w:shd w:val="clear" w:color="auto" w:fill="auto"/>
          </w:tcPr>
          <w:p w:rsidR="00624AF9" w:rsidRPr="005E17DC" w:rsidRDefault="00282BA2" w:rsidP="00F8138F">
            <w:pPr>
              <w:contextualSpacing/>
              <w:rPr>
                <w:rFonts w:ascii="Arial" w:hAnsi="Arial" w:cs="Arial"/>
              </w:rPr>
            </w:pPr>
            <w:r>
              <w:rPr>
                <w:rFonts w:ascii="Arial" w:hAnsi="Arial" w:cs="Arial"/>
              </w:rPr>
              <w:t>12 (8</w:t>
            </w:r>
            <w:r w:rsidR="00624AF9" w:rsidRPr="005E17DC">
              <w:rPr>
                <w:rFonts w:ascii="Arial" w:hAnsi="Arial" w:cs="Arial"/>
              </w:rPr>
              <w:t>%)</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Pain, grade 1</w:t>
            </w:r>
          </w:p>
        </w:tc>
        <w:tc>
          <w:tcPr>
            <w:tcW w:w="1530" w:type="dxa"/>
            <w:shd w:val="clear" w:color="auto" w:fill="auto"/>
          </w:tcPr>
          <w:p w:rsidR="00624AF9" w:rsidRPr="005E17DC" w:rsidRDefault="00282BA2" w:rsidP="00F8138F">
            <w:pPr>
              <w:contextualSpacing/>
              <w:rPr>
                <w:rFonts w:ascii="Arial" w:hAnsi="Arial" w:cs="Arial"/>
              </w:rPr>
            </w:pPr>
            <w:r>
              <w:rPr>
                <w:rFonts w:ascii="Arial" w:hAnsi="Arial" w:cs="Arial"/>
              </w:rPr>
              <w:t>23 (14</w:t>
            </w:r>
            <w:r w:rsidR="00624AF9" w:rsidRPr="005E17DC">
              <w:rPr>
                <w:rFonts w:ascii="Arial" w:hAnsi="Arial" w:cs="Arial"/>
              </w:rPr>
              <w:t>%)</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Nausea and/or vomiting, grade 1-2</w:t>
            </w:r>
          </w:p>
        </w:tc>
        <w:tc>
          <w:tcPr>
            <w:tcW w:w="1530" w:type="dxa"/>
            <w:shd w:val="clear" w:color="auto" w:fill="auto"/>
          </w:tcPr>
          <w:p w:rsidR="00624AF9" w:rsidRPr="005E17DC" w:rsidRDefault="00624AF9" w:rsidP="00F8138F">
            <w:pPr>
              <w:contextualSpacing/>
              <w:rPr>
                <w:rFonts w:ascii="Arial" w:hAnsi="Arial" w:cs="Arial"/>
              </w:rPr>
            </w:pPr>
            <w:r w:rsidRPr="005E17DC">
              <w:rPr>
                <w:rFonts w:ascii="Arial" w:hAnsi="Arial" w:cs="Arial"/>
              </w:rPr>
              <w:t xml:space="preserve">26 </w:t>
            </w:r>
            <w:r w:rsidR="00282BA2">
              <w:rPr>
                <w:rFonts w:ascii="Arial" w:hAnsi="Arial" w:cs="Arial"/>
              </w:rPr>
              <w:t>(16</w:t>
            </w:r>
            <w:r w:rsidRPr="005E17DC">
              <w:rPr>
                <w:rFonts w:ascii="Arial" w:hAnsi="Arial" w:cs="Arial"/>
              </w:rPr>
              <w:t>%)</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Diarrhea, grade 1-2</w:t>
            </w:r>
          </w:p>
        </w:tc>
        <w:tc>
          <w:tcPr>
            <w:tcW w:w="1530" w:type="dxa"/>
            <w:shd w:val="clear" w:color="auto" w:fill="auto"/>
          </w:tcPr>
          <w:p w:rsidR="00624AF9" w:rsidRPr="005E17DC" w:rsidRDefault="00282BA2" w:rsidP="00F8138F">
            <w:pPr>
              <w:contextualSpacing/>
              <w:rPr>
                <w:rFonts w:ascii="Arial" w:hAnsi="Arial" w:cs="Arial"/>
              </w:rPr>
            </w:pPr>
            <w:r>
              <w:rPr>
                <w:rFonts w:ascii="Arial" w:hAnsi="Arial" w:cs="Arial"/>
              </w:rPr>
              <w:t>11 (7</w:t>
            </w:r>
            <w:r w:rsidR="00624AF9" w:rsidRPr="005E17DC">
              <w:rPr>
                <w:rFonts w:ascii="Arial" w:hAnsi="Arial" w:cs="Arial"/>
              </w:rPr>
              <w:t>%)</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Dysphagia, grade 1</w:t>
            </w:r>
          </w:p>
        </w:tc>
        <w:tc>
          <w:tcPr>
            <w:tcW w:w="1530" w:type="dxa"/>
            <w:shd w:val="clear" w:color="auto" w:fill="auto"/>
          </w:tcPr>
          <w:p w:rsidR="00624AF9" w:rsidRPr="005E17DC" w:rsidRDefault="00282BA2" w:rsidP="00F8138F">
            <w:pPr>
              <w:contextualSpacing/>
              <w:rPr>
                <w:rFonts w:ascii="Arial" w:hAnsi="Arial" w:cs="Arial"/>
              </w:rPr>
            </w:pPr>
            <w:r>
              <w:rPr>
                <w:rFonts w:ascii="Arial" w:hAnsi="Arial" w:cs="Arial"/>
              </w:rPr>
              <w:t>2 (1</w:t>
            </w:r>
            <w:r w:rsidR="00624AF9" w:rsidRPr="005E17DC">
              <w:rPr>
                <w:rFonts w:ascii="Arial" w:hAnsi="Arial" w:cs="Arial"/>
              </w:rPr>
              <w:t>%)</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Duodenal ulceration, grade 2</w:t>
            </w:r>
            <w:r w:rsidR="00992AA9" w:rsidRPr="00992AA9">
              <w:rPr>
                <w:rFonts w:ascii="Arial" w:hAnsi="Arial" w:cs="Arial"/>
                <w:vertAlign w:val="superscript"/>
              </w:rPr>
              <w:t>a</w:t>
            </w:r>
          </w:p>
        </w:tc>
        <w:tc>
          <w:tcPr>
            <w:tcW w:w="1530" w:type="dxa"/>
            <w:shd w:val="clear" w:color="auto" w:fill="auto"/>
          </w:tcPr>
          <w:p w:rsidR="00624AF9" w:rsidRPr="005E17DC" w:rsidRDefault="00624AF9" w:rsidP="00F8138F">
            <w:pPr>
              <w:contextualSpacing/>
              <w:rPr>
                <w:rFonts w:ascii="Arial" w:hAnsi="Arial" w:cs="Arial"/>
              </w:rPr>
            </w:pPr>
            <w:r w:rsidRPr="005E17DC">
              <w:rPr>
                <w:rFonts w:ascii="Arial" w:hAnsi="Arial" w:cs="Arial"/>
              </w:rPr>
              <w:t>1</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p>
        </w:tc>
        <w:tc>
          <w:tcPr>
            <w:tcW w:w="1530" w:type="dxa"/>
            <w:shd w:val="clear" w:color="auto" w:fill="auto"/>
          </w:tcPr>
          <w:p w:rsidR="00624AF9" w:rsidRPr="005E17DC" w:rsidRDefault="00624AF9" w:rsidP="00F8138F">
            <w:pPr>
              <w:contextualSpacing/>
              <w:rPr>
                <w:rFonts w:ascii="Arial" w:hAnsi="Arial" w:cs="Arial"/>
              </w:rPr>
            </w:pP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Any acute grade 3</w:t>
            </w:r>
          </w:p>
        </w:tc>
        <w:tc>
          <w:tcPr>
            <w:tcW w:w="1530" w:type="dxa"/>
            <w:shd w:val="clear" w:color="auto" w:fill="auto"/>
          </w:tcPr>
          <w:p w:rsidR="00624AF9" w:rsidRPr="005E17DC" w:rsidRDefault="00282BA2" w:rsidP="00F8138F">
            <w:pPr>
              <w:contextualSpacing/>
              <w:rPr>
                <w:rFonts w:ascii="Arial" w:hAnsi="Arial" w:cs="Arial"/>
              </w:rPr>
            </w:pPr>
            <w:r>
              <w:rPr>
                <w:rFonts w:ascii="Arial" w:hAnsi="Arial" w:cs="Arial"/>
              </w:rPr>
              <w:t>3 (2</w:t>
            </w:r>
            <w:r w:rsidR="00624AF9" w:rsidRPr="005E17DC">
              <w:rPr>
                <w:rFonts w:ascii="Arial" w:hAnsi="Arial" w:cs="Arial"/>
              </w:rPr>
              <w:t>%)</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Anorexia and malnutrition grade 3</w:t>
            </w:r>
          </w:p>
        </w:tc>
        <w:tc>
          <w:tcPr>
            <w:tcW w:w="1530" w:type="dxa"/>
            <w:shd w:val="clear" w:color="auto" w:fill="auto"/>
          </w:tcPr>
          <w:p w:rsidR="00624AF9" w:rsidRPr="005E17DC" w:rsidRDefault="00624AF9" w:rsidP="00F8138F">
            <w:pPr>
              <w:contextualSpacing/>
              <w:rPr>
                <w:rFonts w:ascii="Arial" w:hAnsi="Arial" w:cs="Arial"/>
              </w:rPr>
            </w:pPr>
            <w:r w:rsidRPr="005E17DC">
              <w:rPr>
                <w:rFonts w:ascii="Arial" w:hAnsi="Arial" w:cs="Arial"/>
              </w:rPr>
              <w:t>1</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Pancreatitis, pain grade 3</w:t>
            </w:r>
            <w:r w:rsidR="00992AA9" w:rsidRPr="00992AA9">
              <w:rPr>
                <w:rFonts w:ascii="Arial" w:hAnsi="Arial" w:cs="Arial"/>
                <w:vertAlign w:val="superscript"/>
              </w:rPr>
              <w:t>a</w:t>
            </w:r>
          </w:p>
        </w:tc>
        <w:tc>
          <w:tcPr>
            <w:tcW w:w="1530" w:type="dxa"/>
            <w:shd w:val="clear" w:color="auto" w:fill="auto"/>
          </w:tcPr>
          <w:p w:rsidR="00624AF9" w:rsidRPr="005E17DC" w:rsidRDefault="00624AF9" w:rsidP="00F8138F">
            <w:pPr>
              <w:contextualSpacing/>
              <w:rPr>
                <w:rFonts w:ascii="Arial" w:hAnsi="Arial" w:cs="Arial"/>
              </w:rPr>
            </w:pPr>
            <w:r w:rsidRPr="005E17DC">
              <w:rPr>
                <w:rFonts w:ascii="Arial" w:hAnsi="Arial" w:cs="Arial"/>
              </w:rPr>
              <w:t>1</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Duodenal ulceration, grade 3</w:t>
            </w:r>
            <w:r w:rsidR="00992AA9" w:rsidRPr="00992AA9">
              <w:rPr>
                <w:rFonts w:ascii="Arial" w:hAnsi="Arial" w:cs="Arial"/>
                <w:vertAlign w:val="superscript"/>
              </w:rPr>
              <w:t>a</w:t>
            </w:r>
          </w:p>
        </w:tc>
        <w:tc>
          <w:tcPr>
            <w:tcW w:w="1530" w:type="dxa"/>
            <w:shd w:val="clear" w:color="auto" w:fill="auto"/>
          </w:tcPr>
          <w:p w:rsidR="00624AF9" w:rsidRPr="005E17DC" w:rsidRDefault="00624AF9" w:rsidP="00F8138F">
            <w:pPr>
              <w:contextualSpacing/>
              <w:rPr>
                <w:rFonts w:ascii="Arial" w:hAnsi="Arial" w:cs="Arial"/>
              </w:rPr>
            </w:pPr>
            <w:r w:rsidRPr="005E17DC">
              <w:rPr>
                <w:rFonts w:ascii="Arial" w:hAnsi="Arial" w:cs="Arial"/>
              </w:rPr>
              <w:t>1</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p>
        </w:tc>
        <w:tc>
          <w:tcPr>
            <w:tcW w:w="1530" w:type="dxa"/>
            <w:shd w:val="clear" w:color="auto" w:fill="auto"/>
          </w:tcPr>
          <w:p w:rsidR="00624AF9" w:rsidRPr="005E17DC" w:rsidRDefault="00624AF9" w:rsidP="00F8138F">
            <w:pPr>
              <w:contextualSpacing/>
              <w:rPr>
                <w:rFonts w:ascii="Arial" w:hAnsi="Arial" w:cs="Arial"/>
              </w:rPr>
            </w:pPr>
          </w:p>
        </w:tc>
      </w:tr>
      <w:tr w:rsidR="00624AF9" w:rsidRPr="005E17DC" w:rsidTr="00F8138F">
        <w:tc>
          <w:tcPr>
            <w:tcW w:w="4428" w:type="dxa"/>
            <w:shd w:val="clear" w:color="auto" w:fill="auto"/>
          </w:tcPr>
          <w:p w:rsidR="00624AF9" w:rsidRPr="005E17DC" w:rsidRDefault="00624AF9" w:rsidP="00992AA9">
            <w:pPr>
              <w:contextualSpacing/>
              <w:rPr>
                <w:rFonts w:ascii="Arial" w:hAnsi="Arial" w:cs="Arial"/>
                <w:b/>
              </w:rPr>
            </w:pPr>
            <w:r w:rsidRPr="005E17DC">
              <w:rPr>
                <w:rFonts w:ascii="Arial" w:hAnsi="Arial" w:cs="Arial"/>
                <w:b/>
              </w:rPr>
              <w:t xml:space="preserve">Late </w:t>
            </w:r>
            <w:r w:rsidR="00992AA9">
              <w:rPr>
                <w:rFonts w:ascii="Arial" w:hAnsi="Arial" w:cs="Arial"/>
                <w:b/>
              </w:rPr>
              <w:t>t</w:t>
            </w:r>
            <w:r w:rsidRPr="005E17DC">
              <w:rPr>
                <w:rFonts w:ascii="Arial" w:hAnsi="Arial" w:cs="Arial"/>
                <w:b/>
              </w:rPr>
              <w:t>oxicity</w:t>
            </w:r>
            <w:r w:rsidRPr="005E17DC">
              <w:rPr>
                <w:rFonts w:ascii="Arial" w:hAnsi="Arial" w:cs="Arial"/>
              </w:rPr>
              <w:t xml:space="preserve"> (Grade ≥3)</w:t>
            </w:r>
          </w:p>
        </w:tc>
        <w:tc>
          <w:tcPr>
            <w:tcW w:w="1530" w:type="dxa"/>
            <w:shd w:val="clear" w:color="auto" w:fill="auto"/>
          </w:tcPr>
          <w:p w:rsidR="00624AF9" w:rsidRPr="005E17DC" w:rsidRDefault="00624AF9" w:rsidP="00F8138F">
            <w:pPr>
              <w:contextualSpacing/>
              <w:rPr>
                <w:rFonts w:ascii="Arial" w:hAnsi="Arial" w:cs="Arial"/>
                <w:b/>
              </w:rPr>
            </w:pPr>
            <w:r w:rsidRPr="005E17DC">
              <w:rPr>
                <w:rFonts w:ascii="Arial" w:hAnsi="Arial" w:cs="Arial"/>
                <w:b/>
              </w:rPr>
              <w:t>Number (%)</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Any chronic grade 3</w:t>
            </w:r>
          </w:p>
        </w:tc>
        <w:tc>
          <w:tcPr>
            <w:tcW w:w="1530" w:type="dxa"/>
            <w:shd w:val="clear" w:color="auto" w:fill="auto"/>
          </w:tcPr>
          <w:p w:rsidR="00624AF9" w:rsidRPr="005E17DC" w:rsidRDefault="00624AF9" w:rsidP="00282BA2">
            <w:pPr>
              <w:contextualSpacing/>
              <w:rPr>
                <w:rFonts w:ascii="Arial" w:hAnsi="Arial" w:cs="Arial"/>
              </w:rPr>
            </w:pPr>
            <w:r w:rsidRPr="005E17DC">
              <w:rPr>
                <w:rFonts w:ascii="Arial" w:hAnsi="Arial" w:cs="Arial"/>
              </w:rPr>
              <w:t>8 (5%)</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lastRenderedPageBreak/>
              <w:t>Duodenal ulceration, grade 5</w:t>
            </w:r>
          </w:p>
        </w:tc>
        <w:tc>
          <w:tcPr>
            <w:tcW w:w="1530" w:type="dxa"/>
            <w:shd w:val="clear" w:color="auto" w:fill="auto"/>
          </w:tcPr>
          <w:p w:rsidR="00624AF9" w:rsidRPr="005E17DC" w:rsidRDefault="00624AF9" w:rsidP="00F8138F">
            <w:pPr>
              <w:contextualSpacing/>
              <w:rPr>
                <w:rFonts w:ascii="Arial" w:hAnsi="Arial" w:cs="Arial"/>
              </w:rPr>
            </w:pPr>
            <w:r w:rsidRPr="005E17DC">
              <w:rPr>
                <w:rFonts w:ascii="Arial" w:hAnsi="Arial" w:cs="Arial"/>
              </w:rPr>
              <w:t>1</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Duodenal ulceration, grade 3</w:t>
            </w:r>
            <w:r w:rsidR="00992AA9" w:rsidRPr="00992AA9">
              <w:rPr>
                <w:rFonts w:ascii="Arial" w:hAnsi="Arial" w:cs="Arial"/>
                <w:vertAlign w:val="superscript"/>
              </w:rPr>
              <w:t>a</w:t>
            </w:r>
          </w:p>
        </w:tc>
        <w:tc>
          <w:tcPr>
            <w:tcW w:w="1530" w:type="dxa"/>
            <w:shd w:val="clear" w:color="auto" w:fill="auto"/>
          </w:tcPr>
          <w:p w:rsidR="00624AF9" w:rsidRPr="005E17DC" w:rsidRDefault="00624AF9" w:rsidP="00282BA2">
            <w:pPr>
              <w:contextualSpacing/>
              <w:rPr>
                <w:rFonts w:ascii="Arial" w:hAnsi="Arial" w:cs="Arial"/>
              </w:rPr>
            </w:pPr>
            <w:r w:rsidRPr="005E17DC">
              <w:rPr>
                <w:rFonts w:ascii="Arial" w:hAnsi="Arial" w:cs="Arial"/>
              </w:rPr>
              <w:t>2 (1%)</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Duodenal and stomach ulceration, grade 3</w:t>
            </w:r>
          </w:p>
        </w:tc>
        <w:tc>
          <w:tcPr>
            <w:tcW w:w="1530" w:type="dxa"/>
            <w:shd w:val="clear" w:color="auto" w:fill="auto"/>
          </w:tcPr>
          <w:p w:rsidR="00624AF9" w:rsidRPr="005E17DC" w:rsidRDefault="00624AF9" w:rsidP="00282BA2">
            <w:pPr>
              <w:contextualSpacing/>
              <w:rPr>
                <w:rFonts w:ascii="Arial" w:hAnsi="Arial" w:cs="Arial"/>
              </w:rPr>
            </w:pPr>
            <w:r w:rsidRPr="005E17DC">
              <w:rPr>
                <w:rFonts w:ascii="Arial" w:hAnsi="Arial" w:cs="Arial"/>
              </w:rPr>
              <w:t>2 (1%)</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Persistent pancreatitis and pain, grade 3</w:t>
            </w:r>
            <w:r w:rsidR="00992AA9" w:rsidRPr="00992AA9">
              <w:rPr>
                <w:rFonts w:ascii="Arial" w:hAnsi="Arial" w:cs="Arial"/>
                <w:vertAlign w:val="superscript"/>
              </w:rPr>
              <w:t>a</w:t>
            </w:r>
          </w:p>
        </w:tc>
        <w:tc>
          <w:tcPr>
            <w:tcW w:w="1530" w:type="dxa"/>
            <w:shd w:val="clear" w:color="auto" w:fill="auto"/>
          </w:tcPr>
          <w:p w:rsidR="00624AF9" w:rsidRPr="005E17DC" w:rsidRDefault="00624AF9" w:rsidP="00F8138F">
            <w:pPr>
              <w:contextualSpacing/>
              <w:rPr>
                <w:rFonts w:ascii="Arial" w:hAnsi="Arial" w:cs="Arial"/>
              </w:rPr>
            </w:pPr>
            <w:r w:rsidRPr="005E17DC">
              <w:rPr>
                <w:rFonts w:ascii="Arial" w:hAnsi="Arial" w:cs="Arial"/>
              </w:rPr>
              <w:t>1</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Biliary duct stenosis, grade 3</w:t>
            </w:r>
          </w:p>
        </w:tc>
        <w:tc>
          <w:tcPr>
            <w:tcW w:w="1530" w:type="dxa"/>
            <w:shd w:val="clear" w:color="auto" w:fill="auto"/>
          </w:tcPr>
          <w:p w:rsidR="00624AF9" w:rsidRPr="005E17DC" w:rsidRDefault="00624AF9" w:rsidP="00F8138F">
            <w:pPr>
              <w:contextualSpacing/>
              <w:rPr>
                <w:rFonts w:ascii="Arial" w:hAnsi="Arial" w:cs="Arial"/>
              </w:rPr>
            </w:pPr>
            <w:r w:rsidRPr="005E17DC">
              <w:rPr>
                <w:rFonts w:ascii="Arial" w:hAnsi="Arial" w:cs="Arial"/>
              </w:rPr>
              <w:t>1</w:t>
            </w:r>
          </w:p>
        </w:tc>
      </w:tr>
      <w:tr w:rsidR="00624AF9" w:rsidRPr="005E17DC" w:rsidTr="00F8138F">
        <w:tc>
          <w:tcPr>
            <w:tcW w:w="4428" w:type="dxa"/>
            <w:shd w:val="clear" w:color="auto" w:fill="auto"/>
          </w:tcPr>
          <w:p w:rsidR="00624AF9" w:rsidRPr="005E17DC" w:rsidRDefault="00624AF9" w:rsidP="00F8138F">
            <w:pPr>
              <w:contextualSpacing/>
              <w:rPr>
                <w:rFonts w:ascii="Arial" w:hAnsi="Arial" w:cs="Arial"/>
              </w:rPr>
            </w:pPr>
            <w:r w:rsidRPr="005E17DC">
              <w:rPr>
                <w:rFonts w:ascii="Arial" w:hAnsi="Arial" w:cs="Arial"/>
              </w:rPr>
              <w:t>Anorexia, grade 3</w:t>
            </w:r>
          </w:p>
        </w:tc>
        <w:tc>
          <w:tcPr>
            <w:tcW w:w="1530" w:type="dxa"/>
            <w:shd w:val="clear" w:color="auto" w:fill="auto"/>
          </w:tcPr>
          <w:p w:rsidR="00624AF9" w:rsidRPr="005E17DC" w:rsidRDefault="00624AF9" w:rsidP="00F8138F">
            <w:pPr>
              <w:contextualSpacing/>
              <w:rPr>
                <w:rFonts w:ascii="Arial" w:hAnsi="Arial" w:cs="Arial"/>
              </w:rPr>
            </w:pPr>
            <w:r w:rsidRPr="005E17DC">
              <w:rPr>
                <w:rFonts w:ascii="Arial" w:hAnsi="Arial" w:cs="Arial"/>
              </w:rPr>
              <w:t>1</w:t>
            </w:r>
          </w:p>
        </w:tc>
      </w:tr>
      <w:tr w:rsidR="00624AF9" w:rsidRPr="005E17DC" w:rsidTr="00F8138F">
        <w:tc>
          <w:tcPr>
            <w:tcW w:w="4428" w:type="dxa"/>
            <w:shd w:val="clear" w:color="auto" w:fill="auto"/>
          </w:tcPr>
          <w:p w:rsidR="00624AF9" w:rsidRPr="005E17DC" w:rsidRDefault="00624AF9" w:rsidP="00992AA9">
            <w:pPr>
              <w:contextualSpacing/>
              <w:rPr>
                <w:rFonts w:ascii="Arial" w:hAnsi="Arial" w:cs="Arial"/>
              </w:rPr>
            </w:pPr>
            <w:r w:rsidRPr="005E17DC">
              <w:rPr>
                <w:rFonts w:ascii="Arial" w:hAnsi="Arial" w:cs="Arial"/>
              </w:rPr>
              <w:t>Portal venous stricture, grade 3</w:t>
            </w:r>
            <w:r w:rsidR="00992AA9">
              <w:rPr>
                <w:rFonts w:ascii="Arial" w:hAnsi="Arial" w:cs="Arial"/>
                <w:vertAlign w:val="superscript"/>
              </w:rPr>
              <w:t>b</w:t>
            </w:r>
          </w:p>
        </w:tc>
        <w:tc>
          <w:tcPr>
            <w:tcW w:w="1530" w:type="dxa"/>
            <w:shd w:val="clear" w:color="auto" w:fill="auto"/>
          </w:tcPr>
          <w:p w:rsidR="00624AF9" w:rsidRPr="005E17DC" w:rsidRDefault="00624AF9" w:rsidP="00F8138F">
            <w:pPr>
              <w:contextualSpacing/>
              <w:rPr>
                <w:rFonts w:ascii="Arial" w:hAnsi="Arial" w:cs="Arial"/>
              </w:rPr>
            </w:pPr>
            <w:r w:rsidRPr="005E17DC">
              <w:rPr>
                <w:rFonts w:ascii="Arial" w:hAnsi="Arial" w:cs="Arial"/>
              </w:rPr>
              <w:t>1</w:t>
            </w:r>
          </w:p>
        </w:tc>
      </w:tr>
    </w:tbl>
    <w:p w:rsidR="00624AF9" w:rsidRDefault="00992AA9" w:rsidP="00992AA9">
      <w:pPr>
        <w:pStyle w:val="Footnotes"/>
      </w:pPr>
      <w:proofErr w:type="gramStart"/>
      <w:r w:rsidRPr="00992AA9">
        <w:rPr>
          <w:vertAlign w:val="superscript"/>
        </w:rPr>
        <w:t>a</w:t>
      </w:r>
      <w:proofErr w:type="gramEnd"/>
      <w:r w:rsidR="00624AF9" w:rsidRPr="005E17DC">
        <w:t xml:space="preserve"> Associated with tumor on endoscopy</w:t>
      </w:r>
      <w:r>
        <w:t>;</w:t>
      </w:r>
      <w:r w:rsidR="00624AF9">
        <w:t xml:space="preserve"> </w:t>
      </w:r>
      <w:r w:rsidRPr="00992AA9">
        <w:rPr>
          <w:vertAlign w:val="superscript"/>
        </w:rPr>
        <w:t>b</w:t>
      </w:r>
      <w:r w:rsidR="00624AF9">
        <w:t xml:space="preserve"> Associated with portal vein repair during pancreaticoduodenectomy</w:t>
      </w:r>
      <w:r>
        <w:t>.</w:t>
      </w:r>
    </w:p>
    <w:p w:rsidR="00624AF9" w:rsidRPr="00C91BCA" w:rsidRDefault="00624AF9" w:rsidP="00992AA9">
      <w:pPr>
        <w:pStyle w:val="Footnotes"/>
      </w:pPr>
      <w:bookmarkStart w:id="0" w:name="_GoBack"/>
      <w:bookmarkEnd w:id="0"/>
      <w:r w:rsidRPr="00FB4E80">
        <w:t xml:space="preserve">Two patients required temporary feeding tubes for persistent anorexia and weight loss. One patient experienced a post-operative biliary ductal stenosis requiring repeat surgery. Another patient approximately one year after pancreaticoduodenectomy suffers from chronic portal venous stricture causing portal hypertension. One patient with chronic alcoholic pancreatitis suffered severe pain after 2 fractions of 10 Gy. Radiation was held, and the patient was diagnosed with a pancreatitis episode. CT soon thereafter diagnosed progressive disease, and pain was controlled with celiac plexus </w:t>
      </w:r>
      <w:proofErr w:type="spellStart"/>
      <w:r w:rsidRPr="00FB4E80">
        <w:t>neurolysis</w:t>
      </w:r>
      <w:proofErr w:type="spellEnd"/>
      <w:r w:rsidRPr="00FB4E80">
        <w:t>.</w:t>
      </w:r>
    </w:p>
    <w:p w:rsidR="004E2B28" w:rsidRDefault="004E2B28"/>
    <w:sectPr w:rsidR="004E2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18"/>
  </w:num>
  <w:num w:numId="21">
    <w:abstractNumId w:val="21"/>
  </w:num>
  <w:num w:numId="22">
    <w:abstractNumId w:val="22"/>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F5"/>
    <w:rsid w:val="0011382D"/>
    <w:rsid w:val="00282BA2"/>
    <w:rsid w:val="004E2B28"/>
    <w:rsid w:val="00624AF9"/>
    <w:rsid w:val="00992AA9"/>
    <w:rsid w:val="00C252F5"/>
    <w:rsid w:val="00FF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A9"/>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992AA9"/>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992AA9"/>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992AA9"/>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992AA9"/>
    <w:pPr>
      <w:spacing w:before="360"/>
      <w:outlineLvl w:val="3"/>
    </w:pPr>
    <w:rPr>
      <w:bCs/>
      <w:szCs w:val="28"/>
    </w:rPr>
  </w:style>
  <w:style w:type="character" w:default="1" w:styleId="DefaultParagraphFont">
    <w:name w:val="Default Paragraph Font"/>
    <w:uiPriority w:val="1"/>
    <w:semiHidden/>
    <w:unhideWhenUsed/>
    <w:rsid w:val="00992A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2AA9"/>
  </w:style>
  <w:style w:type="paragraph" w:customStyle="1" w:styleId="Articletitle">
    <w:name w:val="Article title"/>
    <w:basedOn w:val="Normal"/>
    <w:next w:val="Normal"/>
    <w:qFormat/>
    <w:rsid w:val="00992AA9"/>
    <w:pPr>
      <w:spacing w:after="120" w:line="360" w:lineRule="auto"/>
    </w:pPr>
    <w:rPr>
      <w:b/>
      <w:sz w:val="28"/>
    </w:rPr>
  </w:style>
  <w:style w:type="character" w:customStyle="1" w:styleId="Heading1Char">
    <w:name w:val="Heading 1 Char"/>
    <w:basedOn w:val="DefaultParagraphFont"/>
    <w:link w:val="Heading1"/>
    <w:rsid w:val="00992AA9"/>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992AA9"/>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992AA9"/>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992AA9"/>
    <w:rPr>
      <w:rFonts w:ascii="Times New Roman" w:eastAsia="Times New Roman" w:hAnsi="Times New Roman" w:cs="Times New Roman"/>
      <w:bCs/>
      <w:sz w:val="24"/>
      <w:szCs w:val="28"/>
      <w:lang w:eastAsia="en-GB"/>
    </w:rPr>
  </w:style>
  <w:style w:type="paragraph" w:customStyle="1" w:styleId="Authornames">
    <w:name w:val="Author names"/>
    <w:basedOn w:val="Normal"/>
    <w:next w:val="Normal"/>
    <w:qFormat/>
    <w:rsid w:val="00992AA9"/>
    <w:pPr>
      <w:spacing w:before="240" w:line="360" w:lineRule="auto"/>
    </w:pPr>
    <w:rPr>
      <w:sz w:val="28"/>
    </w:rPr>
  </w:style>
  <w:style w:type="paragraph" w:customStyle="1" w:styleId="Affiliation">
    <w:name w:val="Affiliation"/>
    <w:basedOn w:val="Normal"/>
    <w:qFormat/>
    <w:rsid w:val="00992AA9"/>
    <w:pPr>
      <w:spacing w:before="240" w:line="360" w:lineRule="auto"/>
    </w:pPr>
    <w:rPr>
      <w:i/>
    </w:rPr>
  </w:style>
  <w:style w:type="paragraph" w:customStyle="1" w:styleId="Receiveddates">
    <w:name w:val="Received dates"/>
    <w:basedOn w:val="Affiliation"/>
    <w:next w:val="Normal"/>
    <w:qFormat/>
    <w:rsid w:val="00992AA9"/>
  </w:style>
  <w:style w:type="paragraph" w:customStyle="1" w:styleId="Abstract">
    <w:name w:val="Abstract"/>
    <w:basedOn w:val="Normal"/>
    <w:next w:val="Keywords"/>
    <w:qFormat/>
    <w:rsid w:val="00992AA9"/>
    <w:pPr>
      <w:spacing w:before="360" w:after="300" w:line="360" w:lineRule="auto"/>
      <w:ind w:left="720" w:right="567"/>
    </w:pPr>
    <w:rPr>
      <w:sz w:val="22"/>
    </w:rPr>
  </w:style>
  <w:style w:type="paragraph" w:customStyle="1" w:styleId="Keywords">
    <w:name w:val="Keywords"/>
    <w:basedOn w:val="Normal"/>
    <w:next w:val="Paragraph"/>
    <w:qFormat/>
    <w:rsid w:val="00992AA9"/>
    <w:pPr>
      <w:spacing w:before="240" w:after="240" w:line="360" w:lineRule="auto"/>
      <w:ind w:left="720" w:right="567"/>
    </w:pPr>
    <w:rPr>
      <w:sz w:val="22"/>
    </w:rPr>
  </w:style>
  <w:style w:type="paragraph" w:customStyle="1" w:styleId="Correspondencedetails">
    <w:name w:val="Correspondence details"/>
    <w:basedOn w:val="Normal"/>
    <w:qFormat/>
    <w:rsid w:val="00992AA9"/>
    <w:pPr>
      <w:spacing w:before="240" w:line="360" w:lineRule="auto"/>
    </w:pPr>
  </w:style>
  <w:style w:type="paragraph" w:customStyle="1" w:styleId="Displayedquotation">
    <w:name w:val="Displayed quotation"/>
    <w:basedOn w:val="Normal"/>
    <w:qFormat/>
    <w:rsid w:val="00992AA9"/>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992AA9"/>
    <w:pPr>
      <w:widowControl/>
      <w:numPr>
        <w:numId w:val="13"/>
      </w:numPr>
      <w:spacing w:after="240"/>
      <w:contextualSpacing/>
    </w:pPr>
  </w:style>
  <w:style w:type="paragraph" w:customStyle="1" w:styleId="Displayedequation">
    <w:name w:val="Displayed equation"/>
    <w:basedOn w:val="Normal"/>
    <w:next w:val="Paragraph"/>
    <w:qFormat/>
    <w:rsid w:val="00992AA9"/>
    <w:pPr>
      <w:tabs>
        <w:tab w:val="center" w:pos="4253"/>
        <w:tab w:val="right" w:pos="8222"/>
      </w:tabs>
      <w:spacing w:before="240" w:after="240"/>
      <w:jc w:val="center"/>
    </w:pPr>
  </w:style>
  <w:style w:type="paragraph" w:customStyle="1" w:styleId="Acknowledgements">
    <w:name w:val="Acknowledgements"/>
    <w:basedOn w:val="Normal"/>
    <w:next w:val="Normal"/>
    <w:qFormat/>
    <w:rsid w:val="00992AA9"/>
    <w:pPr>
      <w:spacing w:before="120" w:line="360" w:lineRule="auto"/>
    </w:pPr>
    <w:rPr>
      <w:sz w:val="22"/>
    </w:rPr>
  </w:style>
  <w:style w:type="paragraph" w:customStyle="1" w:styleId="Tabletitle">
    <w:name w:val="Table title"/>
    <w:basedOn w:val="Normal"/>
    <w:next w:val="Normal"/>
    <w:qFormat/>
    <w:rsid w:val="00992AA9"/>
    <w:pPr>
      <w:spacing w:before="240" w:line="360" w:lineRule="auto"/>
    </w:pPr>
  </w:style>
  <w:style w:type="paragraph" w:customStyle="1" w:styleId="Figurecaption">
    <w:name w:val="Figure caption"/>
    <w:basedOn w:val="Normal"/>
    <w:next w:val="Normal"/>
    <w:qFormat/>
    <w:rsid w:val="00992AA9"/>
    <w:pPr>
      <w:spacing w:before="240" w:line="360" w:lineRule="auto"/>
    </w:pPr>
  </w:style>
  <w:style w:type="paragraph" w:customStyle="1" w:styleId="Footnotes">
    <w:name w:val="Footnotes"/>
    <w:basedOn w:val="Normal"/>
    <w:qFormat/>
    <w:rsid w:val="00992AA9"/>
    <w:pPr>
      <w:spacing w:before="120" w:line="360" w:lineRule="auto"/>
      <w:ind w:left="482" w:hanging="482"/>
      <w:contextualSpacing/>
    </w:pPr>
    <w:rPr>
      <w:sz w:val="22"/>
    </w:rPr>
  </w:style>
  <w:style w:type="paragraph" w:customStyle="1" w:styleId="Notesoncontributors">
    <w:name w:val="Notes on contributors"/>
    <w:basedOn w:val="Normal"/>
    <w:qFormat/>
    <w:rsid w:val="00992AA9"/>
    <w:pPr>
      <w:spacing w:before="240" w:line="360" w:lineRule="auto"/>
    </w:pPr>
    <w:rPr>
      <w:sz w:val="22"/>
    </w:rPr>
  </w:style>
  <w:style w:type="paragraph" w:customStyle="1" w:styleId="Normalparagraphstyle">
    <w:name w:val="Normal paragraph style"/>
    <w:basedOn w:val="Normal"/>
    <w:next w:val="Normal"/>
    <w:rsid w:val="00992AA9"/>
  </w:style>
  <w:style w:type="paragraph" w:customStyle="1" w:styleId="Paragraph">
    <w:name w:val="Paragraph"/>
    <w:basedOn w:val="Normal"/>
    <w:next w:val="Newparagraph"/>
    <w:qFormat/>
    <w:rsid w:val="00992AA9"/>
    <w:pPr>
      <w:widowControl w:val="0"/>
      <w:spacing w:before="240"/>
    </w:pPr>
  </w:style>
  <w:style w:type="paragraph" w:customStyle="1" w:styleId="Newparagraph">
    <w:name w:val="New paragraph"/>
    <w:basedOn w:val="Normal"/>
    <w:qFormat/>
    <w:rsid w:val="00992AA9"/>
    <w:pPr>
      <w:ind w:firstLine="720"/>
    </w:pPr>
  </w:style>
  <w:style w:type="paragraph" w:styleId="NormalIndent">
    <w:name w:val="Normal Indent"/>
    <w:basedOn w:val="Normal"/>
    <w:rsid w:val="00992AA9"/>
    <w:pPr>
      <w:ind w:left="720"/>
    </w:pPr>
  </w:style>
  <w:style w:type="paragraph" w:customStyle="1" w:styleId="References">
    <w:name w:val="References"/>
    <w:basedOn w:val="Normal"/>
    <w:qFormat/>
    <w:rsid w:val="00992AA9"/>
    <w:pPr>
      <w:spacing w:before="120" w:line="360" w:lineRule="auto"/>
      <w:ind w:left="720" w:hanging="720"/>
      <w:contextualSpacing/>
    </w:pPr>
  </w:style>
  <w:style w:type="paragraph" w:customStyle="1" w:styleId="Subjectcodes">
    <w:name w:val="Subject codes"/>
    <w:basedOn w:val="Keywords"/>
    <w:next w:val="Paragraph"/>
    <w:qFormat/>
    <w:rsid w:val="00992AA9"/>
  </w:style>
  <w:style w:type="paragraph" w:customStyle="1" w:styleId="Bulletedlist">
    <w:name w:val="Bulleted list"/>
    <w:basedOn w:val="Paragraph"/>
    <w:next w:val="Paragraph"/>
    <w:qFormat/>
    <w:rsid w:val="00992AA9"/>
    <w:pPr>
      <w:widowControl/>
      <w:numPr>
        <w:numId w:val="14"/>
      </w:numPr>
      <w:spacing w:after="240"/>
      <w:contextualSpacing/>
    </w:pPr>
  </w:style>
  <w:style w:type="paragraph" w:styleId="FootnoteText">
    <w:name w:val="footnote text"/>
    <w:basedOn w:val="Normal"/>
    <w:link w:val="FootnoteTextChar"/>
    <w:autoRedefine/>
    <w:rsid w:val="00992AA9"/>
    <w:pPr>
      <w:ind w:left="284" w:hanging="284"/>
    </w:pPr>
    <w:rPr>
      <w:sz w:val="22"/>
      <w:szCs w:val="20"/>
    </w:rPr>
  </w:style>
  <w:style w:type="character" w:customStyle="1" w:styleId="FootnoteTextChar">
    <w:name w:val="Footnote Text Char"/>
    <w:basedOn w:val="DefaultParagraphFont"/>
    <w:link w:val="FootnoteText"/>
    <w:rsid w:val="00992AA9"/>
    <w:rPr>
      <w:rFonts w:ascii="Times New Roman" w:eastAsia="Times New Roman" w:hAnsi="Times New Roman" w:cs="Times New Roman"/>
      <w:szCs w:val="20"/>
      <w:lang w:eastAsia="en-GB"/>
    </w:rPr>
  </w:style>
  <w:style w:type="character" w:styleId="FootnoteReference">
    <w:name w:val="footnote reference"/>
    <w:basedOn w:val="DefaultParagraphFont"/>
    <w:rsid w:val="00992AA9"/>
    <w:rPr>
      <w:vertAlign w:val="superscript"/>
    </w:rPr>
  </w:style>
  <w:style w:type="paragraph" w:styleId="EndnoteText">
    <w:name w:val="endnote text"/>
    <w:basedOn w:val="Normal"/>
    <w:link w:val="EndnoteTextChar"/>
    <w:autoRedefine/>
    <w:rsid w:val="00992AA9"/>
    <w:pPr>
      <w:ind w:left="284" w:hanging="284"/>
    </w:pPr>
    <w:rPr>
      <w:sz w:val="22"/>
      <w:szCs w:val="20"/>
    </w:rPr>
  </w:style>
  <w:style w:type="character" w:customStyle="1" w:styleId="EndnoteTextChar">
    <w:name w:val="Endnote Text Char"/>
    <w:basedOn w:val="DefaultParagraphFont"/>
    <w:link w:val="EndnoteText"/>
    <w:rsid w:val="00992AA9"/>
    <w:rPr>
      <w:rFonts w:ascii="Times New Roman" w:eastAsia="Times New Roman" w:hAnsi="Times New Roman" w:cs="Times New Roman"/>
      <w:szCs w:val="20"/>
      <w:lang w:eastAsia="en-GB"/>
    </w:rPr>
  </w:style>
  <w:style w:type="character" w:styleId="EndnoteReference">
    <w:name w:val="endnote reference"/>
    <w:basedOn w:val="DefaultParagraphFont"/>
    <w:rsid w:val="00992AA9"/>
    <w:rPr>
      <w:vertAlign w:val="superscript"/>
    </w:rPr>
  </w:style>
  <w:style w:type="paragraph" w:styleId="Header">
    <w:name w:val="header"/>
    <w:basedOn w:val="Normal"/>
    <w:link w:val="HeaderChar"/>
    <w:rsid w:val="00992AA9"/>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992AA9"/>
    <w:rPr>
      <w:rFonts w:ascii="Times New Roman" w:eastAsia="Times New Roman" w:hAnsi="Times New Roman" w:cs="Times New Roman"/>
      <w:sz w:val="24"/>
      <w:szCs w:val="24"/>
      <w:lang w:eastAsia="en-GB"/>
    </w:rPr>
  </w:style>
  <w:style w:type="paragraph" w:styleId="Footer">
    <w:name w:val="footer"/>
    <w:basedOn w:val="Normal"/>
    <w:link w:val="FooterChar"/>
    <w:rsid w:val="00992AA9"/>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992AA9"/>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992AA9"/>
    <w:pPr>
      <w:widowControl/>
      <w:spacing w:before="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A9"/>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992AA9"/>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992AA9"/>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992AA9"/>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992AA9"/>
    <w:pPr>
      <w:spacing w:before="360"/>
      <w:outlineLvl w:val="3"/>
    </w:pPr>
    <w:rPr>
      <w:bCs/>
      <w:szCs w:val="28"/>
    </w:rPr>
  </w:style>
  <w:style w:type="character" w:default="1" w:styleId="DefaultParagraphFont">
    <w:name w:val="Default Paragraph Font"/>
    <w:uiPriority w:val="1"/>
    <w:semiHidden/>
    <w:unhideWhenUsed/>
    <w:rsid w:val="00992A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2AA9"/>
  </w:style>
  <w:style w:type="paragraph" w:customStyle="1" w:styleId="Articletitle">
    <w:name w:val="Article title"/>
    <w:basedOn w:val="Normal"/>
    <w:next w:val="Normal"/>
    <w:qFormat/>
    <w:rsid w:val="00992AA9"/>
    <w:pPr>
      <w:spacing w:after="120" w:line="360" w:lineRule="auto"/>
    </w:pPr>
    <w:rPr>
      <w:b/>
      <w:sz w:val="28"/>
    </w:rPr>
  </w:style>
  <w:style w:type="character" w:customStyle="1" w:styleId="Heading1Char">
    <w:name w:val="Heading 1 Char"/>
    <w:basedOn w:val="DefaultParagraphFont"/>
    <w:link w:val="Heading1"/>
    <w:rsid w:val="00992AA9"/>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992AA9"/>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992AA9"/>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992AA9"/>
    <w:rPr>
      <w:rFonts w:ascii="Times New Roman" w:eastAsia="Times New Roman" w:hAnsi="Times New Roman" w:cs="Times New Roman"/>
      <w:bCs/>
      <w:sz w:val="24"/>
      <w:szCs w:val="28"/>
      <w:lang w:eastAsia="en-GB"/>
    </w:rPr>
  </w:style>
  <w:style w:type="paragraph" w:customStyle="1" w:styleId="Authornames">
    <w:name w:val="Author names"/>
    <w:basedOn w:val="Normal"/>
    <w:next w:val="Normal"/>
    <w:qFormat/>
    <w:rsid w:val="00992AA9"/>
    <w:pPr>
      <w:spacing w:before="240" w:line="360" w:lineRule="auto"/>
    </w:pPr>
    <w:rPr>
      <w:sz w:val="28"/>
    </w:rPr>
  </w:style>
  <w:style w:type="paragraph" w:customStyle="1" w:styleId="Affiliation">
    <w:name w:val="Affiliation"/>
    <w:basedOn w:val="Normal"/>
    <w:qFormat/>
    <w:rsid w:val="00992AA9"/>
    <w:pPr>
      <w:spacing w:before="240" w:line="360" w:lineRule="auto"/>
    </w:pPr>
    <w:rPr>
      <w:i/>
    </w:rPr>
  </w:style>
  <w:style w:type="paragraph" w:customStyle="1" w:styleId="Receiveddates">
    <w:name w:val="Received dates"/>
    <w:basedOn w:val="Affiliation"/>
    <w:next w:val="Normal"/>
    <w:qFormat/>
    <w:rsid w:val="00992AA9"/>
  </w:style>
  <w:style w:type="paragraph" w:customStyle="1" w:styleId="Abstract">
    <w:name w:val="Abstract"/>
    <w:basedOn w:val="Normal"/>
    <w:next w:val="Keywords"/>
    <w:qFormat/>
    <w:rsid w:val="00992AA9"/>
    <w:pPr>
      <w:spacing w:before="360" w:after="300" w:line="360" w:lineRule="auto"/>
      <w:ind w:left="720" w:right="567"/>
    </w:pPr>
    <w:rPr>
      <w:sz w:val="22"/>
    </w:rPr>
  </w:style>
  <w:style w:type="paragraph" w:customStyle="1" w:styleId="Keywords">
    <w:name w:val="Keywords"/>
    <w:basedOn w:val="Normal"/>
    <w:next w:val="Paragraph"/>
    <w:qFormat/>
    <w:rsid w:val="00992AA9"/>
    <w:pPr>
      <w:spacing w:before="240" w:after="240" w:line="360" w:lineRule="auto"/>
      <w:ind w:left="720" w:right="567"/>
    </w:pPr>
    <w:rPr>
      <w:sz w:val="22"/>
    </w:rPr>
  </w:style>
  <w:style w:type="paragraph" w:customStyle="1" w:styleId="Correspondencedetails">
    <w:name w:val="Correspondence details"/>
    <w:basedOn w:val="Normal"/>
    <w:qFormat/>
    <w:rsid w:val="00992AA9"/>
    <w:pPr>
      <w:spacing w:before="240" w:line="360" w:lineRule="auto"/>
    </w:pPr>
  </w:style>
  <w:style w:type="paragraph" w:customStyle="1" w:styleId="Displayedquotation">
    <w:name w:val="Displayed quotation"/>
    <w:basedOn w:val="Normal"/>
    <w:qFormat/>
    <w:rsid w:val="00992AA9"/>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992AA9"/>
    <w:pPr>
      <w:widowControl/>
      <w:numPr>
        <w:numId w:val="13"/>
      </w:numPr>
      <w:spacing w:after="240"/>
      <w:contextualSpacing/>
    </w:pPr>
  </w:style>
  <w:style w:type="paragraph" w:customStyle="1" w:styleId="Displayedequation">
    <w:name w:val="Displayed equation"/>
    <w:basedOn w:val="Normal"/>
    <w:next w:val="Paragraph"/>
    <w:qFormat/>
    <w:rsid w:val="00992AA9"/>
    <w:pPr>
      <w:tabs>
        <w:tab w:val="center" w:pos="4253"/>
        <w:tab w:val="right" w:pos="8222"/>
      </w:tabs>
      <w:spacing w:before="240" w:after="240"/>
      <w:jc w:val="center"/>
    </w:pPr>
  </w:style>
  <w:style w:type="paragraph" w:customStyle="1" w:styleId="Acknowledgements">
    <w:name w:val="Acknowledgements"/>
    <w:basedOn w:val="Normal"/>
    <w:next w:val="Normal"/>
    <w:qFormat/>
    <w:rsid w:val="00992AA9"/>
    <w:pPr>
      <w:spacing w:before="120" w:line="360" w:lineRule="auto"/>
    </w:pPr>
    <w:rPr>
      <w:sz w:val="22"/>
    </w:rPr>
  </w:style>
  <w:style w:type="paragraph" w:customStyle="1" w:styleId="Tabletitle">
    <w:name w:val="Table title"/>
    <w:basedOn w:val="Normal"/>
    <w:next w:val="Normal"/>
    <w:qFormat/>
    <w:rsid w:val="00992AA9"/>
    <w:pPr>
      <w:spacing w:before="240" w:line="360" w:lineRule="auto"/>
    </w:pPr>
  </w:style>
  <w:style w:type="paragraph" w:customStyle="1" w:styleId="Figurecaption">
    <w:name w:val="Figure caption"/>
    <w:basedOn w:val="Normal"/>
    <w:next w:val="Normal"/>
    <w:qFormat/>
    <w:rsid w:val="00992AA9"/>
    <w:pPr>
      <w:spacing w:before="240" w:line="360" w:lineRule="auto"/>
    </w:pPr>
  </w:style>
  <w:style w:type="paragraph" w:customStyle="1" w:styleId="Footnotes">
    <w:name w:val="Footnotes"/>
    <w:basedOn w:val="Normal"/>
    <w:qFormat/>
    <w:rsid w:val="00992AA9"/>
    <w:pPr>
      <w:spacing w:before="120" w:line="360" w:lineRule="auto"/>
      <w:ind w:left="482" w:hanging="482"/>
      <w:contextualSpacing/>
    </w:pPr>
    <w:rPr>
      <w:sz w:val="22"/>
    </w:rPr>
  </w:style>
  <w:style w:type="paragraph" w:customStyle="1" w:styleId="Notesoncontributors">
    <w:name w:val="Notes on contributors"/>
    <w:basedOn w:val="Normal"/>
    <w:qFormat/>
    <w:rsid w:val="00992AA9"/>
    <w:pPr>
      <w:spacing w:before="240" w:line="360" w:lineRule="auto"/>
    </w:pPr>
    <w:rPr>
      <w:sz w:val="22"/>
    </w:rPr>
  </w:style>
  <w:style w:type="paragraph" w:customStyle="1" w:styleId="Normalparagraphstyle">
    <w:name w:val="Normal paragraph style"/>
    <w:basedOn w:val="Normal"/>
    <w:next w:val="Normal"/>
    <w:rsid w:val="00992AA9"/>
  </w:style>
  <w:style w:type="paragraph" w:customStyle="1" w:styleId="Paragraph">
    <w:name w:val="Paragraph"/>
    <w:basedOn w:val="Normal"/>
    <w:next w:val="Newparagraph"/>
    <w:qFormat/>
    <w:rsid w:val="00992AA9"/>
    <w:pPr>
      <w:widowControl w:val="0"/>
      <w:spacing w:before="240"/>
    </w:pPr>
  </w:style>
  <w:style w:type="paragraph" w:customStyle="1" w:styleId="Newparagraph">
    <w:name w:val="New paragraph"/>
    <w:basedOn w:val="Normal"/>
    <w:qFormat/>
    <w:rsid w:val="00992AA9"/>
    <w:pPr>
      <w:ind w:firstLine="720"/>
    </w:pPr>
  </w:style>
  <w:style w:type="paragraph" w:styleId="NormalIndent">
    <w:name w:val="Normal Indent"/>
    <w:basedOn w:val="Normal"/>
    <w:rsid w:val="00992AA9"/>
    <w:pPr>
      <w:ind w:left="720"/>
    </w:pPr>
  </w:style>
  <w:style w:type="paragraph" w:customStyle="1" w:styleId="References">
    <w:name w:val="References"/>
    <w:basedOn w:val="Normal"/>
    <w:qFormat/>
    <w:rsid w:val="00992AA9"/>
    <w:pPr>
      <w:spacing w:before="120" w:line="360" w:lineRule="auto"/>
      <w:ind w:left="720" w:hanging="720"/>
      <w:contextualSpacing/>
    </w:pPr>
  </w:style>
  <w:style w:type="paragraph" w:customStyle="1" w:styleId="Subjectcodes">
    <w:name w:val="Subject codes"/>
    <w:basedOn w:val="Keywords"/>
    <w:next w:val="Paragraph"/>
    <w:qFormat/>
    <w:rsid w:val="00992AA9"/>
  </w:style>
  <w:style w:type="paragraph" w:customStyle="1" w:styleId="Bulletedlist">
    <w:name w:val="Bulleted list"/>
    <w:basedOn w:val="Paragraph"/>
    <w:next w:val="Paragraph"/>
    <w:qFormat/>
    <w:rsid w:val="00992AA9"/>
    <w:pPr>
      <w:widowControl/>
      <w:numPr>
        <w:numId w:val="14"/>
      </w:numPr>
      <w:spacing w:after="240"/>
      <w:contextualSpacing/>
    </w:pPr>
  </w:style>
  <w:style w:type="paragraph" w:styleId="FootnoteText">
    <w:name w:val="footnote text"/>
    <w:basedOn w:val="Normal"/>
    <w:link w:val="FootnoteTextChar"/>
    <w:autoRedefine/>
    <w:rsid w:val="00992AA9"/>
    <w:pPr>
      <w:ind w:left="284" w:hanging="284"/>
    </w:pPr>
    <w:rPr>
      <w:sz w:val="22"/>
      <w:szCs w:val="20"/>
    </w:rPr>
  </w:style>
  <w:style w:type="character" w:customStyle="1" w:styleId="FootnoteTextChar">
    <w:name w:val="Footnote Text Char"/>
    <w:basedOn w:val="DefaultParagraphFont"/>
    <w:link w:val="FootnoteText"/>
    <w:rsid w:val="00992AA9"/>
    <w:rPr>
      <w:rFonts w:ascii="Times New Roman" w:eastAsia="Times New Roman" w:hAnsi="Times New Roman" w:cs="Times New Roman"/>
      <w:szCs w:val="20"/>
      <w:lang w:eastAsia="en-GB"/>
    </w:rPr>
  </w:style>
  <w:style w:type="character" w:styleId="FootnoteReference">
    <w:name w:val="footnote reference"/>
    <w:basedOn w:val="DefaultParagraphFont"/>
    <w:rsid w:val="00992AA9"/>
    <w:rPr>
      <w:vertAlign w:val="superscript"/>
    </w:rPr>
  </w:style>
  <w:style w:type="paragraph" w:styleId="EndnoteText">
    <w:name w:val="endnote text"/>
    <w:basedOn w:val="Normal"/>
    <w:link w:val="EndnoteTextChar"/>
    <w:autoRedefine/>
    <w:rsid w:val="00992AA9"/>
    <w:pPr>
      <w:ind w:left="284" w:hanging="284"/>
    </w:pPr>
    <w:rPr>
      <w:sz w:val="22"/>
      <w:szCs w:val="20"/>
    </w:rPr>
  </w:style>
  <w:style w:type="character" w:customStyle="1" w:styleId="EndnoteTextChar">
    <w:name w:val="Endnote Text Char"/>
    <w:basedOn w:val="DefaultParagraphFont"/>
    <w:link w:val="EndnoteText"/>
    <w:rsid w:val="00992AA9"/>
    <w:rPr>
      <w:rFonts w:ascii="Times New Roman" w:eastAsia="Times New Roman" w:hAnsi="Times New Roman" w:cs="Times New Roman"/>
      <w:szCs w:val="20"/>
      <w:lang w:eastAsia="en-GB"/>
    </w:rPr>
  </w:style>
  <w:style w:type="character" w:styleId="EndnoteReference">
    <w:name w:val="endnote reference"/>
    <w:basedOn w:val="DefaultParagraphFont"/>
    <w:rsid w:val="00992AA9"/>
    <w:rPr>
      <w:vertAlign w:val="superscript"/>
    </w:rPr>
  </w:style>
  <w:style w:type="paragraph" w:styleId="Header">
    <w:name w:val="header"/>
    <w:basedOn w:val="Normal"/>
    <w:link w:val="HeaderChar"/>
    <w:rsid w:val="00992AA9"/>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992AA9"/>
    <w:rPr>
      <w:rFonts w:ascii="Times New Roman" w:eastAsia="Times New Roman" w:hAnsi="Times New Roman" w:cs="Times New Roman"/>
      <w:sz w:val="24"/>
      <w:szCs w:val="24"/>
      <w:lang w:eastAsia="en-GB"/>
    </w:rPr>
  </w:style>
  <w:style w:type="paragraph" w:styleId="Footer">
    <w:name w:val="footer"/>
    <w:basedOn w:val="Normal"/>
    <w:link w:val="FooterChar"/>
    <w:rsid w:val="00992AA9"/>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992AA9"/>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992AA9"/>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20Cantrill\AppData\Roaming\Microsoft\Templates\TF_Template_Word_Windows_2010\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TF_Template_Word_Windows_2010</Template>
  <TotalTime>6</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JC</cp:lastModifiedBy>
  <cp:revision>6</cp:revision>
  <dcterms:created xsi:type="dcterms:W3CDTF">2014-12-05T20:11:00Z</dcterms:created>
  <dcterms:modified xsi:type="dcterms:W3CDTF">2015-01-08T00:21:00Z</dcterms:modified>
</cp:coreProperties>
</file>