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7A" w:rsidRPr="0058247A" w:rsidRDefault="0058247A" w:rsidP="0058247A">
      <w:r w:rsidRPr="0058247A">
        <w:t xml:space="preserve">Supplementary material for </w:t>
      </w:r>
      <w:proofErr w:type="spellStart"/>
      <w:r w:rsidRPr="0058247A">
        <w:t>Grønborg</w:t>
      </w:r>
      <w:proofErr w:type="spellEnd"/>
      <w:r w:rsidRPr="0058247A">
        <w:t xml:space="preserve"> et al., </w:t>
      </w:r>
      <w:r w:rsidRPr="0058247A">
        <w:t>Intra-fractional bladder motion and margins in adaptive radiotherapy for ur</w:t>
      </w:r>
      <w:r w:rsidRPr="0058247A">
        <w:t>i</w:t>
      </w:r>
      <w:r w:rsidRPr="0058247A">
        <w:t>nary bladder cancer</w:t>
      </w:r>
      <w:r w:rsidRPr="0058247A">
        <w:t xml:space="preserve">, </w:t>
      </w:r>
      <w:proofErr w:type="spellStart"/>
      <w:r w:rsidRPr="0058247A">
        <w:t>Acta</w:t>
      </w:r>
      <w:proofErr w:type="spellEnd"/>
      <w:r w:rsidRPr="0058247A">
        <w:t xml:space="preserve"> </w:t>
      </w:r>
      <w:proofErr w:type="spellStart"/>
      <w:r w:rsidRPr="0058247A">
        <w:t>Oncol</w:t>
      </w:r>
      <w:proofErr w:type="spellEnd"/>
      <w:r w:rsidRPr="0058247A">
        <w:t>, 2015</w:t>
      </w:r>
    </w:p>
    <w:p w:rsidR="0058247A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  <w:bookmarkStart w:id="0" w:name="_GoBack"/>
      <w:bookmarkEnd w:id="0"/>
    </w:p>
    <w:p w:rsidR="0058247A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</w:p>
    <w:p w:rsidR="0058247A" w:rsidDel="007D52EB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</w:p>
    <w:p w:rsidR="0058247A" w:rsidRDefault="0058247A" w:rsidP="0058247A">
      <w:pPr>
        <w:pStyle w:val="Standarduser"/>
        <w:spacing w:line="480" w:lineRule="auto"/>
      </w:pPr>
      <w:r>
        <w:rPr>
          <w:rFonts w:ascii="Verdana" w:hAnsi="Verdana"/>
          <w:noProof/>
          <w:sz w:val="19"/>
          <w:szCs w:val="19"/>
          <w:lang w:val="en-AU" w:eastAsia="en-AU"/>
        </w:rPr>
        <w:drawing>
          <wp:inline distT="0" distB="0" distL="0" distR="0" wp14:anchorId="11F994C4" wp14:editId="2ECCCE97">
            <wp:extent cx="3312795" cy="2682875"/>
            <wp:effectExtent l="0" t="0" r="1905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47A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  <w:r>
        <w:rPr>
          <w:rFonts w:ascii="Verdana" w:hAnsi="Verdana"/>
          <w:sz w:val="19"/>
          <w:szCs w:val="19"/>
          <w:lang w:val="en-GB"/>
        </w:rPr>
        <w:t>Figure S1: Workflow for plan selection procedure and coverage evaluation.</w:t>
      </w:r>
    </w:p>
    <w:p w:rsidR="0058247A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</w:p>
    <w:p w:rsidR="0058247A" w:rsidDel="007D52EB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</w:p>
    <w:p w:rsidR="0058247A" w:rsidRDefault="0058247A" w:rsidP="0058247A">
      <w:pPr>
        <w:pStyle w:val="Standarduser"/>
      </w:pPr>
      <w:r>
        <w:rPr>
          <w:lang w:val="en-US" w:eastAsia="da-DK"/>
        </w:rPr>
        <w:lastRenderedPageBreak/>
        <w:t xml:space="preserve">  </w:t>
      </w:r>
      <w:r>
        <w:rPr>
          <w:noProof/>
          <w:lang w:val="en-AU" w:eastAsia="en-AU"/>
        </w:rPr>
        <w:drawing>
          <wp:inline distT="0" distB="0" distL="0" distR="0" wp14:anchorId="021E30DB" wp14:editId="5B44E54C">
            <wp:extent cx="4485640" cy="3140075"/>
            <wp:effectExtent l="0" t="0" r="0" b="3175"/>
            <wp:docPr id="1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47A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</w:p>
    <w:p w:rsidR="0058247A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  <w:r>
        <w:rPr>
          <w:rFonts w:ascii="Verdana" w:hAnsi="Verdana"/>
          <w:sz w:val="19"/>
          <w:szCs w:val="19"/>
          <w:lang w:val="en-GB"/>
        </w:rPr>
        <w:t>Figure S2: Overview of the nine bladder patients; showing the 0, 2, 4, 6, 8 and 10 minute bladder on the 0 minute scan.</w:t>
      </w:r>
    </w:p>
    <w:p w:rsidR="0058247A" w:rsidRPr="005D120F" w:rsidRDefault="0058247A" w:rsidP="0058247A">
      <w:pPr>
        <w:pStyle w:val="Standarduser"/>
        <w:rPr>
          <w:lang w:val="en-GB" w:eastAsia="da-DK"/>
        </w:rPr>
      </w:pPr>
    </w:p>
    <w:p w:rsidR="0058247A" w:rsidDel="007D52EB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</w:p>
    <w:p w:rsidR="0058247A" w:rsidRPr="00F85910" w:rsidRDefault="0058247A" w:rsidP="0058247A">
      <w:pPr>
        <w:pStyle w:val="Standarduser"/>
        <w:spacing w:line="480" w:lineRule="auto"/>
        <w:rPr>
          <w:lang w:val="en-US"/>
        </w:rPr>
      </w:pPr>
      <w:r>
        <w:rPr>
          <w:noProof/>
          <w:lang w:val="en-AU" w:eastAsia="en-AU"/>
        </w:rPr>
        <w:lastRenderedPageBreak/>
        <w:drawing>
          <wp:inline distT="0" distB="0" distL="0" distR="0" wp14:anchorId="7D1D8719" wp14:editId="70D4CFE7">
            <wp:extent cx="2752090" cy="4218305"/>
            <wp:effectExtent l="0" t="0" r="0" b="0"/>
            <wp:docPr id="1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47A" w:rsidRDefault="0058247A" w:rsidP="0058247A">
      <w:pPr>
        <w:pStyle w:val="Standarduser"/>
        <w:spacing w:line="480" w:lineRule="auto"/>
        <w:rPr>
          <w:rFonts w:ascii="Verdana" w:hAnsi="Verdana"/>
          <w:sz w:val="19"/>
          <w:szCs w:val="19"/>
          <w:lang w:val="en-GB"/>
        </w:rPr>
      </w:pPr>
      <w:r>
        <w:rPr>
          <w:rFonts w:ascii="Verdana" w:hAnsi="Verdana"/>
          <w:sz w:val="19"/>
          <w:szCs w:val="19"/>
          <w:lang w:val="en-US" w:eastAsia="da-DK"/>
        </w:rPr>
        <w:t xml:space="preserve">Figure S3: </w:t>
      </w:r>
      <w:r>
        <w:rPr>
          <w:rFonts w:ascii="Verdana" w:hAnsi="Verdana"/>
          <w:sz w:val="19"/>
          <w:szCs w:val="19"/>
          <w:lang w:val="en-GB"/>
        </w:rPr>
        <w:t xml:space="preserve">2D-maps of the population-based margins calculations based on CBCT-scans. The figure shows both the margins for all nine patients (upper) and the margins when the one female patient was excluded due to anatomically unexpected motion (lower). </w:t>
      </w:r>
    </w:p>
    <w:p w:rsidR="0058247A" w:rsidRPr="0088634F" w:rsidRDefault="0058247A" w:rsidP="0058247A">
      <w:pPr>
        <w:pStyle w:val="Standarduser"/>
        <w:rPr>
          <w:lang w:val="en-GB"/>
        </w:rPr>
      </w:pPr>
    </w:p>
    <w:p w:rsidR="00A9262C" w:rsidRDefault="00A9262C"/>
    <w:sectPr w:rsidR="00A9262C" w:rsidSect="00394880">
      <w:footerReference w:type="default" r:id="rId8"/>
      <w:pgSz w:w="11906" w:h="16838"/>
      <w:pgMar w:top="708" w:right="1134" w:bottom="1701" w:left="1134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C51" w:rsidRDefault="0058247A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7A"/>
    <w:rsid w:val="0058247A"/>
    <w:rsid w:val="00A9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47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58247A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uiPriority w:val="99"/>
    <w:rsid w:val="0058247A"/>
    <w:pPr>
      <w:suppressAutoHyphens/>
      <w:autoSpaceDN w:val="0"/>
      <w:textAlignment w:val="baseline"/>
    </w:pPr>
    <w:rPr>
      <w:rFonts w:ascii="Calibri" w:eastAsia="Droid Sans Fallback" w:hAnsi="Calibri" w:cs="Times New Roman"/>
      <w:kern w:val="3"/>
      <w:lang w:val="da-DK" w:eastAsia="zh-CN"/>
    </w:rPr>
  </w:style>
  <w:style w:type="paragraph" w:styleId="Footer">
    <w:name w:val="footer"/>
    <w:basedOn w:val="Normal"/>
    <w:link w:val="FooterChar"/>
    <w:rsid w:val="0058247A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58247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4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47A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58247A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58247A"/>
    <w:pPr>
      <w:spacing w:after="120" w:line="360" w:lineRule="auto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47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58247A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uiPriority w:val="99"/>
    <w:rsid w:val="0058247A"/>
    <w:pPr>
      <w:suppressAutoHyphens/>
      <w:autoSpaceDN w:val="0"/>
      <w:textAlignment w:val="baseline"/>
    </w:pPr>
    <w:rPr>
      <w:rFonts w:ascii="Calibri" w:eastAsia="Droid Sans Fallback" w:hAnsi="Calibri" w:cs="Times New Roman"/>
      <w:kern w:val="3"/>
      <w:lang w:val="da-DK" w:eastAsia="zh-CN"/>
    </w:rPr>
  </w:style>
  <w:style w:type="paragraph" w:styleId="Footer">
    <w:name w:val="footer"/>
    <w:basedOn w:val="Normal"/>
    <w:link w:val="FooterChar"/>
    <w:rsid w:val="0058247A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58247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4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47A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58247A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58247A"/>
    <w:pPr>
      <w:spacing w:after="120" w:line="360" w:lineRule="auto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1</cp:revision>
  <dcterms:created xsi:type="dcterms:W3CDTF">2015-06-17T23:54:00Z</dcterms:created>
  <dcterms:modified xsi:type="dcterms:W3CDTF">2015-06-17T23:55:00Z</dcterms:modified>
</cp:coreProperties>
</file>