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16865" w14:textId="55934B2D" w:rsidR="00C062EF" w:rsidRPr="00211D5C" w:rsidRDefault="006C4FFE">
      <w:bookmarkStart w:id="0" w:name="_GoBack"/>
      <w:r w:rsidRPr="00211D5C">
        <w:rPr>
          <w:noProof/>
          <w:lang w:val="en-IN" w:eastAsia="en-IN"/>
        </w:rPr>
        <w:drawing>
          <wp:inline distT="0" distB="0" distL="0" distR="0" wp14:anchorId="4D8EA3E9" wp14:editId="7433018D">
            <wp:extent cx="5759450" cy="3672840"/>
            <wp:effectExtent l="0" t="0" r="0" b="3810"/>
            <wp:docPr id="3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4C0DCA3-4F03-426F-8C7B-2C3AC26A0E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4">
                      <a:extLst>
                        <a:ext uri="{FF2B5EF4-FFF2-40B4-BE49-F238E27FC236}">
                          <a16:creationId xmlns:a16="http://schemas.microsoft.com/office/drawing/2014/main" id="{B4C0DCA3-4F03-426F-8C7B-2C3AC26A0E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rcRect l="45190" t="43375" r="29652" b="2810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4B7B4" w14:textId="5983E648" w:rsidR="00C062EF" w:rsidRDefault="00E558B7" w:rsidP="00C062EF">
      <w:r>
        <w:t>Supplementary d</w:t>
      </w:r>
      <w:r w:rsidR="006C4FFE" w:rsidRPr="00211D5C">
        <w:t>ata 1: Number of patients</w:t>
      </w:r>
      <w:r w:rsidR="0096331C">
        <w:t xml:space="preserve"> with PCNSL treated with radiotherapy as part of first line treatment</w:t>
      </w:r>
      <w:r w:rsidR="006C4FFE" w:rsidRPr="00211D5C">
        <w:t xml:space="preserve"> per year of the studied period</w:t>
      </w:r>
    </w:p>
    <w:p w14:paraId="56DB32B1" w14:textId="6481ABB2" w:rsidR="004A001E" w:rsidRDefault="004A001E" w:rsidP="00C062EF">
      <w:r w:rsidRPr="005B3829">
        <w:rPr>
          <w:noProof/>
          <w:lang w:val="en-IN" w:eastAsia="en-IN"/>
        </w:rPr>
        <w:lastRenderedPageBreak/>
        <w:drawing>
          <wp:inline distT="0" distB="0" distL="0" distR="0" wp14:anchorId="258A4E68" wp14:editId="2E64B1FD">
            <wp:extent cx="5972810" cy="4370349"/>
            <wp:effectExtent l="0" t="0" r="889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D3EAAF02-E325-4F49-A3D6-C33663E0FD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D3EAAF02-E325-4F49-A3D6-C33663E0FD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27152" t="25485" r="30032" b="1881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37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8AA53" w14:textId="77777777" w:rsidR="004A001E" w:rsidRPr="005B3829" w:rsidRDefault="004A001E" w:rsidP="004A001E">
      <w:pPr>
        <w:jc w:val="both"/>
        <w:rPr>
          <w:b/>
          <w:bCs/>
        </w:rPr>
      </w:pPr>
      <w:r w:rsidRPr="005B3829">
        <w:rPr>
          <w:b/>
          <w:bCs/>
          <w:iCs/>
          <w:u w:val="single"/>
        </w:rPr>
        <w:t>Abbreviations</w:t>
      </w:r>
      <w:r w:rsidRPr="005B3829">
        <w:rPr>
          <w:b/>
          <w:bCs/>
        </w:rPr>
        <w:t>: HD-MTX = high-dose methotrexate; CT = chemotherapy; CR = complete response; PR = partial response; SD = stable disease; PD = progressive disease; WBRT = whole-brain radiotherapy; PBRT = partial brain radiotherapy</w:t>
      </w:r>
    </w:p>
    <w:p w14:paraId="0B4B28B1" w14:textId="69609B83" w:rsidR="004A001E" w:rsidRPr="005B3829" w:rsidRDefault="00E558B7" w:rsidP="004A001E">
      <w:pPr>
        <w:jc w:val="both"/>
      </w:pPr>
      <w:r>
        <w:t>Supplementary d</w:t>
      </w:r>
      <w:r w:rsidR="004A001E">
        <w:t>ata 2</w:t>
      </w:r>
      <w:r w:rsidR="004A001E" w:rsidRPr="005B3829">
        <w:t>: Irradiation volume (A) and dose delivered to the whole brain (B) according to the response to induction CT</w:t>
      </w:r>
    </w:p>
    <w:p w14:paraId="5DA4B6CF" w14:textId="77777777" w:rsidR="004A001E" w:rsidRPr="00211D5C" w:rsidRDefault="004A001E" w:rsidP="00C062EF"/>
    <w:p w14:paraId="3481BD24" w14:textId="19E14F12" w:rsidR="00C062EF" w:rsidRPr="00211D5C" w:rsidRDefault="006C4FFE" w:rsidP="00C062EF">
      <w:r w:rsidRPr="00211D5C"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3CF6B3E" wp14:editId="27520E74">
                <wp:simplePos x="0" y="0"/>
                <wp:positionH relativeFrom="margin">
                  <wp:posOffset>-4445</wp:posOffset>
                </wp:positionH>
                <wp:positionV relativeFrom="paragraph">
                  <wp:posOffset>316230</wp:posOffset>
                </wp:positionV>
                <wp:extent cx="5774055" cy="6008370"/>
                <wp:effectExtent l="0" t="0" r="0" b="0"/>
                <wp:wrapTopAndBottom/>
                <wp:docPr id="1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4055" cy="6008370"/>
                          <a:chOff x="0" y="0"/>
                          <a:chExt cx="9012834" cy="8763408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5690" t="29649" r="20362" b="11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834" cy="4645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47619" t="34143" r="20786" b="12914"/>
                          <a:stretch>
                            <a:fillRect/>
                          </a:stretch>
                        </pic:blipFill>
                        <pic:spPr>
                          <a:xfrm>
                            <a:off x="4599887" y="4603837"/>
                            <a:ext cx="4412947" cy="41595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6176" t="36831" r="52683" b="13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4660667"/>
                            <a:ext cx="4565488" cy="40779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3" o:spid="_x0000_s1025" style="width:454.65pt;height:473.1pt;margin-top:24.9pt;margin-left:-0.35pt;mso-height-relative:margin;mso-position-horizontal-relative:margin;mso-width-relative:margin;position:absolute;z-index:251659264" coordsize="90128,876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6" type="#_x0000_t75" style="width:90128;height:46455;mso-wrap-style:square;position:absolute;visibility:visible">
                  <v:imagedata r:id="rId13" o:title="" croptop="19431f" cropbottom="7703f" cropleft="10283f" cropright="13344f"/>
                </v:shape>
                <v:shape id="Picture 14" o:spid="_x0000_s1027" type="#_x0000_t75" style="width:44130;height:41596;left:45998;mso-wrap-style:square;position:absolute;top:46038;visibility:visible">
                  <v:imagedata r:id="rId14" o:title="" croptop="22376f" cropbottom="8463f" cropleft="31208f" cropright="13622f"/>
                </v:shape>
                <v:shape id="Picture 15" o:spid="_x0000_s1028" type="#_x0000_t75" style="width:45654;height:40779;mso-wrap-style:square;position:absolute;top:46606;visibility:visible">
                  <v:imagedata r:id="rId14" o:title="" croptop="24138f" cropbottom="8991f" cropleft="10601f" cropright="34526f"/>
                </v:shape>
                <w10:wrap type="topAndBottom"/>
              </v:group>
            </w:pict>
          </mc:Fallback>
        </mc:AlternateContent>
      </w:r>
    </w:p>
    <w:p w14:paraId="1230E593" w14:textId="6292E75E" w:rsidR="00C062EF" w:rsidRPr="00211D5C" w:rsidRDefault="006C4FFE" w:rsidP="00C062EF">
      <w:pPr>
        <w:jc w:val="both"/>
        <w:rPr>
          <w:b/>
          <w:bCs/>
        </w:rPr>
      </w:pPr>
      <w:r w:rsidRPr="00211D5C">
        <w:rPr>
          <w:b/>
          <w:bCs/>
          <w:iCs/>
          <w:u w:val="single"/>
        </w:rPr>
        <w:t>Abbreviations</w:t>
      </w:r>
      <w:r w:rsidRPr="00211D5C">
        <w:rPr>
          <w:b/>
          <w:bCs/>
        </w:rPr>
        <w:t>: CR = complete response; PR = partial response; WBRT = whole-brain radiotherapy</w:t>
      </w:r>
    </w:p>
    <w:p w14:paraId="78E3FBD6" w14:textId="5BA371F2" w:rsidR="00C062EF" w:rsidRPr="00211D5C" w:rsidRDefault="00E558B7" w:rsidP="00C062EF">
      <w:pPr>
        <w:jc w:val="both"/>
      </w:pPr>
      <w:r>
        <w:t>Supplementary d</w:t>
      </w:r>
      <w:r w:rsidR="004A001E">
        <w:t>ata 3</w:t>
      </w:r>
      <w:r w:rsidR="006C4FFE" w:rsidRPr="00211D5C">
        <w:t xml:space="preserve">: Evaluation of the influence of dose </w:t>
      </w:r>
      <w:r w:rsidR="00E05B43" w:rsidRPr="00211D5C">
        <w:t xml:space="preserve">on </w:t>
      </w:r>
      <w:r w:rsidR="006C4FFE" w:rsidRPr="00211D5C">
        <w:t>the WBRT (≤ 30 Gy vs. &gt; 30 Gy) on PFS and OS, according to the response to induction CT</w:t>
      </w:r>
    </w:p>
    <w:p w14:paraId="2976CA8C" w14:textId="4D452A69" w:rsidR="00C062EF" w:rsidRPr="00211D5C" w:rsidRDefault="00C062EF" w:rsidP="00C062EF"/>
    <w:p w14:paraId="2A66F6A0" w14:textId="40D94E6B" w:rsidR="004A001E" w:rsidRDefault="004A001E" w:rsidP="00005AC8">
      <w:pPr>
        <w:jc w:val="both"/>
      </w:pPr>
    </w:p>
    <w:p w14:paraId="6BA231F7" w14:textId="4863BB6E" w:rsidR="005D73D7" w:rsidRDefault="005D73D7" w:rsidP="00005AC8">
      <w:pPr>
        <w:jc w:val="both"/>
      </w:pPr>
    </w:p>
    <w:p w14:paraId="351A379D" w14:textId="3600E41E" w:rsidR="005D73D7" w:rsidRDefault="005D73D7" w:rsidP="00005AC8">
      <w:pPr>
        <w:jc w:val="both"/>
      </w:pPr>
      <w:r w:rsidRPr="00211D5C">
        <w:rPr>
          <w:noProof/>
          <w:lang w:val="en-IN" w:eastAsia="en-IN"/>
        </w:rPr>
        <w:lastRenderedPageBreak/>
        <w:drawing>
          <wp:inline distT="0" distB="0" distL="0" distR="0" wp14:anchorId="71CA1E12" wp14:editId="71F097EA">
            <wp:extent cx="3404937" cy="3140242"/>
            <wp:effectExtent l="0" t="0" r="5080" b="3175"/>
            <wp:docPr id="104152840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8A31EE7-EDEF-43B2-9CD5-35B5E3531D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528403" name="Picture 4">
                      <a:extLst>
                        <a:ext uri="{FF2B5EF4-FFF2-40B4-BE49-F238E27FC236}">
                          <a16:creationId xmlns:a16="http://schemas.microsoft.com/office/drawing/2014/main" id="{C8A31EE7-EDEF-43B2-9CD5-35B5E3531D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rcRect l="57040" t="39473" r="15033" b="14737"/>
                    <a:stretch>
                      <a:fillRect/>
                    </a:stretch>
                  </pic:blipFill>
                  <pic:spPr>
                    <a:xfrm>
                      <a:off x="0" y="0"/>
                      <a:ext cx="3404937" cy="314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E862A" w14:textId="77777777" w:rsidR="005D73D7" w:rsidRPr="00211D5C" w:rsidRDefault="005D73D7" w:rsidP="005D73D7">
      <w:pPr>
        <w:jc w:val="both"/>
        <w:rPr>
          <w:b/>
          <w:bCs/>
        </w:rPr>
      </w:pPr>
      <w:r w:rsidRPr="00211D5C">
        <w:rPr>
          <w:b/>
          <w:bCs/>
          <w:iCs/>
          <w:u w:val="single"/>
        </w:rPr>
        <w:t>Abbreviations</w:t>
      </w:r>
      <w:r w:rsidRPr="00211D5C">
        <w:rPr>
          <w:b/>
          <w:bCs/>
        </w:rPr>
        <w:t>: WBRT = whole-brain radiotherapy; PBRT = partial brain radiotherapy</w:t>
      </w:r>
    </w:p>
    <w:p w14:paraId="540DE6CD" w14:textId="66BB0A32" w:rsidR="005D73D7" w:rsidRDefault="005D73D7" w:rsidP="005D73D7">
      <w:pPr>
        <w:jc w:val="both"/>
      </w:pPr>
      <w:r>
        <w:t>Supplementary data 4</w:t>
      </w:r>
      <w:r w:rsidRPr="00211D5C">
        <w:t>: Evaluation of the influence of irradiation volume (WBRT +/- boost vs. PBRT) on OS</w:t>
      </w:r>
    </w:p>
    <w:p w14:paraId="5B3C3354" w14:textId="3083047F" w:rsidR="005D73D7" w:rsidRDefault="005D73D7" w:rsidP="00005AC8">
      <w:pPr>
        <w:jc w:val="both"/>
      </w:pPr>
    </w:p>
    <w:p w14:paraId="2D504EEF" w14:textId="7CF0F5A5" w:rsidR="005D73D7" w:rsidRDefault="005D73D7" w:rsidP="00005AC8">
      <w:pPr>
        <w:jc w:val="both"/>
      </w:pPr>
    </w:p>
    <w:p w14:paraId="430CBE71" w14:textId="5AF2C67F" w:rsidR="005D73D7" w:rsidRDefault="005D73D7" w:rsidP="00005AC8">
      <w:pPr>
        <w:jc w:val="both"/>
      </w:pPr>
    </w:p>
    <w:p w14:paraId="2EB5E0FC" w14:textId="1284FE23" w:rsidR="005D73D7" w:rsidRDefault="005D73D7" w:rsidP="00005AC8">
      <w:pPr>
        <w:jc w:val="both"/>
      </w:pPr>
    </w:p>
    <w:p w14:paraId="13164F59" w14:textId="59EEB982" w:rsidR="005D73D7" w:rsidRDefault="005D73D7" w:rsidP="00005AC8">
      <w:pPr>
        <w:jc w:val="both"/>
      </w:pPr>
    </w:p>
    <w:p w14:paraId="364FA890" w14:textId="29026B37" w:rsidR="005D73D7" w:rsidRDefault="005D73D7" w:rsidP="00005AC8">
      <w:pPr>
        <w:jc w:val="both"/>
      </w:pPr>
    </w:p>
    <w:p w14:paraId="5CD7DAB8" w14:textId="5FEEB875" w:rsidR="005D73D7" w:rsidRDefault="005D73D7" w:rsidP="00005AC8">
      <w:pPr>
        <w:jc w:val="both"/>
      </w:pPr>
    </w:p>
    <w:p w14:paraId="642744C2" w14:textId="5185A1AA" w:rsidR="005D73D7" w:rsidRDefault="005D73D7" w:rsidP="00005AC8">
      <w:pPr>
        <w:jc w:val="both"/>
      </w:pPr>
    </w:p>
    <w:p w14:paraId="0E97D2C6" w14:textId="717DAB80" w:rsidR="005D73D7" w:rsidRDefault="005D73D7" w:rsidP="00005AC8">
      <w:pPr>
        <w:jc w:val="both"/>
      </w:pPr>
    </w:p>
    <w:p w14:paraId="7D2948D4" w14:textId="33DBEC9F" w:rsidR="005D73D7" w:rsidRDefault="005D73D7" w:rsidP="00005AC8">
      <w:pPr>
        <w:jc w:val="both"/>
      </w:pPr>
    </w:p>
    <w:p w14:paraId="17115021" w14:textId="0E3BB697" w:rsidR="005D73D7" w:rsidRDefault="005D73D7" w:rsidP="00005AC8">
      <w:pPr>
        <w:jc w:val="both"/>
      </w:pPr>
    </w:p>
    <w:p w14:paraId="23D885F7" w14:textId="449816AB" w:rsidR="005D73D7" w:rsidRDefault="005D73D7" w:rsidP="00005AC8">
      <w:pPr>
        <w:jc w:val="both"/>
      </w:pPr>
    </w:p>
    <w:p w14:paraId="19AA71F8" w14:textId="77777777" w:rsidR="005D73D7" w:rsidRDefault="005D73D7" w:rsidP="00005AC8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1"/>
        <w:gridCol w:w="2098"/>
        <w:gridCol w:w="1900"/>
        <w:gridCol w:w="1882"/>
        <w:gridCol w:w="1895"/>
      </w:tblGrid>
      <w:tr w:rsidR="004A001E" w:rsidRPr="00211D5C" w14:paraId="1D2E4BFC" w14:textId="77777777" w:rsidTr="00EF72F9">
        <w:tc>
          <w:tcPr>
            <w:tcW w:w="3719" w:type="dxa"/>
            <w:gridSpan w:val="2"/>
          </w:tcPr>
          <w:p w14:paraId="6DD5DB32" w14:textId="77777777" w:rsidR="004A001E" w:rsidRPr="00211D5C" w:rsidRDefault="004A001E" w:rsidP="00EF72F9">
            <w:pPr>
              <w:spacing w:after="0"/>
              <w:jc w:val="both"/>
            </w:pPr>
          </w:p>
        </w:tc>
        <w:tc>
          <w:tcPr>
            <w:tcW w:w="1900" w:type="dxa"/>
          </w:tcPr>
          <w:p w14:paraId="4046FAC9" w14:textId="77777777" w:rsidR="004A001E" w:rsidRPr="00211D5C" w:rsidRDefault="004A001E" w:rsidP="00EF72F9">
            <w:pPr>
              <w:spacing w:after="0" w:line="240" w:lineRule="auto"/>
            </w:pPr>
            <w:r w:rsidRPr="00211D5C">
              <w:t>Posterior third of the eyes included</w:t>
            </w:r>
          </w:p>
          <w:p w14:paraId="7E0FC0F7" w14:textId="77777777" w:rsidR="004A001E" w:rsidRPr="00211D5C" w:rsidRDefault="004A001E" w:rsidP="00EF72F9">
            <w:pPr>
              <w:spacing w:after="0" w:line="240" w:lineRule="auto"/>
            </w:pPr>
            <w:r w:rsidRPr="00211D5C">
              <w:t>in the WBRT volume</w:t>
            </w:r>
          </w:p>
          <w:p w14:paraId="3D6ABCAA" w14:textId="77777777" w:rsidR="004A001E" w:rsidRPr="00211D5C" w:rsidRDefault="004A001E" w:rsidP="00EF72F9">
            <w:pPr>
              <w:spacing w:after="0" w:line="240" w:lineRule="auto"/>
              <w:jc w:val="both"/>
            </w:pPr>
            <w:r w:rsidRPr="00211D5C">
              <w:t>n=6</w:t>
            </w:r>
          </w:p>
        </w:tc>
        <w:tc>
          <w:tcPr>
            <w:tcW w:w="1882" w:type="dxa"/>
          </w:tcPr>
          <w:p w14:paraId="42D4A631" w14:textId="77777777" w:rsidR="004A001E" w:rsidRPr="00211D5C" w:rsidRDefault="004A001E" w:rsidP="00EF72F9">
            <w:pPr>
              <w:spacing w:after="0" w:line="240" w:lineRule="auto"/>
            </w:pPr>
            <w:r w:rsidRPr="00211D5C">
              <w:t>Full eyes included in the WBRT volume</w:t>
            </w:r>
          </w:p>
          <w:p w14:paraId="72F876DF" w14:textId="77777777" w:rsidR="004A001E" w:rsidRPr="00211D5C" w:rsidRDefault="004A001E" w:rsidP="00EF72F9">
            <w:pPr>
              <w:spacing w:after="0" w:line="240" w:lineRule="auto"/>
              <w:jc w:val="both"/>
            </w:pPr>
          </w:p>
          <w:p w14:paraId="40F53762" w14:textId="77777777" w:rsidR="004A001E" w:rsidRPr="00211D5C" w:rsidRDefault="004A001E" w:rsidP="00EF72F9">
            <w:pPr>
              <w:spacing w:after="0" w:line="240" w:lineRule="auto"/>
              <w:jc w:val="both"/>
            </w:pPr>
            <w:r w:rsidRPr="00211D5C">
              <w:t>n=5</w:t>
            </w:r>
          </w:p>
        </w:tc>
        <w:tc>
          <w:tcPr>
            <w:tcW w:w="1895" w:type="dxa"/>
          </w:tcPr>
          <w:p w14:paraId="1A5A7382" w14:textId="77777777" w:rsidR="004A001E" w:rsidRPr="00211D5C" w:rsidRDefault="004A001E" w:rsidP="00EF72F9">
            <w:pPr>
              <w:spacing w:after="0" w:line="240" w:lineRule="auto"/>
            </w:pPr>
            <w:r w:rsidRPr="00211D5C">
              <w:t>Eyes totally excluded from the WBRT volume</w:t>
            </w:r>
          </w:p>
          <w:p w14:paraId="1B0E11F4" w14:textId="77777777" w:rsidR="004A001E" w:rsidRPr="00211D5C" w:rsidRDefault="004A001E" w:rsidP="00EF72F9">
            <w:pPr>
              <w:spacing w:after="0" w:line="240" w:lineRule="auto"/>
              <w:jc w:val="both"/>
            </w:pPr>
          </w:p>
          <w:p w14:paraId="05D37B4F" w14:textId="77777777" w:rsidR="004A001E" w:rsidRPr="00211D5C" w:rsidRDefault="004A001E" w:rsidP="00EF72F9">
            <w:pPr>
              <w:spacing w:after="0" w:line="240" w:lineRule="auto"/>
              <w:jc w:val="both"/>
            </w:pPr>
            <w:r w:rsidRPr="00211D5C">
              <w:t>n=61</w:t>
            </w:r>
          </w:p>
        </w:tc>
      </w:tr>
      <w:tr w:rsidR="004A001E" w:rsidRPr="00211D5C" w14:paraId="73F40B46" w14:textId="77777777" w:rsidTr="00EF72F9">
        <w:tc>
          <w:tcPr>
            <w:tcW w:w="1621" w:type="dxa"/>
            <w:vMerge w:val="restart"/>
          </w:tcPr>
          <w:p w14:paraId="1425C490" w14:textId="77777777" w:rsidR="004A001E" w:rsidRPr="00211D5C" w:rsidRDefault="004A001E" w:rsidP="00EF72F9">
            <w:pPr>
              <w:spacing w:after="0" w:line="240" w:lineRule="auto"/>
            </w:pPr>
          </w:p>
          <w:p w14:paraId="07F27CC4" w14:textId="77777777" w:rsidR="004A001E" w:rsidRPr="00211D5C" w:rsidRDefault="004A001E" w:rsidP="00EF72F9">
            <w:pPr>
              <w:spacing w:after="0" w:line="240" w:lineRule="auto"/>
            </w:pPr>
            <w:r w:rsidRPr="00211D5C">
              <w:t>Presence of intraocular lymphomatous involvement at diagnosis</w:t>
            </w:r>
          </w:p>
        </w:tc>
        <w:tc>
          <w:tcPr>
            <w:tcW w:w="2098" w:type="dxa"/>
          </w:tcPr>
          <w:p w14:paraId="7CA9245F" w14:textId="77777777" w:rsidR="004A001E" w:rsidRPr="00211D5C" w:rsidRDefault="004A001E" w:rsidP="00EF72F9">
            <w:pPr>
              <w:spacing w:after="0" w:line="240" w:lineRule="auto"/>
              <w:jc w:val="both"/>
            </w:pPr>
            <w:r w:rsidRPr="00211D5C">
              <w:t>Yes</w:t>
            </w:r>
          </w:p>
          <w:p w14:paraId="7FE5410D" w14:textId="77777777" w:rsidR="004A001E" w:rsidRPr="00211D5C" w:rsidRDefault="004A001E" w:rsidP="00EF72F9">
            <w:pPr>
              <w:spacing w:after="0" w:line="240" w:lineRule="auto"/>
              <w:jc w:val="both"/>
            </w:pPr>
            <w:r w:rsidRPr="00211D5C">
              <w:t>n=9</w:t>
            </w:r>
          </w:p>
        </w:tc>
        <w:tc>
          <w:tcPr>
            <w:tcW w:w="1900" w:type="dxa"/>
          </w:tcPr>
          <w:p w14:paraId="18FD8956" w14:textId="77777777" w:rsidR="004A001E" w:rsidRPr="00211D5C" w:rsidRDefault="004A001E" w:rsidP="00EF72F9">
            <w:pPr>
              <w:spacing w:after="0"/>
              <w:jc w:val="center"/>
            </w:pPr>
            <w:r w:rsidRPr="00211D5C">
              <w:t>1</w:t>
            </w:r>
          </w:p>
        </w:tc>
        <w:tc>
          <w:tcPr>
            <w:tcW w:w="1882" w:type="dxa"/>
          </w:tcPr>
          <w:p w14:paraId="518A5439" w14:textId="77777777" w:rsidR="004A001E" w:rsidRPr="00211D5C" w:rsidRDefault="004A001E" w:rsidP="00EF72F9">
            <w:pPr>
              <w:spacing w:after="0"/>
              <w:jc w:val="center"/>
            </w:pPr>
            <w:r w:rsidRPr="00211D5C">
              <w:t>3</w:t>
            </w:r>
          </w:p>
        </w:tc>
        <w:tc>
          <w:tcPr>
            <w:tcW w:w="1895" w:type="dxa"/>
          </w:tcPr>
          <w:p w14:paraId="42CE0073" w14:textId="77777777" w:rsidR="004A001E" w:rsidRPr="00211D5C" w:rsidRDefault="004A001E" w:rsidP="00EF72F9">
            <w:pPr>
              <w:spacing w:after="0"/>
              <w:jc w:val="center"/>
            </w:pPr>
            <w:r w:rsidRPr="00211D5C">
              <w:t>5</w:t>
            </w:r>
          </w:p>
        </w:tc>
      </w:tr>
      <w:tr w:rsidR="004A001E" w:rsidRPr="00211D5C" w14:paraId="190A0F9A" w14:textId="77777777" w:rsidTr="00EF72F9">
        <w:tc>
          <w:tcPr>
            <w:tcW w:w="1621" w:type="dxa"/>
            <w:vMerge/>
          </w:tcPr>
          <w:p w14:paraId="746171EA" w14:textId="77777777" w:rsidR="004A001E" w:rsidRPr="00211D5C" w:rsidRDefault="004A001E" w:rsidP="00EF72F9">
            <w:pPr>
              <w:spacing w:after="0" w:line="240" w:lineRule="auto"/>
              <w:jc w:val="both"/>
            </w:pPr>
          </w:p>
        </w:tc>
        <w:tc>
          <w:tcPr>
            <w:tcW w:w="2098" w:type="dxa"/>
          </w:tcPr>
          <w:p w14:paraId="595C1704" w14:textId="77777777" w:rsidR="004A001E" w:rsidRPr="00211D5C" w:rsidRDefault="004A001E" w:rsidP="00EF72F9">
            <w:pPr>
              <w:spacing w:after="0" w:line="240" w:lineRule="auto"/>
              <w:jc w:val="both"/>
            </w:pPr>
            <w:r w:rsidRPr="00211D5C">
              <w:t>No</w:t>
            </w:r>
          </w:p>
          <w:p w14:paraId="3CEBDBC8" w14:textId="77777777" w:rsidR="004A001E" w:rsidRPr="00211D5C" w:rsidRDefault="004A001E" w:rsidP="00EF72F9">
            <w:pPr>
              <w:spacing w:after="0" w:line="240" w:lineRule="auto"/>
              <w:jc w:val="both"/>
            </w:pPr>
            <w:r w:rsidRPr="00211D5C">
              <w:t>n=42</w:t>
            </w:r>
          </w:p>
        </w:tc>
        <w:tc>
          <w:tcPr>
            <w:tcW w:w="1900" w:type="dxa"/>
          </w:tcPr>
          <w:p w14:paraId="3F5B4DA4" w14:textId="77777777" w:rsidR="004A001E" w:rsidRPr="00211D5C" w:rsidRDefault="004A001E" w:rsidP="00EF72F9">
            <w:pPr>
              <w:spacing w:after="0"/>
              <w:jc w:val="center"/>
            </w:pPr>
            <w:r w:rsidRPr="00211D5C">
              <w:t>4</w:t>
            </w:r>
          </w:p>
          <w:p w14:paraId="2CBE5915" w14:textId="77777777" w:rsidR="004A001E" w:rsidRPr="00211D5C" w:rsidRDefault="004A001E" w:rsidP="00EF72F9">
            <w:pPr>
              <w:spacing w:after="0"/>
              <w:jc w:val="center"/>
            </w:pPr>
          </w:p>
        </w:tc>
        <w:tc>
          <w:tcPr>
            <w:tcW w:w="1882" w:type="dxa"/>
          </w:tcPr>
          <w:p w14:paraId="1D6C3F91" w14:textId="77777777" w:rsidR="004A001E" w:rsidRPr="00211D5C" w:rsidRDefault="004A001E" w:rsidP="00EF72F9">
            <w:pPr>
              <w:spacing w:after="0"/>
              <w:jc w:val="center"/>
            </w:pPr>
            <w:r w:rsidRPr="00211D5C">
              <w:t>0</w:t>
            </w:r>
          </w:p>
        </w:tc>
        <w:tc>
          <w:tcPr>
            <w:tcW w:w="1895" w:type="dxa"/>
          </w:tcPr>
          <w:p w14:paraId="5CCF5559" w14:textId="77777777" w:rsidR="004A001E" w:rsidRPr="00211D5C" w:rsidRDefault="004A001E" w:rsidP="00EF72F9">
            <w:pPr>
              <w:spacing w:after="0"/>
              <w:jc w:val="center"/>
            </w:pPr>
            <w:r w:rsidRPr="00211D5C">
              <w:t>38</w:t>
            </w:r>
          </w:p>
        </w:tc>
      </w:tr>
      <w:tr w:rsidR="004A001E" w:rsidRPr="00211D5C" w14:paraId="7CC9DA7F" w14:textId="77777777" w:rsidTr="00EF72F9">
        <w:tc>
          <w:tcPr>
            <w:tcW w:w="1621" w:type="dxa"/>
            <w:vMerge/>
          </w:tcPr>
          <w:p w14:paraId="32053960" w14:textId="77777777" w:rsidR="004A001E" w:rsidRPr="00211D5C" w:rsidRDefault="004A001E" w:rsidP="00EF72F9">
            <w:pPr>
              <w:spacing w:after="0" w:line="240" w:lineRule="auto"/>
            </w:pPr>
          </w:p>
        </w:tc>
        <w:tc>
          <w:tcPr>
            <w:tcW w:w="2098" w:type="dxa"/>
          </w:tcPr>
          <w:p w14:paraId="0D76D4B8" w14:textId="77777777" w:rsidR="004A001E" w:rsidRPr="00211D5C" w:rsidRDefault="004A001E" w:rsidP="00EF72F9">
            <w:pPr>
              <w:spacing w:after="0" w:line="240" w:lineRule="auto"/>
            </w:pPr>
            <w:r w:rsidRPr="00211D5C">
              <w:t>Absence of ophthalmologic evaluation</w:t>
            </w:r>
          </w:p>
          <w:p w14:paraId="22CB5D34" w14:textId="77777777" w:rsidR="004A001E" w:rsidRPr="00211D5C" w:rsidRDefault="004A001E" w:rsidP="00EF72F9">
            <w:pPr>
              <w:spacing w:after="0" w:line="240" w:lineRule="auto"/>
              <w:jc w:val="both"/>
            </w:pPr>
            <w:r w:rsidRPr="00211D5C">
              <w:t>n=21</w:t>
            </w:r>
          </w:p>
        </w:tc>
        <w:tc>
          <w:tcPr>
            <w:tcW w:w="1900" w:type="dxa"/>
          </w:tcPr>
          <w:p w14:paraId="6EC35CDE" w14:textId="77777777" w:rsidR="004A001E" w:rsidRPr="00211D5C" w:rsidRDefault="004A001E" w:rsidP="00EF72F9">
            <w:pPr>
              <w:spacing w:after="0"/>
              <w:jc w:val="center"/>
            </w:pPr>
            <w:r w:rsidRPr="00211D5C">
              <w:t>1</w:t>
            </w:r>
          </w:p>
        </w:tc>
        <w:tc>
          <w:tcPr>
            <w:tcW w:w="1882" w:type="dxa"/>
          </w:tcPr>
          <w:p w14:paraId="57CEADB4" w14:textId="77777777" w:rsidR="004A001E" w:rsidRPr="00211D5C" w:rsidRDefault="004A001E" w:rsidP="00EF72F9">
            <w:pPr>
              <w:spacing w:after="0"/>
              <w:jc w:val="center"/>
            </w:pPr>
            <w:r w:rsidRPr="00211D5C">
              <w:t>2</w:t>
            </w:r>
          </w:p>
        </w:tc>
        <w:tc>
          <w:tcPr>
            <w:tcW w:w="1895" w:type="dxa"/>
          </w:tcPr>
          <w:p w14:paraId="2EEAB260" w14:textId="77777777" w:rsidR="004A001E" w:rsidRPr="00211D5C" w:rsidRDefault="004A001E" w:rsidP="00EF72F9">
            <w:pPr>
              <w:spacing w:after="0"/>
              <w:jc w:val="center"/>
            </w:pPr>
            <w:r w:rsidRPr="00211D5C">
              <w:t>18</w:t>
            </w:r>
          </w:p>
        </w:tc>
      </w:tr>
    </w:tbl>
    <w:p w14:paraId="259E83FF" w14:textId="77777777" w:rsidR="004A001E" w:rsidRPr="00211D5C" w:rsidRDefault="004A001E" w:rsidP="004A001E">
      <w:pPr>
        <w:jc w:val="both"/>
        <w:rPr>
          <w:rFonts w:asciiTheme="minorHAnsi" w:eastAsiaTheme="minorHAnsi" w:hAnsiTheme="minorHAnsi"/>
          <w:b/>
          <w:bCs/>
        </w:rPr>
      </w:pPr>
      <w:r w:rsidRPr="00211D5C">
        <w:rPr>
          <w:b/>
          <w:bCs/>
          <w:iCs/>
          <w:u w:val="single"/>
        </w:rPr>
        <w:t>Abbreviations</w:t>
      </w:r>
      <w:r w:rsidRPr="00211D5C">
        <w:rPr>
          <w:b/>
          <w:bCs/>
        </w:rPr>
        <w:t>: WBRT = whole-brain radiotherapy</w:t>
      </w:r>
    </w:p>
    <w:p w14:paraId="4D3A93D8" w14:textId="134292EA" w:rsidR="004A001E" w:rsidRPr="00211D5C" w:rsidRDefault="00E558B7" w:rsidP="004A001E">
      <w:pPr>
        <w:jc w:val="both"/>
      </w:pPr>
      <w:r>
        <w:t>Supplementary d</w:t>
      </w:r>
      <w:r w:rsidR="005D73D7">
        <w:t>ata 5</w:t>
      </w:r>
      <w:r w:rsidR="004A001E" w:rsidRPr="00211D5C">
        <w:t>: Irradiation of the eyes according to intraocular lymphomatous status at diagnosis</w:t>
      </w:r>
    </w:p>
    <w:p w14:paraId="2EA0E74A" w14:textId="77777777" w:rsidR="004A001E" w:rsidRPr="00211D5C" w:rsidRDefault="004A001E" w:rsidP="00005AC8">
      <w:pPr>
        <w:jc w:val="both"/>
      </w:pPr>
    </w:p>
    <w:p w14:paraId="2CBF628B" w14:textId="0CFFB48E" w:rsidR="00C062EF" w:rsidRPr="00211D5C" w:rsidRDefault="006C4FFE">
      <w:pPr>
        <w:spacing w:after="160" w:line="259" w:lineRule="auto"/>
      </w:pPr>
      <w:r w:rsidRPr="00211D5C">
        <w:br w:type="page"/>
      </w:r>
    </w:p>
    <w:tbl>
      <w:tblPr>
        <w:tblStyle w:val="TableGrid"/>
        <w:tblpPr w:leftFromText="180" w:rightFromText="180" w:tblpY="780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A646FE" w:rsidRPr="00211D5C" w14:paraId="2D066FA0" w14:textId="77777777" w:rsidTr="00C54B21">
        <w:tc>
          <w:tcPr>
            <w:tcW w:w="4698" w:type="dxa"/>
          </w:tcPr>
          <w:p w14:paraId="18A6B127" w14:textId="77777777" w:rsidR="00C062EF" w:rsidRPr="00211D5C" w:rsidRDefault="00C062EF" w:rsidP="00C54B21">
            <w:pPr>
              <w:rPr>
                <w:rFonts w:ascii="Times New Roman" w:hAnsi="Times New Roman"/>
              </w:rPr>
            </w:pPr>
          </w:p>
        </w:tc>
        <w:tc>
          <w:tcPr>
            <w:tcW w:w="4698" w:type="dxa"/>
          </w:tcPr>
          <w:p w14:paraId="4DE6DF04" w14:textId="77777777" w:rsidR="00C062EF" w:rsidRPr="00211D5C" w:rsidRDefault="006C4FFE" w:rsidP="00C54B21">
            <w:r w:rsidRPr="00211D5C">
              <w:t>Guidelines for the delineation of the boost</w:t>
            </w:r>
          </w:p>
        </w:tc>
      </w:tr>
      <w:tr w:rsidR="00A646FE" w:rsidRPr="00211D5C" w14:paraId="22014105" w14:textId="77777777" w:rsidTr="00C54B21">
        <w:tc>
          <w:tcPr>
            <w:tcW w:w="4698" w:type="dxa"/>
          </w:tcPr>
          <w:p w14:paraId="6AF5186D" w14:textId="2140C1A6" w:rsidR="00C062EF" w:rsidRPr="00211D5C" w:rsidRDefault="006C4FFE" w:rsidP="00E558B7">
            <w:bookmarkStart w:id="1" w:name="_Hlk110506035"/>
            <w:r w:rsidRPr="00211D5C">
              <w:rPr>
                <w:i/>
                <w:iCs/>
              </w:rPr>
              <w:t xml:space="preserve">Guidelines for the diagnosis and management of PCNSL, 2019 </w:t>
            </w:r>
            <w:bookmarkEnd w:id="1"/>
            <w:r w:rsidR="00E558B7">
              <w:rPr>
                <w:i/>
                <w:iCs/>
              </w:rPr>
              <w:t>(14)</w:t>
            </w:r>
          </w:p>
        </w:tc>
        <w:tc>
          <w:tcPr>
            <w:tcW w:w="4698" w:type="dxa"/>
          </w:tcPr>
          <w:p w14:paraId="57B6FC7E" w14:textId="77777777" w:rsidR="00C062EF" w:rsidRPr="00211D5C" w:rsidRDefault="006C4FFE" w:rsidP="00C54B21">
            <w:bookmarkStart w:id="2" w:name="_Hlk110506110"/>
            <w:r w:rsidRPr="00211D5C">
              <w:t>Residual contrast-enhancing lesion(s) after induction CT + 1 to 2 cm margins</w:t>
            </w:r>
            <w:bookmarkEnd w:id="2"/>
          </w:p>
        </w:tc>
      </w:tr>
      <w:tr w:rsidR="00A646FE" w:rsidRPr="00211D5C" w14:paraId="4051B7D3" w14:textId="77777777" w:rsidTr="00C54B21">
        <w:tc>
          <w:tcPr>
            <w:tcW w:w="4698" w:type="dxa"/>
          </w:tcPr>
          <w:p w14:paraId="25282F17" w14:textId="3760703F" w:rsidR="00C062EF" w:rsidRPr="00211D5C" w:rsidRDefault="006C4FFE" w:rsidP="00C54B21">
            <w:r w:rsidRPr="00211D5C">
              <w:rPr>
                <w:i/>
                <w:iCs/>
              </w:rPr>
              <w:t>NCCN guidelines CNS Cancers, v3.2020</w:t>
            </w:r>
            <w:r w:rsidR="00E558B7">
              <w:rPr>
                <w:i/>
                <w:iCs/>
              </w:rPr>
              <w:t xml:space="preserve"> (23)</w:t>
            </w:r>
          </w:p>
        </w:tc>
        <w:tc>
          <w:tcPr>
            <w:tcW w:w="4698" w:type="dxa"/>
          </w:tcPr>
          <w:p w14:paraId="11A349C5" w14:textId="77777777" w:rsidR="00C062EF" w:rsidRPr="00211D5C" w:rsidRDefault="006C4FFE" w:rsidP="00C54B21">
            <w:r w:rsidRPr="00211D5C">
              <w:t>Unspecified</w:t>
            </w:r>
          </w:p>
        </w:tc>
      </w:tr>
      <w:tr w:rsidR="00A646FE" w:rsidRPr="00211D5C" w14:paraId="099188FD" w14:textId="77777777" w:rsidTr="00C54B21">
        <w:tc>
          <w:tcPr>
            <w:tcW w:w="4698" w:type="dxa"/>
          </w:tcPr>
          <w:p w14:paraId="1A05E868" w14:textId="320E2C2E" w:rsidR="00C062EF" w:rsidRPr="00211D5C" w:rsidRDefault="006C4FFE" w:rsidP="00E558B7">
            <w:pPr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211D5C">
              <w:rPr>
                <w:rFonts w:ascii="Times New Roman" w:hAnsi="Times New Roman"/>
                <w:i/>
                <w:iCs/>
                <w:color w:val="000000" w:themeColor="text1"/>
              </w:rPr>
              <w:t xml:space="preserve">Nelson et al, 1992 </w:t>
            </w:r>
            <w:r w:rsidR="002C7E2E">
              <w:rPr>
                <w:rFonts w:ascii="Times New Roman" w:hAnsi="Times New Roman"/>
                <w:i/>
                <w:iCs/>
                <w:color w:val="000000" w:themeColor="text1"/>
              </w:rPr>
              <w:t>(36</w:t>
            </w:r>
            <w:r w:rsidR="00E558B7">
              <w:rPr>
                <w:rFonts w:ascii="Times New Roman" w:hAnsi="Times New Roman"/>
                <w:i/>
                <w:iCs/>
                <w:color w:val="000000" w:themeColor="text1"/>
              </w:rPr>
              <w:t>)</w:t>
            </w:r>
          </w:p>
        </w:tc>
        <w:tc>
          <w:tcPr>
            <w:tcW w:w="4698" w:type="dxa"/>
          </w:tcPr>
          <w:p w14:paraId="6FB18D95" w14:textId="77777777" w:rsidR="00C062EF" w:rsidRPr="00211D5C" w:rsidRDefault="006C4FFE" w:rsidP="00C54B21">
            <w:r w:rsidRPr="00211D5C">
              <w:t>Initial contrast-enhancing lesion(s) + 2 cm margin</w:t>
            </w:r>
          </w:p>
        </w:tc>
      </w:tr>
      <w:tr w:rsidR="00A646FE" w:rsidRPr="00211D5C" w14:paraId="647AA463" w14:textId="77777777" w:rsidTr="00C54B21">
        <w:tc>
          <w:tcPr>
            <w:tcW w:w="4698" w:type="dxa"/>
          </w:tcPr>
          <w:p w14:paraId="2F410F21" w14:textId="7E458675" w:rsidR="00C062EF" w:rsidRPr="00211D5C" w:rsidRDefault="006C4FFE" w:rsidP="00E558B7">
            <w:pPr>
              <w:rPr>
                <w:i/>
                <w:iCs/>
              </w:rPr>
            </w:pPr>
            <w:r w:rsidRPr="00211D5C">
              <w:rPr>
                <w:i/>
                <w:iCs/>
              </w:rPr>
              <w:t xml:space="preserve">Reni et al, 1997 </w:t>
            </w:r>
            <w:r w:rsidR="002C7E2E">
              <w:rPr>
                <w:i/>
                <w:iCs/>
              </w:rPr>
              <w:t>(40</w:t>
            </w:r>
            <w:r w:rsidR="00E558B7">
              <w:rPr>
                <w:i/>
                <w:iCs/>
              </w:rPr>
              <w:t>)</w:t>
            </w:r>
          </w:p>
        </w:tc>
        <w:tc>
          <w:tcPr>
            <w:tcW w:w="4698" w:type="dxa"/>
          </w:tcPr>
          <w:p w14:paraId="6DEE27D2" w14:textId="77777777" w:rsidR="00C062EF" w:rsidRPr="00211D5C" w:rsidRDefault="006C4FFE" w:rsidP="00C54B21">
            <w:r w:rsidRPr="00211D5C">
              <w:t>Unspecified</w:t>
            </w:r>
          </w:p>
        </w:tc>
      </w:tr>
    </w:tbl>
    <w:p w14:paraId="0251D6B6" w14:textId="77777777" w:rsidR="00C062EF" w:rsidRPr="00211D5C" w:rsidRDefault="00C062EF" w:rsidP="00C062EF">
      <w:pPr>
        <w:jc w:val="both"/>
      </w:pPr>
    </w:p>
    <w:p w14:paraId="7D082625" w14:textId="7A83E38A" w:rsidR="00C062EF" w:rsidRPr="00211D5C" w:rsidRDefault="00C062EF" w:rsidP="00C062EF">
      <w:pPr>
        <w:jc w:val="both"/>
      </w:pPr>
    </w:p>
    <w:p w14:paraId="14342F17" w14:textId="0D42AA15" w:rsidR="00624B9B" w:rsidRPr="00624B9B" w:rsidRDefault="006C4FFE" w:rsidP="00624B9B">
      <w:r w:rsidRPr="00211D5C">
        <w:rPr>
          <w:b/>
          <w:bCs/>
          <w:iCs/>
          <w:u w:val="single"/>
        </w:rPr>
        <w:t>Abbreviations</w:t>
      </w:r>
      <w:r w:rsidRPr="00211D5C">
        <w:rPr>
          <w:b/>
          <w:bCs/>
        </w:rPr>
        <w:t>: RT = radiotherapy</w:t>
      </w:r>
    </w:p>
    <w:p w14:paraId="4A42F934" w14:textId="79381D37" w:rsidR="00624B9B" w:rsidRDefault="005D73D7" w:rsidP="00624B9B">
      <w:pPr>
        <w:jc w:val="both"/>
        <w:rPr>
          <w:rFonts w:asciiTheme="minorHAnsi" w:hAnsiTheme="minorHAnsi" w:cstheme="minorHAnsi"/>
        </w:rPr>
      </w:pPr>
      <w:r>
        <w:t>Supplementary data 6</w:t>
      </w:r>
      <w:r w:rsidR="00624B9B" w:rsidRPr="00211D5C">
        <w:t xml:space="preserve">: Review of the recommendations from the </w:t>
      </w:r>
      <w:r w:rsidR="00624B9B" w:rsidRPr="00211D5C">
        <w:rPr>
          <w:rFonts w:asciiTheme="minorHAnsi" w:hAnsiTheme="minorHAnsi" w:cstheme="minorHAnsi"/>
        </w:rPr>
        <w:t>different guidelines and studies with patients treated for newly diagnosed PCNSL with an irradiation boost</w:t>
      </w:r>
    </w:p>
    <w:p w14:paraId="75410299" w14:textId="065F0A26" w:rsidR="00624B9B" w:rsidRPr="00211D5C" w:rsidRDefault="00624B9B" w:rsidP="00C062EF">
      <w:pPr>
        <w:jc w:val="both"/>
      </w:pPr>
    </w:p>
    <w:p w14:paraId="3E9B1444" w14:textId="2668265D" w:rsidR="00C062EF" w:rsidRPr="00211D5C" w:rsidRDefault="00C062EF" w:rsidP="00E558B7">
      <w:pPr>
        <w:spacing w:after="160" w:line="259" w:lineRule="auto"/>
      </w:pPr>
    </w:p>
    <w:p w14:paraId="70B96E33" w14:textId="14C58335" w:rsidR="00C062EF" w:rsidRPr="00211D5C" w:rsidRDefault="00C062EF" w:rsidP="00C062EF"/>
    <w:p w14:paraId="78473249" w14:textId="5E6116E6" w:rsidR="00C062EF" w:rsidRPr="00211D5C" w:rsidRDefault="00C062EF" w:rsidP="00C062EF"/>
    <w:p w14:paraId="4DB86379" w14:textId="3585087D" w:rsidR="00C062EF" w:rsidRDefault="00C062EF" w:rsidP="00C062EF"/>
    <w:p w14:paraId="4BA37994" w14:textId="597BF842" w:rsidR="00E558B7" w:rsidRDefault="00E558B7" w:rsidP="00C062EF"/>
    <w:p w14:paraId="03EFDF7C" w14:textId="245D53EB" w:rsidR="00E558B7" w:rsidRDefault="00E558B7" w:rsidP="00C062EF"/>
    <w:bookmarkEnd w:id="0"/>
    <w:p w14:paraId="2B6916DE" w14:textId="799F1AD6" w:rsidR="00E558B7" w:rsidRDefault="00E558B7" w:rsidP="00C062EF"/>
    <w:sectPr w:rsidR="00E558B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858F3" w14:textId="77777777" w:rsidR="000B29E5" w:rsidRDefault="000B29E5" w:rsidP="0037119F">
      <w:pPr>
        <w:spacing w:after="0" w:line="240" w:lineRule="auto"/>
      </w:pPr>
      <w:r>
        <w:separator/>
      </w:r>
    </w:p>
  </w:endnote>
  <w:endnote w:type="continuationSeparator" w:id="0">
    <w:p w14:paraId="7F7E3151" w14:textId="77777777" w:rsidR="000B29E5" w:rsidRDefault="000B29E5" w:rsidP="0037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D33B6" w14:textId="77777777" w:rsidR="000B29E5" w:rsidRDefault="000B29E5" w:rsidP="0037119F">
      <w:pPr>
        <w:spacing w:after="0" w:line="240" w:lineRule="auto"/>
      </w:pPr>
      <w:r>
        <w:separator/>
      </w:r>
    </w:p>
  </w:footnote>
  <w:footnote w:type="continuationSeparator" w:id="0">
    <w:p w14:paraId="746CC1D0" w14:textId="77777777" w:rsidR="000B29E5" w:rsidRDefault="000B29E5" w:rsidP="0037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87A9E7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C8B5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1A63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77875E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810835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A6AB7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283FD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01FB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3A6B7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FE86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4833A2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6D104E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A05531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activeWritingStyle w:appName="MSWord" w:lang="en-US" w:vendorID="64" w:dllVersion="131078" w:nlCheck="1" w:checkStyle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EF"/>
    <w:rsid w:val="00005AC8"/>
    <w:rsid w:val="00084825"/>
    <w:rsid w:val="000A4007"/>
    <w:rsid w:val="000B29E5"/>
    <w:rsid w:val="0014422B"/>
    <w:rsid w:val="00173B48"/>
    <w:rsid w:val="00201829"/>
    <w:rsid w:val="00211D5C"/>
    <w:rsid w:val="00225211"/>
    <w:rsid w:val="00246995"/>
    <w:rsid w:val="00265AB1"/>
    <w:rsid w:val="002C7E2E"/>
    <w:rsid w:val="0037119F"/>
    <w:rsid w:val="004A001E"/>
    <w:rsid w:val="004D294C"/>
    <w:rsid w:val="00536264"/>
    <w:rsid w:val="005B45F8"/>
    <w:rsid w:val="005D73D7"/>
    <w:rsid w:val="00624B9B"/>
    <w:rsid w:val="00696C53"/>
    <w:rsid w:val="006C047B"/>
    <w:rsid w:val="006C4FFE"/>
    <w:rsid w:val="007B1373"/>
    <w:rsid w:val="008F52B0"/>
    <w:rsid w:val="0096331C"/>
    <w:rsid w:val="00A252FA"/>
    <w:rsid w:val="00A646FE"/>
    <w:rsid w:val="00AF67A3"/>
    <w:rsid w:val="00C062EF"/>
    <w:rsid w:val="00C07EEF"/>
    <w:rsid w:val="00C54B21"/>
    <w:rsid w:val="00D23156"/>
    <w:rsid w:val="00D23316"/>
    <w:rsid w:val="00D27597"/>
    <w:rsid w:val="00D46652"/>
    <w:rsid w:val="00DA1904"/>
    <w:rsid w:val="00DF3B61"/>
    <w:rsid w:val="00E05B43"/>
    <w:rsid w:val="00E558B7"/>
    <w:rsid w:val="00E7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3AAA81"/>
  <w15:chartTrackingRefBased/>
  <w15:docId w15:val="{D0179861-F9B0-47A6-9DC5-08CB15DE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2E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D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62EF"/>
    <w:pPr>
      <w:keepNext/>
      <w:keepLines/>
      <w:spacing w:after="0" w:line="480" w:lineRule="auto"/>
      <w:jc w:val="both"/>
      <w:outlineLvl w:val="1"/>
    </w:pPr>
    <w:rPr>
      <w:rFonts w:ascii="Times New Roman" w:eastAsiaTheme="majorEastAsia" w:hAnsi="Times New Roman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D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D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D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D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D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D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D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062EF"/>
    <w:rPr>
      <w:rFonts w:ascii="Times New Roman" w:eastAsiaTheme="majorEastAsia" w:hAnsi="Times New Roman" w:cs="Times New Roman"/>
      <w:b/>
      <w:bCs/>
      <w:color w:val="000000" w:themeColor="text1"/>
      <w:lang w:val="fr-FR"/>
    </w:rPr>
  </w:style>
  <w:style w:type="character" w:styleId="Hyperlink">
    <w:name w:val="Hyperlink"/>
    <w:basedOn w:val="DefaultParagraphFont"/>
    <w:uiPriority w:val="99"/>
    <w:unhideWhenUsed/>
    <w:rsid w:val="00C062E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06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ahoma" w:eastAsia="Calibri" w:hAnsi="Tahoma" w:cs="Tahoma"/>
      <w:sz w:val="16"/>
      <w:szCs w:val="20"/>
    </w:rPr>
  </w:style>
  <w:style w:type="paragraph" w:styleId="Revision">
    <w:name w:val="Revision"/>
    <w:hidden/>
    <w:uiPriority w:val="99"/>
    <w:semiHidden/>
    <w:rsid w:val="00DA1904"/>
    <w:pPr>
      <w:spacing w:after="0" w:line="240" w:lineRule="auto"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B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B43"/>
    <w:rPr>
      <w:rFonts w:ascii="Tahoma" w:eastAsia="Calibri" w:hAnsi="Tahoma" w:cs="Tahoma"/>
      <w:b/>
      <w:bCs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D5C"/>
    <w:pPr>
      <w:spacing w:after="0" w:line="240" w:lineRule="auto"/>
    </w:pPr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D5C"/>
    <w:rPr>
      <w:rFonts w:ascii="Tahoma" w:eastAsia="Calibri" w:hAnsi="Tahoma" w:cs="Tahoma"/>
      <w:sz w:val="16"/>
      <w:szCs w:val="18"/>
    </w:rPr>
  </w:style>
  <w:style w:type="numbering" w:styleId="111111">
    <w:name w:val="Outline List 2"/>
    <w:basedOn w:val="NoList"/>
    <w:uiPriority w:val="99"/>
    <w:semiHidden/>
    <w:unhideWhenUsed/>
    <w:rsid w:val="00211D5C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211D5C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211D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D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D5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D5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D5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D5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D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D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211D5C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37"/>
    <w:unhideWhenUsed/>
    <w:rsid w:val="00211D5C"/>
    <w:pPr>
      <w:tabs>
        <w:tab w:val="left" w:pos="384"/>
      </w:tabs>
      <w:spacing w:after="240" w:line="240" w:lineRule="auto"/>
      <w:ind w:left="384" w:hanging="384"/>
    </w:pPr>
  </w:style>
  <w:style w:type="paragraph" w:styleId="BlockText">
    <w:name w:val="Block Text"/>
    <w:basedOn w:val="Normal"/>
    <w:uiPriority w:val="99"/>
    <w:semiHidden/>
    <w:unhideWhenUsed/>
    <w:rsid w:val="00211D5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11D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1D5C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11D5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11D5C"/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11D5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11D5C"/>
    <w:rPr>
      <w:rFonts w:ascii="Calibri" w:eastAsia="Calibri" w:hAnsi="Calibri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11D5C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11D5C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11D5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11D5C"/>
    <w:rPr>
      <w:rFonts w:ascii="Calibri" w:eastAsia="Calibri" w:hAnsi="Calibri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11D5C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11D5C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11D5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11D5C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11D5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11D5C"/>
    <w:rPr>
      <w:rFonts w:ascii="Calibri" w:eastAsia="Calibri" w:hAnsi="Calibri" w:cs="Times New Roman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211D5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1D5C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11D5C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11D5C"/>
    <w:rPr>
      <w:rFonts w:ascii="Calibri" w:eastAsia="Calibri" w:hAnsi="Calibri" w:cs="Times New Roman"/>
    </w:rPr>
  </w:style>
  <w:style w:type="table" w:styleId="ColorfulGrid">
    <w:name w:val="Colorful Grid"/>
    <w:basedOn w:val="TableNormal"/>
    <w:uiPriority w:val="73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11D5C"/>
  </w:style>
  <w:style w:type="character" w:customStyle="1" w:styleId="DateChar">
    <w:name w:val="Date Char"/>
    <w:basedOn w:val="DefaultParagraphFont"/>
    <w:link w:val="Date"/>
    <w:uiPriority w:val="99"/>
    <w:semiHidden/>
    <w:rsid w:val="00211D5C"/>
    <w:rPr>
      <w:rFonts w:ascii="Calibri" w:eastAsia="Calibri" w:hAnsi="Calibri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11D5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11D5C"/>
    <w:rPr>
      <w:rFonts w:ascii="Segoe UI" w:eastAsia="Calibr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11D5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11D5C"/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211D5C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11D5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11D5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11D5C"/>
    <w:rPr>
      <w:rFonts w:ascii="Calibri" w:eastAsia="Calibri" w:hAnsi="Calibri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11D5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11D5C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11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D5C"/>
    <w:rPr>
      <w:rFonts w:ascii="Calibri" w:eastAsia="Calibri" w:hAnsi="Calibri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211D5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1D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1D5C"/>
    <w:rPr>
      <w:rFonts w:ascii="Calibri" w:eastAsia="Calibri" w:hAnsi="Calibri" w:cs="Times New Roman"/>
      <w:sz w:val="20"/>
      <w:szCs w:val="20"/>
    </w:rPr>
  </w:style>
  <w:style w:type="table" w:styleId="GridTable1Light">
    <w:name w:val="Grid Table 1 Light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11D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11D5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11D5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11D5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11D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11D5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11D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11D5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11D5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11D5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11D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11D5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rsid w:val="00211D5C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11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D5C"/>
    <w:rPr>
      <w:rFonts w:ascii="Calibri" w:eastAsia="Calibri" w:hAnsi="Calibri" w:cs="Times New Roman"/>
    </w:rPr>
  </w:style>
  <w:style w:type="character" w:styleId="HTMLAcronym">
    <w:name w:val="HTML Acronym"/>
    <w:basedOn w:val="DefaultParagraphFont"/>
    <w:uiPriority w:val="99"/>
    <w:semiHidden/>
    <w:unhideWhenUsed/>
    <w:rsid w:val="00211D5C"/>
  </w:style>
  <w:style w:type="paragraph" w:styleId="HTMLAddress">
    <w:name w:val="HTML Address"/>
    <w:basedOn w:val="Normal"/>
    <w:link w:val="HTMLAddressChar"/>
    <w:uiPriority w:val="99"/>
    <w:semiHidden/>
    <w:unhideWhenUsed/>
    <w:rsid w:val="00211D5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11D5C"/>
    <w:rPr>
      <w:rFonts w:ascii="Calibri" w:eastAsia="Calibri" w:hAnsi="Calibri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11D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11D5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11D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11D5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11D5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11D5C"/>
    <w:rPr>
      <w:rFonts w:ascii="Consolas" w:eastAsia="Calibri" w:hAnsi="Consolas" w:cs="Times New Roman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11D5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11D5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11D5C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211D5C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211D5C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211D5C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211D5C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211D5C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211D5C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211D5C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211D5C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211D5C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11D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211D5C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D5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D5C"/>
    <w:rPr>
      <w:rFonts w:ascii="Calibri" w:eastAsia="Calibri" w:hAnsi="Calibri" w:cs="Times New Roman"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211D5C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11D5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11D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11D5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11D5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11D5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11D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11D5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11D5C"/>
  </w:style>
  <w:style w:type="paragraph" w:styleId="List">
    <w:name w:val="List"/>
    <w:basedOn w:val="Normal"/>
    <w:uiPriority w:val="99"/>
    <w:semiHidden/>
    <w:unhideWhenUsed/>
    <w:rsid w:val="00211D5C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11D5C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11D5C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11D5C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11D5C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11D5C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11D5C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11D5C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11D5C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11D5C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11D5C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11D5C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11D5C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11D5C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11D5C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11D5C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11D5C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11D5C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11D5C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11D5C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211D5C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11D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11D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11D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11D5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11D5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11D5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11D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11D5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11D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11D5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11D5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11D5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11D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11D5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11D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eastAsia="Calibri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11D5C"/>
    <w:rPr>
      <w:rFonts w:ascii="Consolas" w:eastAsia="Calibri" w:hAnsi="Consolas" w:cs="Times New Roman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11D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11D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11D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rsid w:val="00211D5C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11D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11D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211D5C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11D5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11D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11D5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11D5C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211D5C"/>
  </w:style>
  <w:style w:type="character" w:styleId="PlaceholderText">
    <w:name w:val="Placeholder Text"/>
    <w:basedOn w:val="DefaultParagraphFont"/>
    <w:uiPriority w:val="99"/>
    <w:semiHidden/>
    <w:rsid w:val="00211D5C"/>
    <w:rPr>
      <w:color w:val="808080"/>
    </w:rPr>
  </w:style>
  <w:style w:type="table" w:styleId="PlainTable1">
    <w:name w:val="Plain Table 1"/>
    <w:basedOn w:val="TableNormal"/>
    <w:uiPriority w:val="41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11D5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11D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11D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11D5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11D5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11D5C"/>
    <w:rPr>
      <w:rFonts w:ascii="Consolas" w:eastAsia="Calibri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211D5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D5C"/>
    <w:rPr>
      <w:rFonts w:ascii="Calibri" w:eastAsia="Calibri" w:hAnsi="Calibri" w:cs="Times New Roman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11D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11D5C"/>
    <w:rPr>
      <w:rFonts w:ascii="Calibri" w:eastAsia="Calibri" w:hAnsi="Calibri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11D5C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11D5C"/>
    <w:rPr>
      <w:rFonts w:ascii="Calibri" w:eastAsia="Calibri" w:hAnsi="Calibri" w:cs="Times New Roman"/>
    </w:rPr>
  </w:style>
  <w:style w:type="character" w:customStyle="1" w:styleId="SmartHyperlink">
    <w:name w:val="Smart Hyperlink"/>
    <w:basedOn w:val="DefaultParagraphFont"/>
    <w:uiPriority w:val="99"/>
    <w:rsid w:val="00211D5C"/>
    <w:rPr>
      <w:u w:val="dotted"/>
    </w:rPr>
  </w:style>
  <w:style w:type="character" w:customStyle="1" w:styleId="SmartLink">
    <w:name w:val="Smart Link"/>
    <w:basedOn w:val="DefaultParagraphFont"/>
    <w:uiPriority w:val="99"/>
    <w:rsid w:val="00211D5C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211D5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D5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11D5C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211D5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11D5C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11D5C"/>
    <w:pPr>
      <w:spacing w:after="200" w:line="276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11D5C"/>
    <w:pPr>
      <w:spacing w:after="200" w:line="276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11D5C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11D5C"/>
    <w:pPr>
      <w:spacing w:after="200" w:line="276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11D5C"/>
    <w:pPr>
      <w:spacing w:after="200" w:line="276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11D5C"/>
    <w:pPr>
      <w:spacing w:after="200" w:line="276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11D5C"/>
    <w:pPr>
      <w:spacing w:after="200" w:line="276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11D5C"/>
    <w:pPr>
      <w:spacing w:after="200" w:line="276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11D5C"/>
    <w:pPr>
      <w:spacing w:after="20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11D5C"/>
    <w:pPr>
      <w:spacing w:after="200" w:line="276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11D5C"/>
    <w:pPr>
      <w:spacing w:after="200" w:line="276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11D5C"/>
    <w:pPr>
      <w:spacing w:after="200" w:line="276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11D5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11D5C"/>
    <w:pPr>
      <w:spacing w:after="200" w:line="276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11D5C"/>
    <w:pPr>
      <w:spacing w:after="200" w:line="276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11D5C"/>
    <w:pPr>
      <w:spacing w:after="200" w:line="276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11D5C"/>
    <w:pPr>
      <w:spacing w:after="200" w:line="276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11D5C"/>
    <w:pPr>
      <w:spacing w:after="200" w:line="276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11D5C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11D5C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11D5C"/>
    <w:pPr>
      <w:spacing w:after="200" w:line="276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11D5C"/>
    <w:pPr>
      <w:spacing w:after="200" w:line="276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11D5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11D5C"/>
    <w:pPr>
      <w:spacing w:after="200" w:line="27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11D5C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11D5C"/>
    <w:pPr>
      <w:spacing w:after="200" w:line="276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11D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11D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211D5C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211D5C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211D5C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211D5C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211D5C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211D5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211D5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211D5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211D5C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1D5C"/>
    <w:pPr>
      <w:outlineLvl w:val="9"/>
    </w:pPr>
  </w:style>
  <w:style w:type="character" w:customStyle="1" w:styleId="UnresolvedMention">
    <w:name w:val="Unresolved Mention"/>
    <w:basedOn w:val="DefaultParagraphFont"/>
    <w:uiPriority w:val="99"/>
    <w:rsid w:val="00211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JOULIE Alice</dc:creator>
  <cp:lastModifiedBy>Nagalakshmi Selvam</cp:lastModifiedBy>
  <cp:revision>3</cp:revision>
  <dcterms:created xsi:type="dcterms:W3CDTF">2023-05-25T13:52:00Z</dcterms:created>
  <dcterms:modified xsi:type="dcterms:W3CDTF">2023-06-10T06:06:00Z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id="1H8RUYDd"/&gt;&lt;style id="http://www.zotero.org/styles/vancouver" locale="en-GB" hasBibliography="1" bibliographyStyleHasBeenSet="1"/&gt;&lt;prefs&gt;&lt;pref name="fieldType" value="Field"/&gt;&lt;/prefs&gt;&lt;/data&gt;</vt:lpwstr>
  </property>
</Properties>
</file>