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C39BE" w14:textId="15D722CD" w:rsidR="00E40B78" w:rsidRDefault="002A0A9E">
      <w:pPr>
        <w:rPr>
          <w:rFonts w:eastAsia="Times New Roman" w:cstheme="minorHAnsi"/>
          <w:b/>
          <w:kern w:val="0"/>
          <w:sz w:val="30"/>
          <w:szCs w:val="30"/>
          <w:u w:val="single"/>
          <w:lang w:val="en-GB" w:eastAsia="en-GB"/>
          <w14:ligatures w14:val="none"/>
        </w:rPr>
      </w:pPr>
      <w:bookmarkStart w:id="0" w:name="_GoBack"/>
      <w:bookmarkEnd w:id="0"/>
      <w:r w:rsidRPr="002A0A9E">
        <w:rPr>
          <w:rFonts w:eastAsia="Times New Roman" w:cstheme="minorHAnsi"/>
          <w:b/>
          <w:kern w:val="0"/>
          <w:sz w:val="30"/>
          <w:szCs w:val="30"/>
          <w:u w:val="single"/>
          <w:lang w:val="en-GB" w:eastAsia="en-GB"/>
          <w14:ligatures w14:val="none"/>
        </w:rPr>
        <w:t>Supplementary materials</w:t>
      </w:r>
    </w:p>
    <w:p w14:paraId="73749FE5" w14:textId="77777777" w:rsidR="00CD4CC5" w:rsidRDefault="00CD4CC5">
      <w:pPr>
        <w:rPr>
          <w:rFonts w:eastAsia="Times New Roman" w:cstheme="minorHAnsi"/>
          <w:b/>
          <w:kern w:val="0"/>
          <w:sz w:val="30"/>
          <w:szCs w:val="30"/>
          <w:u w:val="single"/>
          <w:lang w:val="en-GB" w:eastAsia="en-GB"/>
          <w14:ligatures w14:val="none"/>
        </w:rPr>
      </w:pPr>
    </w:p>
    <w:p w14:paraId="380858B2" w14:textId="77777777" w:rsidR="00CD4CC5" w:rsidRPr="00022DFE" w:rsidRDefault="00CD4CC5" w:rsidP="00CD4CC5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22DFE">
        <w:rPr>
          <w:rFonts w:ascii="Times New Roman" w:hAnsi="Times New Roman" w:cs="Times New Roman"/>
          <w:b/>
          <w:bCs/>
          <w:sz w:val="28"/>
          <w:szCs w:val="28"/>
          <w:lang w:val="en-US"/>
        </w:rPr>
        <w:t>Hybrid planning techniques for early stage left-sided breast cancer: dose distribution analysis and estimation of projected secondary cancer relative risk.</w:t>
      </w:r>
    </w:p>
    <w:p w14:paraId="333F8805" w14:textId="77777777" w:rsidR="00CD4CC5" w:rsidRPr="00D63FBB" w:rsidRDefault="00CD4CC5" w:rsidP="00CD4CC5">
      <w:pPr>
        <w:spacing w:line="48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D63FBB">
        <w:rPr>
          <w:rFonts w:ascii="Times New Roman" w:hAnsi="Times New Roman" w:cs="Times New Roman"/>
          <w:sz w:val="28"/>
          <w:szCs w:val="28"/>
        </w:rPr>
        <w:t>Iga Racka</w:t>
      </w:r>
      <w:r w:rsidRPr="00D63FBB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D63FBB">
        <w:rPr>
          <w:rFonts w:ascii="Times New Roman" w:hAnsi="Times New Roman" w:cs="Times New Roman"/>
          <w:sz w:val="28"/>
          <w:szCs w:val="28"/>
        </w:rPr>
        <w:t>*, Karolina Majewska</w:t>
      </w:r>
      <w:r w:rsidRPr="00D63FBB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D63FBB">
        <w:rPr>
          <w:rFonts w:ascii="Times New Roman" w:hAnsi="Times New Roman" w:cs="Times New Roman"/>
          <w:sz w:val="28"/>
          <w:szCs w:val="28"/>
        </w:rPr>
        <w:t>, Janusz Winiecki</w:t>
      </w:r>
      <w:r w:rsidRPr="00D63FBB">
        <w:rPr>
          <w:rFonts w:ascii="Times New Roman" w:hAnsi="Times New Roman" w:cs="Times New Roman"/>
          <w:sz w:val="28"/>
          <w:szCs w:val="28"/>
          <w:vertAlign w:val="superscript"/>
        </w:rPr>
        <w:t>a,b</w:t>
      </w:r>
      <w:r w:rsidRPr="00D63FBB">
        <w:rPr>
          <w:rFonts w:ascii="Times New Roman" w:hAnsi="Times New Roman" w:cs="Times New Roman"/>
          <w:sz w:val="28"/>
          <w:szCs w:val="28"/>
        </w:rPr>
        <w:t>, Karolina Kiluk</w:t>
      </w:r>
      <w:r w:rsidRPr="00D63FBB">
        <w:rPr>
          <w:rFonts w:ascii="Times New Roman" w:hAnsi="Times New Roman" w:cs="Times New Roman"/>
          <w:sz w:val="28"/>
          <w:szCs w:val="28"/>
          <w:vertAlign w:val="superscript"/>
        </w:rPr>
        <w:t>c</w:t>
      </w:r>
    </w:p>
    <w:p w14:paraId="2751FC1D" w14:textId="77777777" w:rsidR="00CD4CC5" w:rsidRPr="008B4E17" w:rsidRDefault="00CD4CC5" w:rsidP="00CD4CC5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B4E1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 xml:space="preserve">a </w:t>
      </w:r>
      <w:r w:rsidRPr="008B4E1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Medical Physics Department, Prof. Franciszek </w:t>
      </w:r>
      <w:proofErr w:type="spellStart"/>
      <w:r w:rsidRPr="008B4E17">
        <w:rPr>
          <w:rFonts w:ascii="Times New Roman" w:hAnsi="Times New Roman" w:cs="Times New Roman"/>
          <w:i/>
          <w:iCs/>
          <w:sz w:val="24"/>
          <w:szCs w:val="24"/>
          <w:lang w:val="en-US"/>
        </w:rPr>
        <w:t>Łukaszczyk</w:t>
      </w:r>
      <w:proofErr w:type="spellEnd"/>
      <w:r w:rsidRPr="008B4E1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Memorial Oncology Cent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er</w:t>
      </w:r>
      <w:r w:rsidRPr="008B4E1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Bydgoszcz, Poland; </w:t>
      </w:r>
      <w:r w:rsidRPr="008B4E17">
        <w:rPr>
          <w:rFonts w:ascii="Times New Roman" w:hAnsi="Times New Roman" w:cs="Times New Roman"/>
          <w:i/>
          <w:iCs/>
          <w:sz w:val="24"/>
          <w:szCs w:val="24"/>
          <w:lang w:val="en-US"/>
        </w:rPr>
        <w:br/>
      </w:r>
      <w:r w:rsidRPr="008B4E1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b</w:t>
      </w:r>
      <w:r w:rsidRPr="008B4E1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Clinic of Oncology and Brachytherapy, Collegium </w:t>
      </w:r>
      <w:proofErr w:type="spellStart"/>
      <w:r w:rsidRPr="008B4E17">
        <w:rPr>
          <w:rFonts w:ascii="Times New Roman" w:hAnsi="Times New Roman" w:cs="Times New Roman"/>
          <w:i/>
          <w:iCs/>
          <w:sz w:val="24"/>
          <w:szCs w:val="24"/>
          <w:lang w:val="en-US"/>
        </w:rPr>
        <w:t>Medicum</w:t>
      </w:r>
      <w:proofErr w:type="spellEnd"/>
      <w:r w:rsidRPr="008B4E1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in Bydgoszcz, Nicholas Copernicus University, Torun, Poland; </w:t>
      </w:r>
      <w:r w:rsidRPr="008B4E17">
        <w:rPr>
          <w:rFonts w:ascii="Times New Roman" w:hAnsi="Times New Roman" w:cs="Times New Roman"/>
          <w:i/>
          <w:iCs/>
          <w:sz w:val="24"/>
          <w:szCs w:val="24"/>
          <w:lang w:val="en-US"/>
        </w:rPr>
        <w:br/>
      </w:r>
      <w:proofErr w:type="spellStart"/>
      <w:r w:rsidRPr="008B4E17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c</w:t>
      </w:r>
      <w:r w:rsidRPr="008B4E17">
        <w:rPr>
          <w:rFonts w:ascii="Times New Roman" w:hAnsi="Times New Roman" w:cs="Times New Roman"/>
          <w:i/>
          <w:iCs/>
          <w:sz w:val="24"/>
          <w:szCs w:val="24"/>
          <w:lang w:val="en-US"/>
        </w:rPr>
        <w:t>Toruńska</w:t>
      </w:r>
      <w:proofErr w:type="spellEnd"/>
      <w:r w:rsidRPr="008B4E1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45D/60, Bydgoszcz, Poland;</w:t>
      </w:r>
    </w:p>
    <w:p w14:paraId="0F41A547" w14:textId="77777777" w:rsidR="00CD4CC5" w:rsidRDefault="00CD4CC5" w:rsidP="00CD4CC5">
      <w:pPr>
        <w:spacing w:after="0" w:line="480" w:lineRule="auto"/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  <w:r w:rsidRPr="00D63FBB">
        <w:rPr>
          <w:rFonts w:ascii="Times New Roman" w:hAnsi="Times New Roman" w:cs="Times New Roman"/>
          <w:sz w:val="24"/>
          <w:szCs w:val="24"/>
          <w:lang w:val="en-US"/>
        </w:rPr>
        <w:t xml:space="preserve">⁎ </w:t>
      </w:r>
      <w:proofErr w:type="gramStart"/>
      <w:r w:rsidRPr="00D63FBB">
        <w:rPr>
          <w:rFonts w:ascii="Times New Roman" w:hAnsi="Times New Roman" w:cs="Times New Roman"/>
          <w:sz w:val="24"/>
          <w:szCs w:val="24"/>
          <w:lang w:val="en-US"/>
        </w:rPr>
        <w:t>corresponding</w:t>
      </w:r>
      <w:proofErr w:type="gramEnd"/>
      <w:r w:rsidRPr="00D63FBB">
        <w:rPr>
          <w:rFonts w:ascii="Times New Roman" w:hAnsi="Times New Roman" w:cs="Times New Roman"/>
          <w:sz w:val="24"/>
          <w:szCs w:val="24"/>
          <w:lang w:val="en-US"/>
        </w:rPr>
        <w:t xml:space="preserve"> author; email: </w:t>
      </w:r>
      <w:hyperlink r:id="rId4" w:history="1">
        <w:r w:rsidRPr="00D63FB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rackai@co.bydgoszcz.pl</w:t>
        </w:r>
      </w:hyperlink>
    </w:p>
    <w:p w14:paraId="646E45DE" w14:textId="77777777" w:rsidR="00CD4CC5" w:rsidRDefault="00CD4CC5" w:rsidP="00CD4CC5">
      <w:pPr>
        <w:spacing w:after="0" w:line="480" w:lineRule="auto"/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</w:p>
    <w:p w14:paraId="757B54E0" w14:textId="77777777" w:rsidR="00CD4CC5" w:rsidRPr="00CD340F" w:rsidRDefault="00CD4CC5" w:rsidP="00CD4CC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340F">
        <w:rPr>
          <w:rStyle w:val="Hyperlink"/>
          <w:rFonts w:ascii="Times New Roman" w:hAnsi="Times New Roman" w:cs="Times New Roman"/>
          <w:sz w:val="24"/>
          <w:szCs w:val="24"/>
          <w:lang w:val="en-US"/>
        </w:rPr>
        <w:t>ORCID:</w:t>
      </w:r>
    </w:p>
    <w:p w14:paraId="1773FF8D" w14:textId="77777777" w:rsidR="00CD4CC5" w:rsidRPr="0056140B" w:rsidRDefault="00CD4CC5" w:rsidP="00CD4CC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6140B">
        <w:rPr>
          <w:rFonts w:ascii="Times New Roman" w:hAnsi="Times New Roman" w:cs="Times New Roman"/>
          <w:sz w:val="24"/>
          <w:szCs w:val="24"/>
          <w:lang w:val="en-US"/>
        </w:rPr>
        <w:t xml:space="preserve">Iga Racka: </w:t>
      </w:r>
      <w:hyperlink r:id="rId5" w:history="1">
        <w:r w:rsidRPr="0056140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https://orcid.org/0000-0002-8885-4187</w:t>
        </w:r>
      </w:hyperlink>
      <w:r w:rsidRPr="005614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81F8688" w14:textId="77777777" w:rsidR="00CD4CC5" w:rsidRPr="00C5768E" w:rsidRDefault="00CD4CC5" w:rsidP="00CD4CC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5768E">
        <w:rPr>
          <w:rFonts w:ascii="Times New Roman" w:hAnsi="Times New Roman" w:cs="Times New Roman"/>
          <w:sz w:val="24"/>
          <w:szCs w:val="24"/>
        </w:rPr>
        <w:t xml:space="preserve">Janusz Winiecki: </w:t>
      </w:r>
      <w:hyperlink r:id="rId6" w:history="1">
        <w:r w:rsidRPr="00061BCD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https://orcid.org/0000-0001-9330-1547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892E6" w14:textId="77777777" w:rsidR="00CD4CC5" w:rsidRPr="00CD4CC5" w:rsidRDefault="00CD4CC5">
      <w:pPr>
        <w:rPr>
          <w:rFonts w:eastAsia="Times New Roman" w:cstheme="minorHAnsi"/>
          <w:b/>
          <w:kern w:val="0"/>
          <w:sz w:val="30"/>
          <w:szCs w:val="30"/>
          <w:u w:val="single"/>
          <w:lang w:eastAsia="en-GB"/>
          <w14:ligatures w14:val="none"/>
        </w:rPr>
      </w:pPr>
    </w:p>
    <w:p w14:paraId="11F656C9" w14:textId="77777777" w:rsidR="002A0A9E" w:rsidRPr="00CD4CC5" w:rsidRDefault="002A0A9E">
      <w:pPr>
        <w:rPr>
          <w:rFonts w:eastAsia="Times New Roman" w:cstheme="minorHAnsi"/>
          <w:b/>
          <w:kern w:val="0"/>
          <w:sz w:val="30"/>
          <w:szCs w:val="30"/>
          <w:u w:val="single"/>
          <w:lang w:eastAsia="en-GB"/>
          <w14:ligatures w14:val="none"/>
        </w:rPr>
      </w:pPr>
    </w:p>
    <w:p w14:paraId="1E1EDFFB" w14:textId="74B2BF78" w:rsidR="00B82F8F" w:rsidRDefault="00E40B78">
      <w:pPr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24D6ED40" wp14:editId="69849090">
            <wp:extent cx="5760720" cy="2813050"/>
            <wp:effectExtent l="0" t="0" r="0" b="6350"/>
            <wp:docPr id="7900894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59DA7" w14:textId="78A2446D" w:rsidR="008B65D1" w:rsidRPr="00022DFE" w:rsidRDefault="008B65D1" w:rsidP="008B65D1">
      <w:pPr>
        <w:pStyle w:val="Caption"/>
        <w:keepNext/>
        <w:spacing w:after="0" w:line="48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 w:rsidRPr="00022DFE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S</w:t>
      </w:r>
      <w:r w:rsidRPr="00022DFE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1. Beam arrangements for hybrid Volumetric Modulated Arc Therapy (a) and hybrid Intensity Modulated Radiotherapy (b) plans.</w:t>
      </w:r>
    </w:p>
    <w:p w14:paraId="6EF25A60" w14:textId="6078675F" w:rsidR="000D24C7" w:rsidRDefault="000D24C7">
      <w:pPr>
        <w:rPr>
          <w:lang w:val="en-US"/>
        </w:rPr>
      </w:pPr>
    </w:p>
    <w:p w14:paraId="0EDEC67D" w14:textId="77777777" w:rsidR="000D24C7" w:rsidRDefault="000D24C7">
      <w:pPr>
        <w:rPr>
          <w:lang w:val="en-US"/>
        </w:rPr>
      </w:pPr>
    </w:p>
    <w:p w14:paraId="13CDB576" w14:textId="7E02B4C9" w:rsidR="00E40B78" w:rsidRDefault="00E40B78" w:rsidP="008B65D1">
      <w:pPr>
        <w:jc w:val="center"/>
        <w:rPr>
          <w:noProof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46C7E379" wp14:editId="38604621">
            <wp:extent cx="5064972" cy="7035800"/>
            <wp:effectExtent l="0" t="0" r="2540" b="0"/>
            <wp:docPr id="140470414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74" cy="704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DC362" w14:textId="59F098B7" w:rsidR="008B65D1" w:rsidRDefault="008B65D1" w:rsidP="008B65D1">
      <w:pPr>
        <w:pStyle w:val="Caption"/>
        <w:keepNext/>
        <w:spacing w:after="0" w:line="48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</w:pPr>
      <w:r w:rsidRPr="00022DFE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S</w:t>
      </w:r>
      <w:r w:rsidR="00C032A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2</w:t>
      </w:r>
      <w:r w:rsidRPr="00022DFE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>. Comparison of OED value for left lung, right lung and right breast. Data are expressed as mean (square), standard deviation (bars) and interquartile range (box). 3D-CRT three-dimensional conformal radiotherapy plans, h-IMRT hybrid Intensity Modulated Radiotherapy plans, h-ARC hybrid Volumetric Modulated Arc Therapy plans.</w:t>
      </w:r>
    </w:p>
    <w:p w14:paraId="7C1E439E" w14:textId="77777777" w:rsidR="00C032A6" w:rsidRDefault="00C032A6" w:rsidP="00C032A6">
      <w:pPr>
        <w:rPr>
          <w:lang w:val="en-US"/>
        </w:rPr>
      </w:pPr>
    </w:p>
    <w:p w14:paraId="30A0A23B" w14:textId="69500D70" w:rsidR="00C032A6" w:rsidRDefault="00C032A6" w:rsidP="00C032A6">
      <w:pPr>
        <w:jc w:val="center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46BD045" wp14:editId="6438B496">
            <wp:extent cx="3309257" cy="7469832"/>
            <wp:effectExtent l="0" t="0" r="5715" b="0"/>
            <wp:docPr id="60356985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387" cy="752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57F34" w14:textId="188309DF" w:rsidR="008B65D1" w:rsidRPr="008B65D1" w:rsidRDefault="00C032A6" w:rsidP="00C032A6">
      <w:pPr>
        <w:spacing w:after="0" w:line="480" w:lineRule="auto"/>
        <w:jc w:val="both"/>
        <w:rPr>
          <w:lang w:val="en-US"/>
        </w:rPr>
      </w:pPr>
      <w:r w:rsidRPr="00022DFE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S3</w:t>
      </w:r>
      <w:r w:rsidRPr="00022DFE">
        <w:rPr>
          <w:rFonts w:ascii="Times New Roman" w:hAnsi="Times New Roman" w:cs="Times New Roman"/>
          <w:sz w:val="24"/>
          <w:szCs w:val="24"/>
          <w:lang w:val="en-US"/>
        </w:rPr>
        <w:t>. The correlation between total monitor units (MU) in a plan and estimated organ equivalent doses (OED) based on the full mechanistic dose-response model, for all plans and analyzed organs (left lung, right lung and right breast). The solid lines represents linear regression fits for all 40 patients.</w:t>
      </w:r>
    </w:p>
    <w:sectPr w:rsidR="008B65D1" w:rsidRPr="008B6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8F"/>
    <w:rsid w:val="000D24C7"/>
    <w:rsid w:val="002A0A9E"/>
    <w:rsid w:val="008B65D1"/>
    <w:rsid w:val="00B536DC"/>
    <w:rsid w:val="00B82F8F"/>
    <w:rsid w:val="00C032A6"/>
    <w:rsid w:val="00CD4CC5"/>
    <w:rsid w:val="00E4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50E53"/>
  <w15:chartTrackingRefBased/>
  <w15:docId w15:val="{F644C2AF-3D47-4DC4-867B-341F9A00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B82F8F"/>
    <w:pPr>
      <w:spacing w:after="120" w:line="360" w:lineRule="auto"/>
    </w:pPr>
    <w:rPr>
      <w:rFonts w:ascii="Times New Roman" w:eastAsia="Times New Roman" w:hAnsi="Times New Roman" w:cs="Times New Roman"/>
      <w:b/>
      <w:kern w:val="0"/>
      <w:sz w:val="28"/>
      <w:szCs w:val="24"/>
      <w:lang w:val="en-GB"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8B65D1"/>
    <w:pPr>
      <w:spacing w:after="200" w:line="240" w:lineRule="auto"/>
    </w:pPr>
    <w:rPr>
      <w:b/>
      <w:bCs/>
      <w:color w:val="4472C4" w:themeColor="accent1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CD4C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9330-154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cid.org/0000-0002-8885-4187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ackai@co.bydgoszcz.pl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242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Racka</dc:creator>
  <cp:keywords/>
  <dc:description/>
  <cp:lastModifiedBy>Jamuna Chandrashekar</cp:lastModifiedBy>
  <cp:revision>2</cp:revision>
  <dcterms:created xsi:type="dcterms:W3CDTF">2023-07-26T04:41:00Z</dcterms:created>
  <dcterms:modified xsi:type="dcterms:W3CDTF">2023-07-26T04:41:00Z</dcterms:modified>
</cp:coreProperties>
</file>