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6286A" w14:textId="579F89E4" w:rsidR="00A559CA" w:rsidRDefault="00A559CA" w:rsidP="00A559CA">
      <w:pPr>
        <w:pStyle w:val="Title"/>
        <w:spacing w:line="480" w:lineRule="auto"/>
        <w:jc w:val="both"/>
        <w:rPr>
          <w:rFonts w:ascii="Times New Roman" w:hAnsi="Times New Roman" w:cs="Times New Roman"/>
          <w:sz w:val="44"/>
          <w:szCs w:val="44"/>
          <w:lang w:val="en-US"/>
        </w:rPr>
      </w:pPr>
      <w:bookmarkStart w:id="0" w:name="_GoBack"/>
      <w:bookmarkEnd w:id="0"/>
      <w:r w:rsidRPr="00A559CA">
        <w:rPr>
          <w:rFonts w:ascii="Times New Roman" w:hAnsi="Times New Roman" w:cs="Times New Roman"/>
          <w:sz w:val="44"/>
          <w:szCs w:val="44"/>
          <w:lang w:val="en-US"/>
        </w:rPr>
        <w:t>Supplementary for An Experimental Setup for Proton Irradiation of a Murine Leg Model for Radiobiological Studies</w:t>
      </w:r>
    </w:p>
    <w:p w14:paraId="6F3B6E0A" w14:textId="77777777" w:rsidR="00A559CA" w:rsidRPr="00F52D5F" w:rsidRDefault="00A559CA" w:rsidP="00A559CA">
      <w:pPr>
        <w:pStyle w:val="Heading1"/>
        <w:spacing w:line="480" w:lineRule="auto"/>
        <w:jc w:val="both"/>
        <w:rPr>
          <w:rFonts w:ascii="Times New Roman" w:hAnsi="Times New Roman" w:cs="Times New Roman"/>
          <w:lang w:val="en-US"/>
        </w:rPr>
      </w:pPr>
      <w:r w:rsidRPr="00F52D5F">
        <w:rPr>
          <w:rFonts w:ascii="Times New Roman" w:hAnsi="Times New Roman" w:cs="Times New Roman"/>
          <w:lang w:val="en-US"/>
        </w:rPr>
        <w:t>Supplemental Material</w:t>
      </w:r>
    </w:p>
    <w:p w14:paraId="55F95EE8" w14:textId="3988FEB0" w:rsidR="00A559CA" w:rsidRPr="00F52D5F" w:rsidRDefault="00A559CA" w:rsidP="00A559CA">
      <w:pPr>
        <w:pStyle w:val="NormalWeb"/>
        <w:numPr>
          <w:ilvl w:val="0"/>
          <w:numId w:val="1"/>
        </w:numPr>
        <w:spacing w:before="0" w:beforeAutospacing="0" w:after="0" w:afterAutospacing="0" w:line="480" w:lineRule="auto"/>
        <w:jc w:val="both"/>
        <w:textAlignment w:val="baseline"/>
        <w:rPr>
          <w:color w:val="000000"/>
          <w:sz w:val="22"/>
          <w:szCs w:val="22"/>
        </w:rPr>
      </w:pPr>
      <w:r w:rsidRPr="00F52D5F">
        <w:rPr>
          <w:color w:val="000000"/>
          <w:sz w:val="22"/>
          <w:szCs w:val="22"/>
          <w:lang w:val="en-US"/>
        </w:rPr>
        <w:t>A CAD-file outlining the water phantom dimension in detail is provided.</w:t>
      </w:r>
    </w:p>
    <w:p w14:paraId="5ABACC10" w14:textId="77777777" w:rsidR="00A559CA" w:rsidRDefault="00A559CA" w:rsidP="00A559CA">
      <w:pPr>
        <w:pStyle w:val="NormalWeb"/>
        <w:numPr>
          <w:ilvl w:val="0"/>
          <w:numId w:val="1"/>
        </w:numPr>
        <w:spacing w:before="0" w:beforeAutospacing="0" w:after="0" w:afterAutospacing="0" w:line="480" w:lineRule="auto"/>
        <w:jc w:val="both"/>
        <w:textAlignment w:val="baseline"/>
        <w:rPr>
          <w:color w:val="000000"/>
          <w:sz w:val="22"/>
          <w:szCs w:val="22"/>
          <w:lang w:val="en-US"/>
        </w:rPr>
      </w:pPr>
      <w:r w:rsidRPr="00F52D5F">
        <w:rPr>
          <w:color w:val="000000"/>
          <w:sz w:val="22"/>
          <w:szCs w:val="22"/>
          <w:lang w:val="en-US"/>
        </w:rPr>
        <w:t xml:space="preserve">Link to MC simulations: </w:t>
      </w:r>
      <w:hyperlink r:id="rId5" w:history="1">
        <w:r w:rsidRPr="00F52D5F">
          <w:rPr>
            <w:rStyle w:val="Hyperlink"/>
            <w:rFonts w:eastAsiaTheme="majorEastAsia"/>
            <w:color w:val="1155CC"/>
            <w:sz w:val="22"/>
            <w:szCs w:val="22"/>
            <w:lang w:val="en-US"/>
          </w:rPr>
          <w:t>https://github.com/APTG/2022_DCPT_MICE</w:t>
        </w:r>
      </w:hyperlink>
      <w:r w:rsidRPr="00F52D5F">
        <w:rPr>
          <w:color w:val="000000"/>
          <w:sz w:val="22"/>
          <w:szCs w:val="22"/>
          <w:lang w:val="en-US"/>
        </w:rPr>
        <w:t> </w:t>
      </w:r>
    </w:p>
    <w:p w14:paraId="4B335D3A" w14:textId="77777777" w:rsidR="00A559CA" w:rsidRPr="00F52D5F" w:rsidRDefault="00A559CA" w:rsidP="00AC457B">
      <w:pPr>
        <w:pStyle w:val="Heading2"/>
        <w:spacing w:line="480" w:lineRule="auto"/>
        <w:jc w:val="both"/>
        <w:rPr>
          <w:rFonts w:ascii="Times New Roman" w:hAnsi="Times New Roman" w:cs="Times New Roman"/>
          <w:lang w:val="en-US"/>
        </w:rPr>
      </w:pPr>
      <w:r w:rsidRPr="00F52D5F">
        <w:rPr>
          <w:rFonts w:ascii="Times New Roman" w:hAnsi="Times New Roman" w:cs="Times New Roman"/>
          <w:lang w:val="en-US"/>
        </w:rPr>
        <w:t>Monte Carlo Simulations</w:t>
      </w:r>
    </w:p>
    <w:p w14:paraId="0C8C44A1" w14:textId="77777777" w:rsidR="00A559CA" w:rsidRDefault="00A559CA" w:rsidP="00AC457B">
      <w:pPr>
        <w:pStyle w:val="NormalWeb"/>
        <w:spacing w:before="0" w:beforeAutospacing="0" w:after="80" w:afterAutospacing="0" w:line="480" w:lineRule="auto"/>
        <w:ind w:right="280"/>
        <w:jc w:val="both"/>
        <w:rPr>
          <w:color w:val="000000"/>
          <w:lang w:val="en-US"/>
        </w:rPr>
      </w:pPr>
      <w:r w:rsidRPr="00F52D5F">
        <w:rPr>
          <w:color w:val="000000"/>
          <w:lang w:val="en-US"/>
        </w:rPr>
        <w:t xml:space="preserve">Detailed </w:t>
      </w:r>
      <w:r>
        <w:rPr>
          <w:color w:val="000000"/>
          <w:lang w:val="en-US"/>
        </w:rPr>
        <w:t>Monte Carlo (</w:t>
      </w:r>
      <w:r w:rsidRPr="00F52D5F">
        <w:rPr>
          <w:color w:val="000000"/>
          <w:lang w:val="en-US"/>
        </w:rPr>
        <w:t>MC</w:t>
      </w:r>
      <w:r>
        <w:rPr>
          <w:color w:val="000000"/>
          <w:lang w:val="en-US"/>
        </w:rPr>
        <w:t>)</w:t>
      </w:r>
      <w:r w:rsidRPr="00F52D5F">
        <w:rPr>
          <w:color w:val="000000"/>
          <w:lang w:val="en-US"/>
        </w:rPr>
        <w:t xml:space="preserve"> simulations were carried out using Geant4 and SHIELD-HIT12A. The water </w:t>
      </w:r>
      <w:r w:rsidRPr="00F03928">
        <w:rPr>
          <w:color w:val="000000" w:themeColor="text1"/>
          <w:lang w:val="en-US"/>
        </w:rPr>
        <w:t>phantom was modeled using measured phantom dimensions (</w:t>
      </w:r>
      <w:r w:rsidRPr="006C026B">
        <w:rPr>
          <w:color w:val="000000" w:themeColor="text1"/>
          <w:lang w:val="en-US"/>
        </w:rPr>
        <w:t>instead of nominal</w:t>
      </w:r>
      <w:r w:rsidRPr="00F03928">
        <w:rPr>
          <w:color w:val="000000" w:themeColor="text1"/>
          <w:lang w:val="en-US"/>
        </w:rPr>
        <w:t>). MC simulations were calculated on a reference plan</w:t>
      </w:r>
      <w:r>
        <w:rPr>
          <w:color w:val="000000" w:themeColor="text1"/>
          <w:lang w:val="en-US"/>
        </w:rPr>
        <w:t xml:space="preserve"> </w:t>
      </w:r>
      <w:r w:rsidRPr="00F03928">
        <w:rPr>
          <w:color w:val="000000" w:themeColor="text1"/>
          <w:lang w:val="en-US"/>
        </w:rPr>
        <w:t xml:space="preserve">prepared in a clinical treatment planning system (Eclipse, Varian). The planning target volume was (laterally) 10 cm wide and 2.5 cm high with a longitudinal depth ranging from 6.5 to 10.0 cm depth in the phantom. </w:t>
      </w:r>
      <w:r w:rsidRPr="006C026B">
        <w:rPr>
          <w:color w:val="000000" w:themeColor="text1"/>
          <w:lang w:val="en-US"/>
        </w:rPr>
        <w:t xml:space="preserve">A benchmarked beam model of </w:t>
      </w:r>
      <w:r>
        <w:rPr>
          <w:color w:val="000000" w:themeColor="text1"/>
          <w:lang w:val="en-US"/>
        </w:rPr>
        <w:t>beam-matched</w:t>
      </w:r>
      <w:r w:rsidRPr="006C026B">
        <w:rPr>
          <w:color w:val="000000" w:themeColor="text1"/>
          <w:lang w:val="en-US"/>
        </w:rPr>
        <w:t xml:space="preserve"> treatment rooms at DCPT was applied, taking the bending magnets and the emittance of the beam into account. </w:t>
      </w:r>
      <w:r w:rsidRPr="00F03928">
        <w:rPr>
          <w:color w:val="000000" w:themeColor="text1"/>
          <w:lang w:val="en-US"/>
        </w:rPr>
        <w:t xml:space="preserve">Water at 20°C was </w:t>
      </w:r>
      <w:r w:rsidRPr="00F52D5F">
        <w:rPr>
          <w:color w:val="000000"/>
          <w:lang w:val="en-US"/>
        </w:rPr>
        <w:t>simulated, i.e., density was reduced to 0.9982 g/cm³ for transport. Scoring was handled in two ways: 1) a fine-meshed (1 mm voxels) isocenter planes for visual inspection, as well as a depth-dose curve narrow enough to ensure lateral equilibrium along the scoring path.</w:t>
      </w:r>
      <w:r>
        <w:rPr>
          <w:color w:val="000000"/>
          <w:lang w:val="en-US"/>
        </w:rPr>
        <w:t xml:space="preserve"> </w:t>
      </w:r>
      <w:r w:rsidRPr="00F52D5F">
        <w:rPr>
          <w:color w:val="000000"/>
          <w:lang w:val="en-US"/>
        </w:rPr>
        <w:t xml:space="preserve">2) The actual target positions of the irradiated mice legs </w:t>
      </w:r>
      <w:r>
        <w:rPr>
          <w:color w:val="000000"/>
          <w:lang w:val="en-US"/>
        </w:rPr>
        <w:t>were</w:t>
      </w:r>
      <w:r w:rsidRPr="00F52D5F">
        <w:rPr>
          <w:color w:val="000000"/>
          <w:lang w:val="en-US"/>
        </w:rPr>
        <w:t xml:space="preserve"> considered as 20 x 20 x 4 mm³ monolithic voxels which </w:t>
      </w:r>
      <w:r>
        <w:rPr>
          <w:color w:val="000000"/>
          <w:lang w:val="en-US"/>
        </w:rPr>
        <w:t>could</w:t>
      </w:r>
      <w:r w:rsidRPr="00F52D5F">
        <w:rPr>
          <w:color w:val="000000"/>
          <w:lang w:val="en-US"/>
        </w:rPr>
        <w:t xml:space="preserve"> be shifted in steps of 4 mm along 8 positions across the SOBP and its distal edge. This </w:t>
      </w:r>
      <w:r>
        <w:rPr>
          <w:color w:val="000000"/>
          <w:lang w:val="en-US"/>
        </w:rPr>
        <w:t>was</w:t>
      </w:r>
      <w:r w:rsidRPr="00F52D5F">
        <w:rPr>
          <w:color w:val="000000"/>
          <w:lang w:val="en-US"/>
        </w:rPr>
        <w:t xml:space="preserve"> used </w:t>
      </w:r>
      <w:r>
        <w:rPr>
          <w:color w:val="000000"/>
          <w:lang w:val="en-US"/>
        </w:rPr>
        <w:t>to estimate</w:t>
      </w:r>
      <w:r w:rsidRPr="00F52D5F">
        <w:rPr>
          <w:color w:val="000000"/>
          <w:lang w:val="en-US"/>
        </w:rPr>
        <w:t xml:space="preserve"> the average dose and radiation quality</w:t>
      </w:r>
      <w:r>
        <w:rPr>
          <w:color w:val="000000"/>
          <w:lang w:val="en-US"/>
        </w:rPr>
        <w:t xml:space="preserve"> in a volume that covered both the mouse leg dimensions and the</w:t>
      </w:r>
      <w:r w:rsidRPr="00F52D5F">
        <w:rPr>
          <w:color w:val="000000"/>
          <w:lang w:val="en-US"/>
        </w:rPr>
        <w:t xml:space="preserve"> possible leg movements.</w:t>
      </w:r>
    </w:p>
    <w:p w14:paraId="7C317DB2" w14:textId="77777777" w:rsidR="00A559CA" w:rsidRPr="009A3312" w:rsidRDefault="00A559CA" w:rsidP="00AC457B">
      <w:pPr>
        <w:pStyle w:val="NormalWeb"/>
        <w:spacing w:before="0" w:beforeAutospacing="0" w:after="80" w:afterAutospacing="0" w:line="480" w:lineRule="auto"/>
        <w:ind w:right="280"/>
        <w:jc w:val="both"/>
        <w:rPr>
          <w:color w:val="000000"/>
          <w:lang w:val="en-US"/>
        </w:rPr>
      </w:pPr>
      <w:r w:rsidRPr="009A3312">
        <w:rPr>
          <w:color w:val="000000"/>
          <w:lang w:val="en-US"/>
        </w:rPr>
        <w:lastRenderedPageBreak/>
        <w:t xml:space="preserve">Quantities scored beyond relative dose were dose- and track-averaged LET in water (at density 1.000 g/cm³), for all particles, protons only, and primary protons only, following </w:t>
      </w:r>
      <w:r w:rsidRPr="009A3312">
        <w:rPr>
          <w:color w:val="000000"/>
          <w:lang w:val="en-US"/>
        </w:rPr>
        <w:fldChar w:fldCharType="begin" w:fldLock="1"/>
      </w:r>
      <w:r w:rsidRPr="009A3312">
        <w:rPr>
          <w:color w:val="000000"/>
          <w:lang w:val="en-US"/>
        </w:rPr>
        <w:instrText>ADDIN CSL_CITATION {"citationItems":[{"id":"ITEM-1","itemData":{"DOI":"10.1016/j.radonc.2021.04.007","ISBN":"0000000260732","ISSN":"18790887","PMID":"33894298","abstract":"Linear Energy Transfer (LET) is widely used to express the radiation quality of ion beams, when characterizing the biological effectiveness. However, averaged LET may be defined in multiple ways, and the chosen definition may impact the resulting reported value. We review averaged LET definitions found in the literature, and quantify which impact using these various definitions have for different reference setups. We recorded the averaged LET definitions used in 354 publications quantifying the relative biological effectiveness (RBE) of hadronic beams, and investigated how these various definitions impact the reported averaged LET using a Monte Carlo particle transport code. We find that the kind of averaged LET being applied is, generally, poorly defined. Some definitions of averaged LET may influence the reported averaged LET values up to an order of magnitude. For publications involving protons, most applied dose averaged LET when reporting RBE. The absence of what target medium is used and what secondary particles are included further contributes to an ill-defined averaged LET. We also found evidence of inconsistent usage of averaged LET definitions when deriving LET-based RBE models. To conclude, due to commonly ill-defined averaged LET and to the inherent problems of LET-based RBE models, averaged LET may only be used as a coarse indicator of radiation quality. We propose a more rigorous way of reporting LET values, and suggest that ideally the entire particle fluence spectra should be recorded and provided for future RBE studies, from which any type of averaged LET (or other quantities) may be inferred.","author":[{"dropping-particle":"","family":"Kalholm","given":"Fredrik","non-dropping-particle":"","parse-names":false,"suffix":""},{"dropping-particle":"","family":"Grzanka","given":"Leszek","non-dropping-particle":"","parse-names":false,"suffix":""},{"dropping-particle":"","family":"Traneus","given":"Erik","non-dropping-particle":"","parse-names":false,"suffix":""},{"dropping-particle":"","family":"Bassler","given":"Niels","non-dropping-particle":"","parse-names":false,"suffix":""}],"container-title":"Radiotherapy and Oncology","id":"ITEM-1","issued":{"date-parts":[["2021"]]},"page":"211-221","publisher":"The Author(s)","title":"A systematic review on the usage of averaged LET in radiation biology for particle therapy","type":"article-journal","volume":"161"},"uris":["http://www.mendeley.com/documents/?uuid=cda7ab23-2ac2-4c3c-8f8a-2b4afa6a9aa3"]}],"mendeley":{"formattedCitation":"&lt;sup&gt;25&lt;/sup&gt;","plainTextFormattedCitation":"25","previouslyFormattedCitation":"&lt;sup&gt;25&lt;/sup&gt;"},"properties":{"noteIndex":0},"schema":"https://github.com/citation-style-language/schema/raw/master/csl-citation.json"}</w:instrText>
      </w:r>
      <w:r w:rsidRPr="009A3312">
        <w:rPr>
          <w:color w:val="000000"/>
          <w:lang w:val="en-US"/>
        </w:rPr>
        <w:fldChar w:fldCharType="separate"/>
      </w:r>
      <w:r w:rsidRPr="009A3312">
        <w:rPr>
          <w:noProof/>
          <w:color w:val="000000"/>
          <w:vertAlign w:val="superscript"/>
          <w:lang w:val="en-US"/>
        </w:rPr>
        <w:t>25</w:t>
      </w:r>
      <w:r w:rsidRPr="009A3312">
        <w:rPr>
          <w:color w:val="000000"/>
          <w:lang w:val="en-US"/>
        </w:rPr>
        <w:fldChar w:fldCharType="end"/>
      </w:r>
      <w:r w:rsidRPr="009A3312">
        <w:rPr>
          <w:color w:val="000000"/>
          <w:lang w:val="en-US"/>
        </w:rPr>
        <w:t xml:space="preserve">. Additionally, dose- and track-averaged </w:t>
      </w:r>
      <w:proofErr w:type="spellStart"/>
      <w:r w:rsidRPr="009A3312">
        <w:rPr>
          <w:color w:val="000000"/>
          <w:lang w:val="en-US"/>
        </w:rPr>
        <w:t>Qeff</w:t>
      </w:r>
      <w:proofErr w:type="spellEnd"/>
      <w:r w:rsidRPr="009A3312">
        <w:rPr>
          <w:color w:val="000000"/>
          <w:lang w:val="en-US"/>
        </w:rPr>
        <w:t xml:space="preserve"> </w:t>
      </w:r>
      <w:r w:rsidRPr="009A3312">
        <w:rPr>
          <w:color w:val="000000"/>
          <w:lang w:val="en-US"/>
        </w:rPr>
        <w:fldChar w:fldCharType="begin" w:fldLock="1"/>
      </w:r>
      <w:r w:rsidRPr="009A3312">
        <w:rPr>
          <w:color w:val="000000"/>
          <w:lang w:val="en-US"/>
        </w:rPr>
        <w:instrText>ADDIN CSL_CITATION {"citationItems":[{"id":"ITEM-1","itemData":{"DOI":"10.1002/mp.16029","ISSN":"24734209","PMID":"36321465","abstract":"Background: For proton therapy, a relative biological effectiveness (RBE) of 1.1 has broadly been applied clinically. However, as unexpected toxicities have been observed by the end of the proton tracks, variable RBE models have been proposed. Typically, the dose-averaged linear energy transfer (LETd) has been used as an input variable for these models but the way the LETd was defined, calculated, or determined was not always consistent, potentially impacting the corresponding RBE value. Purpose: This study compares consistently calculated LETd with other quantities as input variables for a phenomenological RBE model and attempts to determine which quantity that can best predicts proton RBE. The comparison was performed within the frame of introducing a new model for the proton RBE. Methods: High-throughput experimental setups of in vitro cell survival studies for proton RBE determination are simulated using the SHIELD-HIT12A Monte Carlo particle transport code. Together with LET, (Formula presented.), here called effective Q (Qeff), and Q are scored. Each quantity is calculated using the dose and track averaging methods, because the scoring includes all hadronic particles, all protons or only primaries. A phenomenological linear-quadratic-based RBE model is subsequently applied to the in vitro data with the various beam quality descriptors used as input variables and the goodness of fit is determined and compared using a bootstrapping approach. Both linear and nonlinear fit functions were tested. Results: Versions of Qeff and Q outperform LET with a statistically significant margin, with the best nonlinear and linear fit having a relative root mean square error (RMSE) for RBE2Gy ± one standard error of 1.55 ± 0.04 (Qeff, t, primary) and 2.84 ± 0.07 (Qeff, d, primary), respectively. For comparison, the corresponding best nonlinear and linear fits for LETd, all protons had a relative RMSE of 2.07 ± 0.06 and 3.39 ± 0.08, respectively. Applying Welch's t-test for comparing the calculated RMSE of RBE2Gy resulted in two-tailed p-values of &lt;0.002 for all Q and Qeff quantities compared to LETd, all protons. Conclusions: The study shows that Q or Qeff could be better RBE descriptors that dose averaged LET.","author":[{"dropping-particle":"","family":"Kalholm","given":"Fredrik","non-dropping-particle":"","parse-names":false,"suffix":""},{"dropping-particle":"","family":"Grzanka","given":"Leszek","non-dropping-particle":"","parse-names":false,"suffix":""},{"dropping-particle":"","family":"Toma-Dasu","given":"Iuliana","non-dropping-particle":"","parse-names":false,"suffix":""},{"dropping-particle":"","family":"Bassler","given":"Niels","non-dropping-particle":"","parse-names":false,"suffix":""}],"container-title":"Medical Physics","id":"ITEM-1","issue":"1","issued":{"date-parts":[["2022"]]},"page":"651-659","title":"Modeling RBE with other quantities than LET significantly improves prediction of in vitro cell survival for proton therapy","type":"article-journal","volume":"50"},"uris":["http://www.mendeley.com/documents/?uuid=9f753e1f-feb5-4480-b121-322fc874226b"]}],"mendeley":{"formattedCitation":"&lt;sup&gt;26&lt;/sup&gt;","plainTextFormattedCitation":"26","previouslyFormattedCitation":"&lt;sup&gt;26&lt;/sup&gt;"},"properties":{"noteIndex":0},"schema":"https://github.com/citation-style-language/schema/raw/master/csl-citation.json"}</w:instrText>
      </w:r>
      <w:r w:rsidRPr="009A3312">
        <w:rPr>
          <w:color w:val="000000"/>
          <w:lang w:val="en-US"/>
        </w:rPr>
        <w:fldChar w:fldCharType="separate"/>
      </w:r>
      <w:r w:rsidRPr="009A3312">
        <w:rPr>
          <w:noProof/>
          <w:color w:val="000000"/>
          <w:vertAlign w:val="superscript"/>
          <w:lang w:val="en-US"/>
        </w:rPr>
        <w:t>26</w:t>
      </w:r>
      <w:r w:rsidRPr="009A3312">
        <w:rPr>
          <w:color w:val="000000"/>
          <w:lang w:val="en-US"/>
        </w:rPr>
        <w:fldChar w:fldCharType="end"/>
      </w:r>
      <w:r w:rsidRPr="009A3312">
        <w:rPr>
          <w:color w:val="000000"/>
          <w:lang w:val="en-US"/>
        </w:rPr>
        <w:t xml:space="preserve"> was reported for the setup. The MC simulations are summarized in Supplementary Table 1.</w:t>
      </w:r>
    </w:p>
    <w:p w14:paraId="7AEE3B00" w14:textId="205A75E0" w:rsidR="00507DC7" w:rsidRDefault="00A559CA" w:rsidP="00355385">
      <w:pPr>
        <w:pStyle w:val="NormalWeb"/>
        <w:spacing w:before="0" w:beforeAutospacing="0" w:after="80" w:afterAutospacing="0" w:line="480" w:lineRule="auto"/>
        <w:ind w:right="280"/>
        <w:jc w:val="both"/>
        <w:rPr>
          <w:color w:val="000000"/>
          <w:lang w:val="en-US"/>
        </w:rPr>
      </w:pPr>
      <w:r w:rsidRPr="00F52D5F">
        <w:rPr>
          <w:color w:val="000000"/>
          <w:lang w:val="en-US"/>
        </w:rPr>
        <w:t xml:space="preserve">All simulation input files including the beam model and results are available at </w:t>
      </w:r>
      <w:hyperlink r:id="rId6" w:history="1">
        <w:r w:rsidRPr="00F52D5F">
          <w:rPr>
            <w:rStyle w:val="Hyperlink"/>
            <w:rFonts w:eastAsiaTheme="majorEastAsia"/>
            <w:color w:val="1155CC"/>
            <w:lang w:val="en-US"/>
          </w:rPr>
          <w:t>https://github.com/APTG/2022_DCPT_MICE</w:t>
        </w:r>
      </w:hyperlink>
      <w:r w:rsidRPr="00F52D5F">
        <w:rPr>
          <w:color w:val="000000"/>
          <w:lang w:val="en-US"/>
        </w:rPr>
        <w:t>.</w:t>
      </w:r>
    </w:p>
    <w:p w14:paraId="5ED29B7F" w14:textId="77777777" w:rsidR="00822BD0" w:rsidRPr="009A3312" w:rsidRDefault="00822BD0" w:rsidP="00355385">
      <w:pPr>
        <w:pStyle w:val="NormalWeb"/>
        <w:spacing w:before="0" w:beforeAutospacing="0" w:after="80" w:afterAutospacing="0" w:line="480" w:lineRule="auto"/>
        <w:ind w:right="280"/>
        <w:jc w:val="both"/>
        <w:rPr>
          <w:color w:val="000000"/>
          <w:lang w:val="en-US"/>
        </w:rPr>
      </w:pPr>
    </w:p>
    <w:p w14:paraId="2AB3FDDD" w14:textId="77777777" w:rsidR="00A559CA" w:rsidRPr="008104F7" w:rsidRDefault="00A559CA" w:rsidP="00A559CA">
      <w:pPr>
        <w:pStyle w:val="NormalWeb"/>
        <w:numPr>
          <w:ilvl w:val="0"/>
          <w:numId w:val="1"/>
        </w:numPr>
        <w:spacing w:before="0" w:beforeAutospacing="0" w:after="0" w:afterAutospacing="0" w:line="480" w:lineRule="auto"/>
        <w:jc w:val="both"/>
        <w:textAlignment w:val="baseline"/>
        <w:rPr>
          <w:color w:val="000000" w:themeColor="text1"/>
          <w:sz w:val="22"/>
          <w:szCs w:val="22"/>
          <w:lang w:val="en-US"/>
        </w:rPr>
      </w:pPr>
      <w:r>
        <w:rPr>
          <w:color w:val="000000" w:themeColor="text1"/>
          <w:lang w:val="en-US"/>
        </w:rPr>
        <w:t xml:space="preserve">Supplementary </w:t>
      </w:r>
      <w:r w:rsidRPr="008104F7">
        <w:rPr>
          <w:color w:val="000000" w:themeColor="text1"/>
          <w:lang w:val="en-US"/>
        </w:rPr>
        <w:t>Table 1: AAPM TG268 summary of Monte Carlo simulations parameters</w:t>
      </w:r>
      <w:r>
        <w:rPr>
          <w:color w:val="000000" w:themeColor="text1"/>
          <w:lang w:val="en-US"/>
        </w:rPr>
        <w:fldChar w:fldCharType="begin" w:fldLock="1"/>
      </w:r>
      <w:r>
        <w:rPr>
          <w:color w:val="000000" w:themeColor="text1"/>
          <w:lang w:val="en-US"/>
        </w:rPr>
        <w:instrText>ADDIN CSL_CITATION {"citationItems":[{"id":"ITEM-1","itemData":{"DOI":"10.1088/1742-6596/489/1/012004","ISSN":"17426596","abstract":"Purpose: The Monte Carlo (MC) code SHIELD-HIT simulates the transport of ions through matter. Since SHIELD-HIT08 we added numerous features that improves speed, usability and underlying physics and thereby the user experience. The -A fork of SHIELD-HIT also aims to attach SHIELD-HIT to a heavy ion dose optimization algorithm to provide MC-optimized treatment plans that include radiobiology. Methods: SHIELD-HIT12A is written in FORTRAN and carefully retains platform independence. A powerful scoring engine is implemented scoring relevant quantities such as dose and track-average LET. It supports native formats compatible with the heavy ion treatment planning system TRiP. Stopping power files follow ICRU standard and are generated using the libdEdx library, which allows the user to choose from a multitude of stopping power tables. Results: SHIELD-HIT12A runs on Linux and Windows platforms. We experienced that new users quickly learn to use SHIELD-HIT12A and setup new geometries. Contrary to previous versions of SHIELD-HIT, the 12A distribution comes along with easy-to-use example files and an English manual. A new implementation of Vavilov straggling resulted in a massive reduction of computation time. Scheduled for later release are CT import and photon-electron transport. Conclusions: SHIELD-HIT12A is an interesting alternative ion transport engine. Apart from being a flexible particle therapy research tool, it can also serve as a back end for a MC ion treatment planning system. More information about SHIELD-HIT12A and a demo version can be found on http://www.shieldhit.org. © Published under licence by IOP Publishing Ltd.","author":[{"dropping-particle":"","family":"Bassler","given":"N.","non-dropping-particle":"","parse-names":false,"suffix":""},{"dropping-particle":"","family":"Hansen","given":"D. C.","non-dropping-particle":"","parse-names":false,"suffix":""},{"dropping-particle":"","family":"Lühr","given":"A.","non-dropping-particle":"","parse-names":false,"suffix":""},{"dropping-particle":"","family":"Thomsen","given":"B.","non-dropping-particle":"","parse-names":false,"suffix":""},{"dropping-particle":"","family":"Petersen","given":"J. B.","non-dropping-particle":"","parse-names":false,"suffix":""},{"dropping-particle":"","family":"Sobolevsky","given":"N.","non-dropping-particle":"","parse-names":false,"suffix":""}],"container-title":"Journal of Physics: Conference Series","id":"ITEM-1","issue":"1","issued":{"date-parts":[["2014"]]},"title":"SHIELD-HIT12A - A Monte Carlo particle transport program for ion therapy research","type":"article-journal","volume":"489"},"uris":["http://www.mendeley.com/documents/?uuid=2450a20c-c6be-45ca-83dc-398df9c76da8"]},{"id":"ITEM-2","itemData":{"author":[{"dropping-particle":"","family":"Bassler","given":"Niels","non-dropping-particle":"","parse-names":false,"suffix":""},{"dropping-particle":"","family":"Armin","given":"L","non-dropping-particle":"","parse-names":false,"suffix":""},{"dropping-particle":"","family":"Sobolevsky","given":"Prof Nikolai","non-dropping-particle":"","parse-names":false,"suffix":""}],"id":"ITEM-2","issued":{"date-parts":[["2018"]]},"title":"SHIELD-HIT12A - User ’ s Guide","type":"article-journal"},"uris":["http://www.mendeley.com/documents/?uuid=3b893bda-a7f8-4c25-acd7-58c928dc65d2"]},{"id":"ITEM-3","itemData":{"DOI":"10.1002/mp.12702","ISSN":"24734209","PMID":"29178605","abstract":"Studies involving Monte Carlo simulations are common in both diagnostic and therapy medical physics research, as well as other fields of basic and applied science. As with all experimental studies, the conditions and parameters used for Monte Carlo simulations impact their scope, validity, limitations, and generalizability. Unfortunately, many published peer-reviewed articles involving Monte Carlo simulations do not provide the level of detail needed for the reader to be able to properly assess the quality of the simulations. The American Association of Physicists in Medicine Task Group #268 developed guidelines to improve reporting of Monte Carlo studies in medical physics research. By following these guidelines, manuscripts submitted for peer-review will include a level of relevant detail that will increase the transparency, the ability to reproduce results, and the overall scientific value of these studies. The guidelines include a checklist of the items that should be included in the Methods, Results, and Discussion sections of manuscripts submitted for peer-review. These guidelines do not attempt to replace the journal reviewer, but rather to be a tool during the writing and review process. Given the varied nature of Monte Carlo studies, it is up to the authors and the reviewers to use this checklist appropriately, being conscious of how the different items apply to each particular scenario. It is envisioned that this list will be useful both for authors and for reviewers, to help ensure the adequate description of Monte Carlo studies in the medical physics literature.","author":[{"dropping-particle":"","family":"Sechopoulos","given":"Ioannis","non-dropping-particle":"","parse-names":false,"suffix":""},{"dropping-particle":"","family":"Rogers","given":"D. W.O.","non-dropping-particle":"","parse-names":false,"suffix":""},{"dropping-particle":"","family":"Bazalova-Carter","given":"Magdalena","non-dropping-particle":"","parse-names":false,"suffix":""},{"dropping-particle":"","family":"Bolch","given":"Wesley E.","non-dropping-particle":"","parse-names":false,"suffix":""},{"dropping-particle":"","family":"Heath","given":"Emily C.","non-dropping-particle":"","parse-names":false,"suffix":""},{"dropping-particle":"","family":"McNitt-Gray","given":"Michael F.","non-dropping-particle":"","parse-names":false,"suffix":""},{"dropping-particle":"","family":"Sempau","given":"Josep","non-dropping-particle":"","parse-names":false,"suffix":""},{"dropping-particle":"","family":"Williamson","given":"Jeffrey F.","non-dropping-particle":"","parse-names":false,"suffix":""}],"container-title":"Medical Physics","id":"ITEM-3","issue":"1","issued":{"date-parts":[["2018"]]},"page":"e1-e5","title":"RECORDS: Improved Reporting of montE CarlO RaDiation transport Studies: Report of the AAPM Research Committee Task Group 268","type":"article-journal","volume":"45"},"uris":["http://www.mendeley.com/documents/?uuid=f15a2d0d-46e5-429c-bf69-d3ae8ed068af"]}],"mendeley":{"formattedCitation":"&lt;sup&gt;41–43&lt;/sup&gt;","plainTextFormattedCitation":"41–43"},"properties":{"noteIndex":0},"schema":"https://github.com/citation-style-language/schema/raw/master/csl-citation.json"}</w:instrText>
      </w:r>
      <w:r>
        <w:rPr>
          <w:color w:val="000000" w:themeColor="text1"/>
          <w:lang w:val="en-US"/>
        </w:rPr>
        <w:fldChar w:fldCharType="separate"/>
      </w:r>
      <w:r w:rsidRPr="00663AA6">
        <w:rPr>
          <w:noProof/>
          <w:color w:val="000000" w:themeColor="text1"/>
          <w:vertAlign w:val="superscript"/>
          <w:lang w:val="en-US"/>
        </w:rPr>
        <w:t>41–43</w:t>
      </w:r>
      <w:r>
        <w:rPr>
          <w:color w:val="000000" w:themeColor="text1"/>
          <w:lang w:val="en-US"/>
        </w:rPr>
        <w:fldChar w:fldCharType="end"/>
      </w:r>
      <w:r w:rsidRPr="008104F7">
        <w:rPr>
          <w:color w:val="000000" w:themeColor="text1"/>
          <w:lang w:val="en-US"/>
        </w:rPr>
        <w:t>.</w:t>
      </w:r>
    </w:p>
    <w:p w14:paraId="561ECF84" w14:textId="77777777" w:rsidR="00A559CA" w:rsidRPr="008104F7" w:rsidRDefault="00A559CA" w:rsidP="00A559CA">
      <w:pPr>
        <w:pStyle w:val="NormalWeb"/>
        <w:numPr>
          <w:ilvl w:val="0"/>
          <w:numId w:val="1"/>
        </w:numPr>
        <w:spacing w:before="0" w:beforeAutospacing="0" w:after="0" w:afterAutospacing="0" w:line="480" w:lineRule="auto"/>
        <w:ind w:right="-278"/>
        <w:jc w:val="both"/>
        <w:rPr>
          <w:color w:val="000000" w:themeColor="text1"/>
          <w:lang w:val="en-US"/>
        </w:rPr>
      </w:pPr>
      <w:r w:rsidRPr="008104F7">
        <w:rPr>
          <w:color w:val="000000" w:themeColor="text1"/>
          <w:lang w:val="en-US"/>
        </w:rPr>
        <w:t>Supplementary Figure 1: Template guideline for functional RILD scoring.</w:t>
      </w:r>
    </w:p>
    <w:p w14:paraId="770BD8AF" w14:textId="77777777" w:rsidR="00A559CA" w:rsidRPr="008104F7" w:rsidRDefault="00A559CA" w:rsidP="00A559CA">
      <w:pPr>
        <w:pStyle w:val="ListParagraph"/>
        <w:numPr>
          <w:ilvl w:val="0"/>
          <w:numId w:val="1"/>
        </w:numPr>
        <w:spacing w:line="480" w:lineRule="auto"/>
        <w:rPr>
          <w:rFonts w:ascii="Times New Roman" w:hAnsi="Times New Roman" w:cs="Times New Roman"/>
          <w:color w:val="000000" w:themeColor="text1"/>
          <w:lang w:val="en-US"/>
        </w:rPr>
      </w:pPr>
      <w:r w:rsidRPr="008104F7">
        <w:rPr>
          <w:rFonts w:ascii="Times New Roman" w:hAnsi="Times New Roman" w:cs="Times New Roman"/>
          <w:color w:val="000000" w:themeColor="text1"/>
          <w:lang w:val="en-US"/>
        </w:rPr>
        <w:t>Supplementary Figure 2: Acute damage development and RILD development, all doses</w:t>
      </w:r>
      <w:r>
        <w:rPr>
          <w:rFonts w:ascii="Times New Roman" w:hAnsi="Times New Roman" w:cs="Times New Roman"/>
          <w:color w:val="000000" w:themeColor="text1"/>
          <w:lang w:val="en-US"/>
        </w:rPr>
        <w:t>.</w:t>
      </w:r>
    </w:p>
    <w:p w14:paraId="190A0037" w14:textId="77777777" w:rsidR="00A559CA" w:rsidRDefault="00A559CA" w:rsidP="00A559CA">
      <w:pPr>
        <w:rPr>
          <w:lang w:val="en-US"/>
        </w:rPr>
      </w:pPr>
    </w:p>
    <w:p w14:paraId="1B53BBE9" w14:textId="77777777" w:rsidR="00A559CA" w:rsidRPr="00A559CA" w:rsidRDefault="00A559CA" w:rsidP="00A559CA">
      <w:pPr>
        <w:rPr>
          <w:lang w:val="en-US"/>
        </w:rPr>
      </w:pPr>
    </w:p>
    <w:p w14:paraId="212759B7" w14:textId="58B92493" w:rsidR="00CE0F97" w:rsidRPr="00A559CA" w:rsidRDefault="00881AA2">
      <w:pPr>
        <w:rPr>
          <w:lang w:val="en-US"/>
        </w:rPr>
      </w:pPr>
    </w:p>
    <w:sectPr w:rsidR="00CE0F97" w:rsidRPr="00A559CA" w:rsidSect="00D30196">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5C0051"/>
    <w:multiLevelType w:val="multilevel"/>
    <w:tmpl w:val="8E82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9CA"/>
    <w:rsid w:val="00242C44"/>
    <w:rsid w:val="00355385"/>
    <w:rsid w:val="003F3E64"/>
    <w:rsid w:val="0040410A"/>
    <w:rsid w:val="00507DC7"/>
    <w:rsid w:val="0051159D"/>
    <w:rsid w:val="007C1916"/>
    <w:rsid w:val="007F05DF"/>
    <w:rsid w:val="00822BD0"/>
    <w:rsid w:val="00881AA2"/>
    <w:rsid w:val="00882461"/>
    <w:rsid w:val="00892580"/>
    <w:rsid w:val="008F512A"/>
    <w:rsid w:val="009F6E7F"/>
    <w:rsid w:val="00A559CA"/>
    <w:rsid w:val="00AC457B"/>
    <w:rsid w:val="00B606CE"/>
    <w:rsid w:val="00BD38DB"/>
    <w:rsid w:val="00D30196"/>
    <w:rsid w:val="00E1591B"/>
    <w:rsid w:val="00E34D89"/>
    <w:rsid w:val="00EE05B7"/>
    <w:rsid w:val="00F24D0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45BEB"/>
  <w15:chartTrackingRefBased/>
  <w15:docId w15:val="{493A6C81-3922-2944-9602-6E121966E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59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59C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559C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59C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559C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559CA"/>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qFormat/>
    <w:rsid w:val="00A559CA"/>
    <w:pPr>
      <w:spacing w:before="100" w:beforeAutospacing="1" w:after="100" w:afterAutospacing="1"/>
    </w:pPr>
    <w:rPr>
      <w:rFonts w:ascii="Times New Roman" w:eastAsia="Times New Roman" w:hAnsi="Times New Roman" w:cs="Times New Roman"/>
      <w:kern w:val="0"/>
      <w:lang w:eastAsia="da-DK"/>
      <w14:ligatures w14:val="none"/>
    </w:rPr>
  </w:style>
  <w:style w:type="character" w:styleId="Hyperlink">
    <w:name w:val="Hyperlink"/>
    <w:basedOn w:val="DefaultParagraphFont"/>
    <w:uiPriority w:val="99"/>
    <w:semiHidden/>
    <w:unhideWhenUsed/>
    <w:rsid w:val="00A559CA"/>
    <w:rPr>
      <w:color w:val="0000FF"/>
      <w:u w:val="single"/>
    </w:rPr>
  </w:style>
  <w:style w:type="paragraph" w:styleId="ListParagraph">
    <w:name w:val="List Paragraph"/>
    <w:basedOn w:val="Normal"/>
    <w:uiPriority w:val="34"/>
    <w:qFormat/>
    <w:rsid w:val="00A559CA"/>
    <w:pPr>
      <w:ind w:left="720"/>
      <w:contextualSpacing/>
    </w:pPr>
  </w:style>
  <w:style w:type="character" w:styleId="FollowedHyperlink">
    <w:name w:val="FollowedHyperlink"/>
    <w:basedOn w:val="DefaultParagraphFont"/>
    <w:uiPriority w:val="99"/>
    <w:semiHidden/>
    <w:unhideWhenUsed/>
    <w:rsid w:val="00507D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APTG/2022_DCPT_MICE" TargetMode="External"/><Relationship Id="rId5" Type="http://schemas.openxmlformats.org/officeDocument/2006/relationships/hyperlink" Target="https://github.com/APTG/2022_DCPT_MICE"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Cathrine Overgaard</dc:creator>
  <cp:keywords/>
  <dc:description/>
  <cp:lastModifiedBy>Jamuna Chandrashekar</cp:lastModifiedBy>
  <cp:revision>2</cp:revision>
  <dcterms:created xsi:type="dcterms:W3CDTF">2023-08-17T15:13:00Z</dcterms:created>
  <dcterms:modified xsi:type="dcterms:W3CDTF">2023-08-17T15:13:00Z</dcterms:modified>
</cp:coreProperties>
</file>