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AD6" w:rsidRPr="006C7255" w:rsidRDefault="00047AD6" w:rsidP="00883221">
      <w:pPr>
        <w:pStyle w:val="Heading2"/>
        <w:spacing w:line="480" w:lineRule="auto"/>
      </w:pPr>
      <w:bookmarkStart w:id="0" w:name="_GoBack"/>
      <w:bookmarkEnd w:id="0"/>
      <w:r>
        <w:t>Supplementary material</w:t>
      </w:r>
    </w:p>
    <w:p w:rsidR="00047AD6" w:rsidRPr="00047AD6" w:rsidRDefault="00047AD6" w:rsidP="00883221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0047AD6">
        <w:t xml:space="preserve">A database with OAR parameters and priorities was created, aligning with the clinical goals in </w:t>
      </w:r>
      <w:r w:rsidR="00883221">
        <w:t>T</w:t>
      </w:r>
      <w:r w:rsidRPr="00047AD6">
        <w:t>able 1 [1]. High-priority structures, such as the spinal cord and brain stem (priority = 1), were identified as critical OARs. Consequently, the target volumes were adjusted to exclude these OARs, along with a 3 mm safety margin, for the optimization process. Conversely, for other OARs not designated as high-priority (priority = 4), the target volume was excluded from consideration within the OAR, and the resulting structure was utili</w:t>
      </w:r>
      <w:r w:rsidR="00883221">
        <w:t>s</w:t>
      </w:r>
      <w:r w:rsidRPr="00047AD6">
        <w:t>ed during optimization.</w:t>
      </w:r>
    </w:p>
    <w:p w:rsidR="00047AD6" w:rsidRDefault="00047AD6" w:rsidP="00047AD6">
      <w:pPr>
        <w:autoSpaceDE w:val="0"/>
        <w:autoSpaceDN w:val="0"/>
        <w:adjustRightInd w:val="0"/>
        <w:rPr>
          <w:u w:val="single"/>
        </w:rPr>
      </w:pPr>
    </w:p>
    <w:p w:rsidR="00047AD6" w:rsidRPr="00CA4714" w:rsidRDefault="00047AD6" w:rsidP="00883221">
      <w:pPr>
        <w:autoSpaceDE w:val="0"/>
        <w:autoSpaceDN w:val="0"/>
        <w:adjustRightInd w:val="0"/>
        <w:spacing w:after="0" w:line="480" w:lineRule="auto"/>
      </w:pPr>
      <w:r w:rsidRPr="004E1B93">
        <w:rPr>
          <w:u w:val="single"/>
        </w:rPr>
        <w:t>TCP assessment</w:t>
      </w:r>
      <w:r w:rsidRPr="00CA4714">
        <w:t>:</w:t>
      </w:r>
    </w:p>
    <w:p w:rsidR="00883221" w:rsidRDefault="00883221" w:rsidP="00883221">
      <w:pPr>
        <w:autoSpaceDE w:val="0"/>
        <w:autoSpaceDN w:val="0"/>
        <w:adjustRightInd w:val="0"/>
        <w:spacing w:after="0" w:line="480" w:lineRule="auto"/>
      </w:pPr>
      <w:r w:rsidRPr="00CA4714">
        <w:t xml:space="preserve">The linear-quadratic model (LQ) describing the distribution of the </w:t>
      </w:r>
      <w:proofErr w:type="spellStart"/>
      <w:r w:rsidRPr="00CA4714">
        <w:t>clonogenic</w:t>
      </w:r>
      <w:proofErr w:type="spellEnd"/>
      <w:r w:rsidRPr="00CA4714">
        <w:t xml:space="preserve"> cells surviving at the end of the treatment </w:t>
      </w:r>
      <w:r>
        <w:t>is</w:t>
      </w:r>
      <w:r w:rsidRPr="00CA4714">
        <w:t xml:space="preserve"> used </w:t>
      </w:r>
      <w:r>
        <w:t>to calculate</w:t>
      </w:r>
      <w:r w:rsidRPr="00CA4714">
        <w:t xml:space="preserve"> the probability of eradicating the </w:t>
      </w:r>
      <w:r>
        <w:t>tumour</w:t>
      </w:r>
      <w:r w:rsidRPr="00CA4714">
        <w:t xml:space="preserve"> cells [</w:t>
      </w:r>
      <w:r>
        <w:t>2</w:t>
      </w:r>
      <w:r w:rsidRPr="00CA4714">
        <w:t>-</w:t>
      </w:r>
      <w:r>
        <w:t>4</w:t>
      </w:r>
      <w:r w:rsidRPr="00CA4714">
        <w:t>].</w:t>
      </w:r>
      <w:r>
        <w:t xml:space="preserve"> </w:t>
      </w:r>
      <w:r w:rsidRPr="00CA4714">
        <w:t>At voxel level</w:t>
      </w:r>
      <w:r>
        <w:t>,</w:t>
      </w:r>
      <w:r w:rsidRPr="00CA4714">
        <w:t xml:space="preserve"> the cell surviving fraction is calculated (</w:t>
      </w:r>
      <w:proofErr w:type="spellStart"/>
      <w:r w:rsidRPr="00CA4714">
        <w:t>SF</w:t>
      </w:r>
      <w:r w:rsidRPr="00CA4714">
        <w:rPr>
          <w:vertAlign w:val="subscript"/>
        </w:rPr>
        <w:t>i</w:t>
      </w:r>
      <w:proofErr w:type="spellEnd"/>
      <w:r w:rsidRPr="00CA4714">
        <w:t>), then the tumour control probability (</w:t>
      </w:r>
      <w:proofErr w:type="spellStart"/>
      <w:r w:rsidRPr="00CA4714">
        <w:t>TCP</w:t>
      </w:r>
      <w:r w:rsidRPr="00CA4714">
        <w:rPr>
          <w:vertAlign w:val="subscript"/>
        </w:rPr>
        <w:t>i</w:t>
      </w:r>
      <w:proofErr w:type="spellEnd"/>
      <w:r w:rsidRPr="00CA4714">
        <w:t>) is calculated within each voxel</w:t>
      </w:r>
      <w:r>
        <w:t>,</w:t>
      </w:r>
      <w:r w:rsidRPr="00CA4714">
        <w:t xml:space="preserve"> and the final TCP corresponding to a given volume (T) is the product of each voxel TCP [</w:t>
      </w:r>
      <w:r>
        <w:t>3</w:t>
      </w:r>
      <w:proofErr w:type="gramStart"/>
      <w:r w:rsidRPr="00CA4714">
        <w:t>,</w:t>
      </w:r>
      <w:r>
        <w:t>4</w:t>
      </w:r>
      <w:proofErr w:type="gramEnd"/>
      <w:r w:rsidRPr="00CA4714">
        <w:t>]</w:t>
      </w:r>
      <w:r>
        <w:t>. Equations 1-3 show the expressions used for a single fraction which can be easily extended to multiple fractions.</w:t>
      </w:r>
    </w:p>
    <w:p w:rsidR="00047AD6" w:rsidRPr="00CA4714" w:rsidRDefault="00617E81" w:rsidP="00883221">
      <w:pPr>
        <w:autoSpaceDE w:val="0"/>
        <w:autoSpaceDN w:val="0"/>
        <w:adjustRightInd w:val="0"/>
        <w:spacing w:after="0" w:line="480" w:lineRule="auto"/>
        <w:jc w:val="center"/>
        <w:rPr>
          <w:lang w:val="en-US"/>
        </w:rPr>
      </w:pP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SF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-</m:t>
            </m:r>
            <m:d>
              <m:dPr>
                <m:ctrlPr>
                  <w:rPr>
                    <w:rFonts w:ascii="Cambria Math" w:hAnsi="Cambria Math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α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</m:den>
                </m:f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β</m:t>
                    </m:r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bSup>
                  </m:den>
                </m:f>
                <m:f>
                  <m:f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bSup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den>
                </m:f>
              </m:e>
            </m:d>
          </m:sup>
        </m:sSup>
      </m:oMath>
      <w:r w:rsidR="00047AD6" w:rsidRPr="00CA4714">
        <w:rPr>
          <w:lang w:val="en-US"/>
        </w:rPr>
        <w:t xml:space="preserve"> </w:t>
      </w:r>
      <w:r w:rsidR="008417D4">
        <w:rPr>
          <w:lang w:val="en-US"/>
        </w:rPr>
        <w:tab/>
      </w:r>
      <w:r w:rsidR="00047AD6" w:rsidRPr="00CA4714">
        <w:rPr>
          <w:lang w:val="en-US"/>
        </w:rPr>
        <w:t>(eq. 1)</w:t>
      </w:r>
    </w:p>
    <w:p w:rsidR="00047AD6" w:rsidRPr="00CA4714" w:rsidRDefault="00617E81" w:rsidP="00883221">
      <w:pPr>
        <w:autoSpaceDE w:val="0"/>
        <w:autoSpaceDN w:val="0"/>
        <w:adjustRightInd w:val="0"/>
        <w:spacing w:after="0" w:line="480" w:lineRule="auto"/>
        <w:jc w:val="center"/>
        <w:rPr>
          <w:lang w:val="en-US"/>
        </w:rPr>
      </w:pP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TCP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-</m:t>
            </m:r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SF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i</m:t>
                </m:r>
              </m:sub>
            </m:sSub>
          </m:sup>
        </m:sSup>
      </m:oMath>
      <w:r w:rsidR="00047AD6" w:rsidRPr="00CA4714">
        <w:rPr>
          <w:lang w:val="en-US"/>
        </w:rPr>
        <w:t xml:space="preserve"> </w:t>
      </w:r>
      <w:r w:rsidR="008417D4">
        <w:rPr>
          <w:lang w:val="en-US"/>
        </w:rPr>
        <w:tab/>
      </w:r>
      <w:r w:rsidR="00047AD6" w:rsidRPr="00CA4714">
        <w:rPr>
          <w:lang w:val="en-US"/>
        </w:rPr>
        <w:t>(eq. 2)</w:t>
      </w:r>
    </w:p>
    <w:p w:rsidR="00047AD6" w:rsidRPr="00CA4714" w:rsidRDefault="00617E81" w:rsidP="00883221">
      <w:pPr>
        <w:autoSpaceDE w:val="0"/>
        <w:autoSpaceDN w:val="0"/>
        <w:adjustRightInd w:val="0"/>
        <w:spacing w:after="0" w:line="480" w:lineRule="auto"/>
        <w:jc w:val="center"/>
        <w:rPr>
          <w:lang w:val="en-US"/>
        </w:rPr>
      </w:pP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TCP</m:t>
            </m:r>
          </m:e>
          <m:sub>
            <m:r>
              <w:rPr>
                <w:rFonts w:ascii="Cambria Math" w:hAnsi="Cambria Math"/>
                <w:lang w:val="en-US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=</m:t>
        </m:r>
        <m:nary>
          <m:naryPr>
            <m:chr m:val="∏"/>
            <m:limLoc m:val="undOvr"/>
            <m:ctrlPr>
              <w:rPr>
                <w:rFonts w:ascii="Cambria Math" w:hAnsi="Cambria Math"/>
                <w:lang w:val="en-US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=1</m:t>
            </m:r>
          </m:sub>
          <m:sup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T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TCP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i</m:t>
                </m:r>
              </m:sub>
            </m:sSub>
          </m:e>
        </m:nary>
      </m:oMath>
      <w:r w:rsidR="00047AD6" w:rsidRPr="00CA4714">
        <w:rPr>
          <w:lang w:val="en-US"/>
        </w:rPr>
        <w:t xml:space="preserve"> </w:t>
      </w:r>
      <w:r w:rsidR="008417D4">
        <w:rPr>
          <w:lang w:val="en-US"/>
        </w:rPr>
        <w:tab/>
      </w:r>
      <w:r w:rsidR="00047AD6" w:rsidRPr="00CA4714">
        <w:rPr>
          <w:lang w:val="en-US"/>
        </w:rPr>
        <w:t>(eq. 3)</w:t>
      </w:r>
    </w:p>
    <w:p w:rsidR="00047AD6" w:rsidRPr="00CA4714" w:rsidRDefault="00883221" w:rsidP="00883221">
      <w:pPr>
        <w:autoSpaceDE w:val="0"/>
        <w:autoSpaceDN w:val="0"/>
        <w:adjustRightInd w:val="0"/>
        <w:spacing w:after="0" w:line="480" w:lineRule="auto"/>
        <w:rPr>
          <w:lang w:val="en-US"/>
        </w:rPr>
      </w:pPr>
      <w:r>
        <w:rPr>
          <w:i/>
          <w:lang w:val="en-US"/>
        </w:rPr>
        <w:t>d</w:t>
      </w:r>
      <w:r w:rsidRPr="00B164BB">
        <w:rPr>
          <w:i/>
          <w:vertAlign w:val="subscript"/>
          <w:lang w:val="en-US"/>
        </w:rPr>
        <w:t>i</w:t>
      </w:r>
      <w:r w:rsidRPr="00CA4714">
        <w:rPr>
          <w:lang w:val="en-US"/>
        </w:rPr>
        <w:t xml:space="preserve"> is the dose absorbed in voxel</w:t>
      </w:r>
      <w:r>
        <w:rPr>
          <w:lang w:val="en-US"/>
        </w:rPr>
        <w:t xml:space="preserve"> </w:t>
      </w:r>
      <w:proofErr w:type="spellStart"/>
      <w:r w:rsidRPr="00B164BB">
        <w:rPr>
          <w:i/>
          <w:lang w:val="en-US"/>
        </w:rPr>
        <w:t>i</w:t>
      </w:r>
      <w:proofErr w:type="spellEnd"/>
      <w:r w:rsidRPr="00CA4714">
        <w:rPr>
          <w:lang w:val="en-US"/>
        </w:rPr>
        <w:t xml:space="preserve">, </w:t>
      </w:r>
      <w:r w:rsidRPr="00B164BB">
        <w:rPr>
          <w:i/>
          <w:lang w:val="en-US"/>
        </w:rPr>
        <w:t>f</w:t>
      </w:r>
      <w:r w:rsidRPr="00B164BB">
        <w:rPr>
          <w:i/>
          <w:vertAlign w:val="subscript"/>
          <w:lang w:val="en-US"/>
        </w:rPr>
        <w:t>i</w:t>
      </w:r>
      <w:r w:rsidRPr="00CA4714">
        <w:rPr>
          <w:lang w:val="en-US"/>
        </w:rPr>
        <w:t xml:space="preserve"> is a modifying factor based on the level of oxygen in that voxel at each fraction and </w:t>
      </w:r>
      <w:r w:rsidRPr="00B164BB">
        <w:rPr>
          <w:i/>
          <w:lang w:val="en-US"/>
        </w:rPr>
        <w:t>α</w:t>
      </w:r>
      <w:r w:rsidRPr="00CA4714">
        <w:rPr>
          <w:lang w:val="en-US"/>
        </w:rPr>
        <w:t xml:space="preserve"> and </w:t>
      </w:r>
      <w:r w:rsidRPr="00B164BB">
        <w:rPr>
          <w:i/>
          <w:lang w:val="en-US"/>
        </w:rPr>
        <w:t>β</w:t>
      </w:r>
      <w:r w:rsidRPr="00CA4714">
        <w:rPr>
          <w:lang w:val="en-US"/>
        </w:rPr>
        <w:t xml:space="preserve"> are the radiobiological parameters of the tumor</w:t>
      </w:r>
      <w:r w:rsidR="008417D4">
        <w:rPr>
          <w:lang w:val="en-US"/>
        </w:rPr>
        <w:t xml:space="preserve"> (Table 2)</w:t>
      </w:r>
      <w:r w:rsidRPr="00CA4714">
        <w:rPr>
          <w:lang w:val="en-US"/>
        </w:rPr>
        <w:t xml:space="preserve">, </w:t>
      </w:r>
      <w:r w:rsidRPr="00B164BB">
        <w:rPr>
          <w:i/>
          <w:lang w:val="en-US"/>
        </w:rPr>
        <w:t>N</w:t>
      </w:r>
      <w:r w:rsidRPr="00B164BB">
        <w:rPr>
          <w:i/>
          <w:vertAlign w:val="subscript"/>
          <w:lang w:val="en-US"/>
        </w:rPr>
        <w:t>i</w:t>
      </w:r>
      <w:r w:rsidRPr="00CA4714">
        <w:rPr>
          <w:lang w:val="en-US"/>
        </w:rPr>
        <w:t xml:space="preserve"> </w:t>
      </w:r>
      <w:r w:rsidRPr="00CA4714">
        <w:rPr>
          <w:lang w:val="en-US"/>
        </w:rPr>
        <w:lastRenderedPageBreak/>
        <w:t xml:space="preserve">is the number of remaining cells within the voxel and </w:t>
      </w:r>
      <w:r w:rsidRPr="00B164BB">
        <w:rPr>
          <w:i/>
          <w:lang w:val="en-US"/>
        </w:rPr>
        <w:t>N</w:t>
      </w:r>
      <w:r w:rsidRPr="00B164BB">
        <w:rPr>
          <w:i/>
          <w:vertAlign w:val="subscript"/>
          <w:lang w:val="en-US"/>
        </w:rPr>
        <w:t>T</w:t>
      </w:r>
      <w:r w:rsidRPr="00CA4714">
        <w:rPr>
          <w:lang w:val="en-US"/>
        </w:rPr>
        <w:t xml:space="preserve"> is the total number of voxels in the volume (T).</w:t>
      </w:r>
    </w:p>
    <w:p w:rsidR="00047AD6" w:rsidRDefault="00047AD6" w:rsidP="00047AD6"/>
    <w:p w:rsidR="00047AD6" w:rsidRDefault="00047AD6" w:rsidP="00883221">
      <w:pPr>
        <w:autoSpaceDE w:val="0"/>
        <w:autoSpaceDN w:val="0"/>
        <w:adjustRightInd w:val="0"/>
        <w:spacing w:after="0" w:line="480" w:lineRule="auto"/>
        <w:rPr>
          <w:lang w:val="en-US"/>
        </w:rPr>
      </w:pPr>
      <w:r w:rsidRPr="0092210E">
        <w:rPr>
          <w:u w:val="single"/>
          <w:lang w:val="en-US"/>
        </w:rPr>
        <w:t>Normal Tissue Complication Probability</w:t>
      </w:r>
      <w:r w:rsidRPr="00CA4714">
        <w:rPr>
          <w:u w:val="single"/>
          <w:lang w:val="en-US"/>
        </w:rPr>
        <w:t xml:space="preserve"> assessment</w:t>
      </w:r>
      <w:r w:rsidRPr="00CA4714">
        <w:rPr>
          <w:lang w:val="en-US"/>
        </w:rPr>
        <w:t>:</w:t>
      </w:r>
    </w:p>
    <w:p w:rsidR="00883221" w:rsidRDefault="00883221" w:rsidP="00883221">
      <w:pPr>
        <w:spacing w:after="0" w:line="480" w:lineRule="auto"/>
        <w:ind w:firstLine="720"/>
        <w:rPr>
          <w:lang w:val="en-US"/>
        </w:rPr>
      </w:pPr>
      <w:r>
        <w:rPr>
          <w:lang w:val="en-US"/>
        </w:rPr>
        <w:t>The N</w:t>
      </w:r>
      <w:r w:rsidRPr="009747D2">
        <w:rPr>
          <w:lang w:val="en-US"/>
        </w:rPr>
        <w:t xml:space="preserve">ormal </w:t>
      </w:r>
      <w:r>
        <w:rPr>
          <w:lang w:val="en-US"/>
        </w:rPr>
        <w:t>Tissue C</w:t>
      </w:r>
      <w:r w:rsidRPr="009747D2">
        <w:rPr>
          <w:lang w:val="en-US"/>
        </w:rPr>
        <w:t xml:space="preserve">omplication </w:t>
      </w:r>
      <w:r>
        <w:rPr>
          <w:lang w:val="en-US"/>
        </w:rPr>
        <w:t>P</w:t>
      </w:r>
      <w:r w:rsidRPr="009747D2">
        <w:rPr>
          <w:lang w:val="en-US"/>
        </w:rPr>
        <w:t>robability</w:t>
      </w:r>
      <w:r>
        <w:rPr>
          <w:lang w:val="en-US"/>
        </w:rPr>
        <w:t xml:space="preserve"> (NTCP)</w:t>
      </w:r>
      <w:r w:rsidRPr="009747D2">
        <w:rPr>
          <w:lang w:val="en-US"/>
        </w:rPr>
        <w:t xml:space="preserve"> </w:t>
      </w:r>
      <w:r>
        <w:rPr>
          <w:lang w:val="en-US"/>
        </w:rPr>
        <w:t xml:space="preserve">assessment has been calculated based on </w:t>
      </w:r>
      <w:r w:rsidRPr="009747D2">
        <w:rPr>
          <w:lang w:val="en-US"/>
        </w:rPr>
        <w:t>Lyman-Kutcher-Burman model</w:t>
      </w:r>
      <w:r>
        <w:rPr>
          <w:lang w:val="en-US"/>
        </w:rPr>
        <w:t xml:space="preserve"> [5-7]. This model</w:t>
      </w:r>
      <w:r w:rsidRPr="009747D2">
        <w:rPr>
          <w:lang w:val="en-US"/>
        </w:rPr>
        <w:t xml:space="preserve"> </w:t>
      </w:r>
      <w:r>
        <w:rPr>
          <w:lang w:val="en-US"/>
        </w:rPr>
        <w:t xml:space="preserve">uses four parameters and </w:t>
      </w:r>
      <w:r w:rsidRPr="009747D2">
        <w:rPr>
          <w:lang w:val="en-US"/>
        </w:rPr>
        <w:t xml:space="preserve">the normal tissue tolerance data from </w:t>
      </w:r>
      <w:proofErr w:type="spellStart"/>
      <w:r w:rsidRPr="009747D2">
        <w:rPr>
          <w:lang w:val="en-US"/>
        </w:rPr>
        <w:t>Emami</w:t>
      </w:r>
      <w:proofErr w:type="spellEnd"/>
      <w:r w:rsidRPr="009747D2">
        <w:rPr>
          <w:lang w:val="en-US"/>
        </w:rPr>
        <w:t xml:space="preserve"> et al. </w:t>
      </w:r>
      <w:r>
        <w:rPr>
          <w:lang w:val="en-US"/>
        </w:rPr>
        <w:t>[8]</w:t>
      </w:r>
      <w:r w:rsidRPr="009747D2">
        <w:rPr>
          <w:lang w:val="en-US"/>
        </w:rPr>
        <w:t>.</w:t>
      </w:r>
    </w:p>
    <w:p w:rsidR="00047AD6" w:rsidRPr="009747D2" w:rsidRDefault="00047AD6" w:rsidP="00883221">
      <w:pPr>
        <w:spacing w:after="0" w:line="480" w:lineRule="auto"/>
        <w:ind w:firstLine="720"/>
        <w:rPr>
          <w:lang w:val="en-US"/>
        </w:rPr>
      </w:pPr>
      <m:oMath>
        <m:r>
          <w:rPr>
            <w:rFonts w:ascii="Cambria Math" w:hAnsi="Cambria Math"/>
            <w:lang w:val="en-US"/>
          </w:rPr>
          <m:t>NTCP=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2π</m:t>
                </m:r>
              </m:e>
            </m:rad>
          </m:den>
        </m:f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-∞</m:t>
            </m:r>
          </m:sub>
          <m:sup>
            <m:r>
              <w:rPr>
                <w:rFonts w:ascii="Cambria Math" w:hAnsi="Cambria Math"/>
                <w:lang w:val="en-US"/>
              </w:rPr>
              <m:t>t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den>
                </m:f>
              </m:sup>
            </m:sSup>
          </m:e>
        </m:nary>
        <m:r>
          <w:rPr>
            <w:rFonts w:ascii="Cambria Math" w:hAnsi="Cambria Math"/>
            <w:lang w:val="en-US"/>
          </w:rPr>
          <m:t>dx</m:t>
        </m:r>
      </m:oMath>
      <w:r>
        <w:rPr>
          <w:lang w:val="en-US"/>
        </w:rPr>
        <w:t xml:space="preserve"> (eq. 4)</w:t>
      </w:r>
    </w:p>
    <w:p w:rsidR="00047AD6" w:rsidRDefault="00047AD6" w:rsidP="00883221">
      <w:pPr>
        <w:spacing w:after="0" w:line="480" w:lineRule="auto"/>
        <w:rPr>
          <w:lang w:val="en-US"/>
        </w:rPr>
      </w:pPr>
      <w:proofErr w:type="gramStart"/>
      <w:r w:rsidRPr="009747D2">
        <w:rPr>
          <w:lang w:val="en-US"/>
        </w:rPr>
        <w:t>where</w:t>
      </w:r>
      <w:proofErr w:type="gramEnd"/>
      <w:r w:rsidRPr="009747D2">
        <w:rPr>
          <w:lang w:val="en-US"/>
        </w:rPr>
        <w:t>,</w:t>
      </w:r>
    </w:p>
    <w:p w:rsidR="00047AD6" w:rsidRPr="009747D2" w:rsidRDefault="00047AD6" w:rsidP="00883221">
      <w:pPr>
        <w:spacing w:after="0" w:line="480" w:lineRule="auto"/>
        <w:ind w:firstLine="720"/>
        <w:rPr>
          <w:lang w:val="en-US"/>
        </w:rPr>
      </w:pPr>
      <m:oMath>
        <m:r>
          <w:rPr>
            <w:rFonts w:ascii="Cambria Math" w:hAnsi="Cambria Math"/>
            <w:lang w:val="en-US"/>
          </w:rPr>
          <m:t xml:space="preserve">t=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D-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TD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50</m:t>
                </m:r>
              </m:sub>
            </m:sSub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v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-n</m:t>
                </m:r>
              </m:sup>
            </m:sSup>
          </m:num>
          <m:den>
            <m:r>
              <w:rPr>
                <w:rFonts w:ascii="Cambria Math" w:hAnsi="Cambria Math"/>
                <w:lang w:val="en-US"/>
              </w:rPr>
              <m:t xml:space="preserve">m 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TD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50</m:t>
                </m:r>
              </m:sub>
            </m:sSub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v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-n</m:t>
                </m:r>
              </m:sup>
            </m:sSup>
          </m:den>
        </m:f>
      </m:oMath>
      <w:r>
        <w:rPr>
          <w:lang w:val="en-US"/>
        </w:rPr>
        <w:t xml:space="preserve"> (eq. 5)</w:t>
      </w:r>
    </w:p>
    <w:p w:rsidR="00883221" w:rsidRPr="00CA4714" w:rsidRDefault="00883221" w:rsidP="00883221">
      <w:pPr>
        <w:spacing w:after="0" w:line="480" w:lineRule="auto"/>
        <w:rPr>
          <w:lang w:val="en-US"/>
        </w:rPr>
      </w:pPr>
      <w:r w:rsidRPr="00B164BB">
        <w:rPr>
          <w:rFonts w:ascii="Cambria Math" w:hAnsi="Cambria Math" w:cs="Cambria Math"/>
          <w:i/>
          <w:lang w:val="en-US"/>
        </w:rPr>
        <w:t>𝑇𝐷</w:t>
      </w:r>
      <w:r w:rsidRPr="00B164BB">
        <w:rPr>
          <w:i/>
          <w:lang w:val="en-US"/>
        </w:rPr>
        <w:t>50</w:t>
      </w:r>
      <w:r>
        <w:rPr>
          <w:lang w:val="en-US"/>
        </w:rPr>
        <w:t xml:space="preserve"> is the tolerance dose, </w:t>
      </w:r>
      <w:r w:rsidRPr="00B164BB">
        <w:rPr>
          <w:rFonts w:ascii="Cambria Math" w:hAnsi="Cambria Math" w:cs="Cambria Math"/>
          <w:i/>
          <w:lang w:val="en-US"/>
        </w:rPr>
        <w:t>𝑣</w:t>
      </w:r>
      <w:r w:rsidRPr="00B164BB">
        <w:rPr>
          <w:i/>
          <w:lang w:val="en-US"/>
        </w:rPr>
        <w:t xml:space="preserve"> </w:t>
      </w:r>
      <w:r w:rsidRPr="009747D2">
        <w:rPr>
          <w:lang w:val="en-US"/>
        </w:rPr>
        <w:t xml:space="preserve">is the </w:t>
      </w:r>
      <w:r>
        <w:rPr>
          <w:lang w:val="en-US"/>
        </w:rPr>
        <w:t>fractional</w:t>
      </w:r>
      <w:r w:rsidRPr="009747D2">
        <w:rPr>
          <w:lang w:val="en-US"/>
        </w:rPr>
        <w:t xml:space="preserve"> volume </w:t>
      </w:r>
      <w:r>
        <w:rPr>
          <w:lang w:val="en-US"/>
        </w:rPr>
        <w:t xml:space="preserve">irradiated by uniform dose </w:t>
      </w:r>
      <w:r w:rsidRPr="00B164BB">
        <w:rPr>
          <w:i/>
          <w:lang w:val="en-US"/>
        </w:rPr>
        <w:t>D</w:t>
      </w:r>
      <w:r>
        <w:rPr>
          <w:lang w:val="en-US"/>
        </w:rPr>
        <w:t>,</w:t>
      </w:r>
      <w:r w:rsidRPr="009747D2">
        <w:rPr>
          <w:lang w:val="en-US"/>
        </w:rPr>
        <w:t xml:space="preserve">  </w:t>
      </w:r>
      <w:r>
        <w:rPr>
          <w:lang w:val="en-US"/>
        </w:rPr>
        <w:t>is the parameter</w:t>
      </w:r>
      <w:r w:rsidRPr="009747D2">
        <w:rPr>
          <w:lang w:val="en-US"/>
        </w:rPr>
        <w:t xml:space="preserve"> </w:t>
      </w:r>
      <w:r>
        <w:rPr>
          <w:lang w:val="en-US"/>
        </w:rPr>
        <w:t>that</w:t>
      </w:r>
      <w:r w:rsidRPr="009747D2">
        <w:rPr>
          <w:lang w:val="en-US"/>
        </w:rPr>
        <w:t xml:space="preserve"> describe</w:t>
      </w:r>
      <w:r>
        <w:rPr>
          <w:lang w:val="en-US"/>
        </w:rPr>
        <w:t>s</w:t>
      </w:r>
      <w:r w:rsidRPr="009747D2">
        <w:rPr>
          <w:lang w:val="en-US"/>
        </w:rPr>
        <w:t xml:space="preserve"> the volume dependence of the NTCP and </w:t>
      </w:r>
      <w:r w:rsidRPr="00B164BB">
        <w:rPr>
          <w:rFonts w:ascii="Cambria Math" w:hAnsi="Cambria Math" w:cs="Cambria Math"/>
          <w:i/>
          <w:lang w:val="en-US"/>
        </w:rPr>
        <w:t>𝑚</w:t>
      </w:r>
      <w:r w:rsidRPr="009747D2">
        <w:rPr>
          <w:lang w:val="en-US"/>
        </w:rPr>
        <w:t xml:space="preserve"> </w:t>
      </w:r>
      <w:r>
        <w:rPr>
          <w:lang w:val="en-US"/>
        </w:rPr>
        <w:t>the</w:t>
      </w:r>
      <w:r w:rsidRPr="009747D2">
        <w:rPr>
          <w:lang w:val="en-US"/>
        </w:rPr>
        <w:t xml:space="preserve"> slope of the dose response. </w:t>
      </w:r>
      <w:r>
        <w:rPr>
          <w:lang w:val="en-US"/>
        </w:rPr>
        <w:t>T</w:t>
      </w:r>
      <w:r w:rsidRPr="009747D2">
        <w:rPr>
          <w:lang w:val="en-US"/>
        </w:rPr>
        <w:t>he non-homogeneous dose distribution in the OAR</w:t>
      </w:r>
      <w:r>
        <w:rPr>
          <w:lang w:val="en-US"/>
        </w:rPr>
        <w:t>s is accounted using the effective volume method [5]</w:t>
      </w:r>
      <w:r w:rsidRPr="009747D2">
        <w:rPr>
          <w:lang w:val="en-US"/>
        </w:rPr>
        <w:t>.</w:t>
      </w:r>
      <w:r>
        <w:rPr>
          <w:lang w:val="en-US"/>
        </w:rPr>
        <w:t xml:space="preserve"> Also, d</w:t>
      </w:r>
      <w:r w:rsidRPr="00924DD1">
        <w:rPr>
          <w:lang w:val="en-US"/>
        </w:rPr>
        <w:t xml:space="preserve">ifferent endpoints of the OARs </w:t>
      </w:r>
      <w:r>
        <w:rPr>
          <w:lang w:val="en-US"/>
        </w:rPr>
        <w:t xml:space="preserve">were considered as shown </w:t>
      </w:r>
      <w:r w:rsidR="008417D4">
        <w:rPr>
          <w:lang w:val="en-US"/>
        </w:rPr>
        <w:t>in T</w:t>
      </w:r>
      <w:r>
        <w:rPr>
          <w:lang w:val="en-US"/>
        </w:rPr>
        <w:t xml:space="preserve">able 3 </w:t>
      </w:r>
      <w:r w:rsidRPr="00924DD1">
        <w:rPr>
          <w:lang w:val="en-US"/>
        </w:rPr>
        <w:t>[</w:t>
      </w:r>
      <w:r>
        <w:rPr>
          <w:lang w:val="en-US"/>
        </w:rPr>
        <w:t>9</w:t>
      </w:r>
      <w:r w:rsidRPr="00924DD1">
        <w:rPr>
          <w:lang w:val="en-US"/>
        </w:rPr>
        <w:t>]</w:t>
      </w:r>
      <w:r>
        <w:rPr>
          <w:lang w:val="en-US"/>
        </w:rPr>
        <w:t>.</w:t>
      </w:r>
    </w:p>
    <w:p w:rsidR="00047AD6" w:rsidRDefault="00047AD6" w:rsidP="00047AD6">
      <w:pPr>
        <w:autoSpaceDE w:val="0"/>
        <w:autoSpaceDN w:val="0"/>
        <w:adjustRightInd w:val="0"/>
        <w:spacing w:line="240" w:lineRule="auto"/>
        <w:rPr>
          <w:b/>
          <w:bCs/>
          <w:color w:val="FF0000"/>
          <w:sz w:val="20"/>
          <w:szCs w:val="20"/>
          <w:lang w:val="en-US"/>
        </w:rPr>
      </w:pPr>
    </w:p>
    <w:p w:rsidR="00047AD6" w:rsidRPr="00B164BB" w:rsidRDefault="00047AD6" w:rsidP="00047AD6">
      <w:pPr>
        <w:rPr>
          <w:b/>
          <w:color w:val="000000"/>
        </w:rPr>
      </w:pPr>
      <w:r w:rsidRPr="00B164BB">
        <w:rPr>
          <w:b/>
          <w:color w:val="000000"/>
        </w:rPr>
        <w:t>References:</w:t>
      </w:r>
    </w:p>
    <w:p w:rsidR="00047AD6" w:rsidRPr="00F37E6C" w:rsidRDefault="00047AD6" w:rsidP="00047AD6">
      <w:pPr>
        <w:spacing w:line="360" w:lineRule="auto"/>
        <w:rPr>
          <w:sz w:val="20"/>
          <w:szCs w:val="20"/>
          <w:lang w:val="en-US"/>
        </w:rPr>
      </w:pPr>
      <w:r w:rsidRPr="00D45AC4">
        <w:rPr>
          <w:sz w:val="20"/>
          <w:szCs w:val="20"/>
          <w:lang w:val="fi-FI"/>
        </w:rPr>
        <w:t xml:space="preserve">[1] Lee AW, Ng WT, Pan JJ et al. </w:t>
      </w:r>
      <w:r w:rsidRPr="00F37E6C">
        <w:rPr>
          <w:sz w:val="20"/>
          <w:szCs w:val="20"/>
          <w:lang w:val="en-US"/>
        </w:rPr>
        <w:t xml:space="preserve">International Guideline on Dose Prioritization and Acceptance Criteria in Radiation Therapy Planning for Nasopharyngeal Carcinoma. </w:t>
      </w:r>
      <w:proofErr w:type="spellStart"/>
      <w:r w:rsidRPr="00F37E6C">
        <w:rPr>
          <w:sz w:val="20"/>
          <w:szCs w:val="20"/>
          <w:lang w:val="en-US"/>
        </w:rPr>
        <w:t>Int</w:t>
      </w:r>
      <w:proofErr w:type="spellEnd"/>
      <w:r>
        <w:rPr>
          <w:sz w:val="20"/>
          <w:szCs w:val="20"/>
          <w:lang w:val="en-US"/>
        </w:rPr>
        <w:t xml:space="preserve"> J </w:t>
      </w:r>
      <w:proofErr w:type="spellStart"/>
      <w:r>
        <w:rPr>
          <w:sz w:val="20"/>
          <w:szCs w:val="20"/>
          <w:lang w:val="en-US"/>
        </w:rPr>
        <w:t>Radiat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Oncol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Biol</w:t>
      </w:r>
      <w:proofErr w:type="spellEnd"/>
      <w:r>
        <w:rPr>
          <w:sz w:val="20"/>
          <w:szCs w:val="20"/>
          <w:lang w:val="en-US"/>
        </w:rPr>
        <w:t xml:space="preserve"> Phys. 2019; </w:t>
      </w:r>
      <w:r w:rsidRPr="00F37E6C">
        <w:rPr>
          <w:sz w:val="20"/>
          <w:szCs w:val="20"/>
          <w:lang w:val="en-US"/>
        </w:rPr>
        <w:t xml:space="preserve">105(3):567-580. </w:t>
      </w:r>
    </w:p>
    <w:p w:rsidR="00047AD6" w:rsidRPr="00CA4714" w:rsidRDefault="00047AD6" w:rsidP="00047AD6">
      <w:pPr>
        <w:spacing w:line="360" w:lineRule="auto"/>
        <w:rPr>
          <w:sz w:val="20"/>
          <w:szCs w:val="20"/>
          <w:lang w:val="en-US"/>
        </w:rPr>
      </w:pPr>
      <w:r w:rsidRPr="007C7074">
        <w:rPr>
          <w:sz w:val="20"/>
          <w:szCs w:val="20"/>
          <w:lang w:val="en-US"/>
        </w:rPr>
        <w:t>[</w:t>
      </w:r>
      <w:r>
        <w:rPr>
          <w:sz w:val="20"/>
          <w:szCs w:val="20"/>
          <w:lang w:val="en-US"/>
        </w:rPr>
        <w:t>2</w:t>
      </w:r>
      <w:r w:rsidRPr="007C7074">
        <w:rPr>
          <w:sz w:val="20"/>
          <w:szCs w:val="20"/>
          <w:lang w:val="en-US"/>
        </w:rPr>
        <w:t xml:space="preserve">] Webb S and Nahum, AE. </w:t>
      </w:r>
      <w:r w:rsidRPr="00F37E6C">
        <w:rPr>
          <w:sz w:val="20"/>
          <w:szCs w:val="20"/>
          <w:lang w:val="en-US"/>
        </w:rPr>
        <w:t xml:space="preserve">A model of calculating tumor control probability in radiotherapy including the effects of inhomogeneous distributions of dose and </w:t>
      </w:r>
      <w:proofErr w:type="spellStart"/>
      <w:r w:rsidRPr="00F37E6C">
        <w:rPr>
          <w:sz w:val="20"/>
          <w:szCs w:val="20"/>
          <w:lang w:val="en-US"/>
        </w:rPr>
        <w:t>clonogenic</w:t>
      </w:r>
      <w:proofErr w:type="spellEnd"/>
      <w:r w:rsidRPr="00F37E6C">
        <w:rPr>
          <w:sz w:val="20"/>
          <w:szCs w:val="20"/>
          <w:lang w:val="en-US"/>
        </w:rPr>
        <w:t xml:space="preserve"> cell density. </w:t>
      </w:r>
      <w:r w:rsidRPr="00CA4714">
        <w:rPr>
          <w:sz w:val="20"/>
          <w:szCs w:val="20"/>
          <w:lang w:val="en-US"/>
        </w:rPr>
        <w:t>Phys. Med. Biol. 1993; 653-666.</w:t>
      </w:r>
    </w:p>
    <w:p w:rsidR="00047AD6" w:rsidRPr="00CA4714" w:rsidRDefault="00047AD6" w:rsidP="00047AD6">
      <w:pPr>
        <w:spacing w:line="360" w:lineRule="auto"/>
        <w:rPr>
          <w:sz w:val="20"/>
          <w:szCs w:val="20"/>
          <w:lang w:val="es-ES_tradnl"/>
        </w:rPr>
      </w:pPr>
      <w:r w:rsidRPr="00CA4714">
        <w:rPr>
          <w:sz w:val="20"/>
          <w:szCs w:val="20"/>
          <w:lang w:val="en-US"/>
        </w:rPr>
        <w:lastRenderedPageBreak/>
        <w:t>[</w:t>
      </w:r>
      <w:r>
        <w:rPr>
          <w:sz w:val="20"/>
          <w:szCs w:val="20"/>
          <w:lang w:val="en-US"/>
        </w:rPr>
        <w:t>3</w:t>
      </w:r>
      <w:r w:rsidRPr="00CA4714">
        <w:rPr>
          <w:sz w:val="20"/>
          <w:szCs w:val="20"/>
          <w:lang w:val="en-US"/>
        </w:rPr>
        <w:t xml:space="preserve">] </w:t>
      </w:r>
      <w:proofErr w:type="spellStart"/>
      <w:r w:rsidRPr="00CA4714">
        <w:rPr>
          <w:sz w:val="20"/>
          <w:szCs w:val="20"/>
          <w:lang w:val="en-US"/>
        </w:rPr>
        <w:t>Toma-Daşu</w:t>
      </w:r>
      <w:proofErr w:type="spellEnd"/>
      <w:r w:rsidRPr="00CA4714">
        <w:rPr>
          <w:sz w:val="20"/>
          <w:szCs w:val="20"/>
          <w:lang w:val="en-US"/>
        </w:rPr>
        <w:t xml:space="preserve"> I, </w:t>
      </w:r>
      <w:proofErr w:type="spellStart"/>
      <w:r w:rsidRPr="00CA4714">
        <w:rPr>
          <w:sz w:val="20"/>
          <w:szCs w:val="20"/>
          <w:lang w:val="en-US"/>
        </w:rPr>
        <w:t>Daşu</w:t>
      </w:r>
      <w:proofErr w:type="spellEnd"/>
      <w:r w:rsidRPr="00CA4714">
        <w:rPr>
          <w:sz w:val="20"/>
          <w:szCs w:val="20"/>
          <w:lang w:val="en-US"/>
        </w:rPr>
        <w:t xml:space="preserve"> A. and </w:t>
      </w:r>
      <w:proofErr w:type="spellStart"/>
      <w:r w:rsidRPr="00CA4714">
        <w:rPr>
          <w:sz w:val="20"/>
          <w:szCs w:val="20"/>
          <w:lang w:val="en-US"/>
        </w:rPr>
        <w:t>Brahme</w:t>
      </w:r>
      <w:proofErr w:type="spellEnd"/>
      <w:r w:rsidRPr="00CA4714">
        <w:rPr>
          <w:sz w:val="20"/>
          <w:szCs w:val="20"/>
          <w:lang w:val="en-US"/>
        </w:rPr>
        <w:t xml:space="preserve"> A. Dose prescription and </w:t>
      </w:r>
      <w:proofErr w:type="spellStart"/>
      <w:r w:rsidRPr="00CA4714">
        <w:rPr>
          <w:sz w:val="20"/>
          <w:szCs w:val="20"/>
          <w:lang w:val="en-US"/>
        </w:rPr>
        <w:t>optimisation</w:t>
      </w:r>
      <w:proofErr w:type="spellEnd"/>
      <w:r w:rsidRPr="00CA4714">
        <w:rPr>
          <w:sz w:val="20"/>
          <w:szCs w:val="20"/>
          <w:lang w:val="en-US"/>
        </w:rPr>
        <w:t xml:space="preserve"> based on </w:t>
      </w:r>
      <w:proofErr w:type="spellStart"/>
      <w:r>
        <w:rPr>
          <w:sz w:val="20"/>
          <w:szCs w:val="20"/>
          <w:lang w:val="en-US"/>
        </w:rPr>
        <w:t>tumour</w:t>
      </w:r>
      <w:proofErr w:type="spellEnd"/>
      <w:r>
        <w:rPr>
          <w:sz w:val="20"/>
          <w:szCs w:val="20"/>
          <w:lang w:val="en-US"/>
        </w:rPr>
        <w:t xml:space="preserve"> hypoxia. </w:t>
      </w:r>
      <w:r w:rsidRPr="00CA4714">
        <w:rPr>
          <w:sz w:val="20"/>
          <w:szCs w:val="20"/>
          <w:lang w:val="es-ES_tradnl"/>
        </w:rPr>
        <w:t xml:space="preserve">Acta </w:t>
      </w:r>
      <w:proofErr w:type="spellStart"/>
      <w:r w:rsidRPr="00CA4714">
        <w:rPr>
          <w:sz w:val="20"/>
          <w:szCs w:val="20"/>
          <w:lang w:val="es-ES_tradnl"/>
        </w:rPr>
        <w:t>Oncol</w:t>
      </w:r>
      <w:proofErr w:type="spellEnd"/>
      <w:r w:rsidRPr="00CA4714">
        <w:rPr>
          <w:sz w:val="20"/>
          <w:szCs w:val="20"/>
          <w:lang w:val="es-ES_tradnl"/>
        </w:rPr>
        <w:t>. 2009; 48(8): 1181–1192.</w:t>
      </w:r>
    </w:p>
    <w:p w:rsidR="00047AD6" w:rsidRPr="00CA4714" w:rsidRDefault="00047AD6" w:rsidP="00047AD6">
      <w:pPr>
        <w:spacing w:line="360" w:lineRule="auto"/>
        <w:rPr>
          <w:sz w:val="20"/>
          <w:szCs w:val="20"/>
          <w:lang w:val="en-US"/>
        </w:rPr>
      </w:pPr>
      <w:r w:rsidRPr="00CA4714">
        <w:rPr>
          <w:sz w:val="20"/>
          <w:szCs w:val="20"/>
          <w:lang w:val="es-ES_tradnl"/>
        </w:rPr>
        <w:t>[</w:t>
      </w:r>
      <w:r>
        <w:rPr>
          <w:sz w:val="20"/>
          <w:szCs w:val="20"/>
          <w:lang w:val="es-ES_tradnl"/>
        </w:rPr>
        <w:t>4</w:t>
      </w:r>
      <w:r w:rsidRPr="00CA4714">
        <w:rPr>
          <w:sz w:val="20"/>
          <w:szCs w:val="20"/>
          <w:lang w:val="es-ES_tradnl"/>
        </w:rPr>
        <w:t>] Toma-</w:t>
      </w:r>
      <w:proofErr w:type="spellStart"/>
      <w:r w:rsidRPr="00CA4714">
        <w:rPr>
          <w:sz w:val="20"/>
          <w:szCs w:val="20"/>
          <w:lang w:val="es-ES_tradnl"/>
        </w:rPr>
        <w:t>Dasu</w:t>
      </w:r>
      <w:proofErr w:type="spellEnd"/>
      <w:r w:rsidRPr="00CA4714">
        <w:rPr>
          <w:sz w:val="20"/>
          <w:szCs w:val="20"/>
          <w:lang w:val="es-ES_tradnl"/>
        </w:rPr>
        <w:t xml:space="preserve"> I, </w:t>
      </w:r>
      <w:proofErr w:type="spellStart"/>
      <w:r w:rsidRPr="00CA4714">
        <w:rPr>
          <w:sz w:val="20"/>
          <w:szCs w:val="20"/>
          <w:lang w:val="es-ES_tradnl"/>
        </w:rPr>
        <w:t>Uhrdin</w:t>
      </w:r>
      <w:proofErr w:type="spellEnd"/>
      <w:r w:rsidRPr="00CA4714">
        <w:rPr>
          <w:sz w:val="20"/>
          <w:szCs w:val="20"/>
          <w:lang w:val="es-ES_tradnl"/>
        </w:rPr>
        <w:t xml:space="preserve"> J, </w:t>
      </w:r>
      <w:proofErr w:type="spellStart"/>
      <w:r w:rsidRPr="00CA4714">
        <w:rPr>
          <w:sz w:val="20"/>
          <w:szCs w:val="20"/>
          <w:lang w:val="es-ES_tradnl"/>
        </w:rPr>
        <w:t>Antonovic</w:t>
      </w:r>
      <w:proofErr w:type="spellEnd"/>
      <w:r w:rsidRPr="00CA4714">
        <w:rPr>
          <w:sz w:val="20"/>
          <w:szCs w:val="20"/>
          <w:lang w:val="es-ES_tradnl"/>
        </w:rPr>
        <w:t xml:space="preserve"> L et al. </w:t>
      </w:r>
      <w:r w:rsidRPr="005933CC">
        <w:rPr>
          <w:sz w:val="20"/>
          <w:szCs w:val="20"/>
        </w:rPr>
        <w:t xml:space="preserve">Dose prescription and treatment planning based on FMISO-PET hypoxia. </w:t>
      </w:r>
      <w:proofErr w:type="spellStart"/>
      <w:r w:rsidRPr="006278F4">
        <w:rPr>
          <w:sz w:val="20"/>
          <w:szCs w:val="20"/>
          <w:lang w:val="en-US"/>
        </w:rPr>
        <w:t>Acta</w:t>
      </w:r>
      <w:proofErr w:type="spellEnd"/>
      <w:r w:rsidRPr="006278F4">
        <w:rPr>
          <w:sz w:val="20"/>
          <w:szCs w:val="20"/>
          <w:lang w:val="en-US"/>
        </w:rPr>
        <w:t xml:space="preserve"> </w:t>
      </w:r>
      <w:proofErr w:type="spellStart"/>
      <w:r w:rsidRPr="006278F4">
        <w:rPr>
          <w:sz w:val="20"/>
          <w:szCs w:val="20"/>
          <w:lang w:val="en-US"/>
        </w:rPr>
        <w:t>Oncol</w:t>
      </w:r>
      <w:proofErr w:type="spellEnd"/>
      <w:r w:rsidRPr="006278F4">
        <w:rPr>
          <w:sz w:val="20"/>
          <w:szCs w:val="20"/>
          <w:lang w:val="en-US"/>
        </w:rPr>
        <w:t>. 2012; 51(2): 222-230.</w:t>
      </w:r>
    </w:p>
    <w:p w:rsidR="00047AD6" w:rsidRPr="00CA4714" w:rsidRDefault="00047AD6" w:rsidP="00047AD6">
      <w:pPr>
        <w:pStyle w:val="NormalWeb"/>
        <w:spacing w:before="0" w:beforeAutospacing="0" w:after="0" w:afterAutospacing="0" w:line="360" w:lineRule="auto"/>
        <w:rPr>
          <w:sz w:val="20"/>
          <w:szCs w:val="20"/>
          <w:lang w:eastAsia="en-GB"/>
        </w:rPr>
      </w:pPr>
      <w:r w:rsidRPr="00CA4714">
        <w:rPr>
          <w:sz w:val="20"/>
          <w:szCs w:val="20"/>
          <w:lang w:eastAsia="en-GB"/>
        </w:rPr>
        <w:t>[</w:t>
      </w:r>
      <w:r>
        <w:rPr>
          <w:sz w:val="20"/>
          <w:szCs w:val="20"/>
          <w:lang w:eastAsia="en-GB"/>
        </w:rPr>
        <w:t>5</w:t>
      </w:r>
      <w:r w:rsidRPr="00CA4714">
        <w:rPr>
          <w:sz w:val="20"/>
          <w:szCs w:val="20"/>
          <w:lang w:eastAsia="en-GB"/>
        </w:rPr>
        <w:t xml:space="preserve">] </w:t>
      </w:r>
      <w:r>
        <w:rPr>
          <w:sz w:val="20"/>
          <w:szCs w:val="20"/>
          <w:lang w:eastAsia="en-GB"/>
        </w:rPr>
        <w:t>Kutcher</w:t>
      </w:r>
      <w:r w:rsidRPr="00CA4714">
        <w:rPr>
          <w:sz w:val="20"/>
          <w:szCs w:val="20"/>
          <w:lang w:eastAsia="en-GB"/>
        </w:rPr>
        <w:t xml:space="preserve"> G</w:t>
      </w:r>
      <w:r>
        <w:rPr>
          <w:sz w:val="20"/>
          <w:szCs w:val="20"/>
          <w:lang w:eastAsia="en-GB"/>
        </w:rPr>
        <w:t>J</w:t>
      </w:r>
      <w:r w:rsidRPr="00CA4714">
        <w:rPr>
          <w:sz w:val="20"/>
          <w:szCs w:val="20"/>
          <w:lang w:eastAsia="en-GB"/>
        </w:rPr>
        <w:t xml:space="preserve"> </w:t>
      </w:r>
      <w:r>
        <w:rPr>
          <w:sz w:val="20"/>
          <w:szCs w:val="20"/>
          <w:lang w:eastAsia="en-GB"/>
        </w:rPr>
        <w:t>and Burman C</w:t>
      </w:r>
      <w:r w:rsidRPr="00CA4714">
        <w:rPr>
          <w:sz w:val="20"/>
          <w:szCs w:val="20"/>
          <w:lang w:eastAsia="en-GB"/>
        </w:rPr>
        <w:t>. Calculation of complication probability factors for non-uniform normal tissue irradiation: the effective volume method</w:t>
      </w:r>
      <w:r>
        <w:rPr>
          <w:sz w:val="20"/>
          <w:szCs w:val="20"/>
          <w:lang w:eastAsia="en-GB"/>
        </w:rPr>
        <w:t>.</w:t>
      </w:r>
      <w:r w:rsidRPr="007C7074">
        <w:rPr>
          <w:sz w:val="20"/>
          <w:szCs w:val="20"/>
        </w:rPr>
        <w:t xml:space="preserve"> </w:t>
      </w:r>
      <w:r w:rsidRPr="005933CC">
        <w:rPr>
          <w:sz w:val="20"/>
          <w:szCs w:val="20"/>
        </w:rPr>
        <w:t xml:space="preserve">Int. J. </w:t>
      </w:r>
      <w:proofErr w:type="spellStart"/>
      <w:r w:rsidRPr="005933CC">
        <w:rPr>
          <w:sz w:val="20"/>
          <w:szCs w:val="20"/>
        </w:rPr>
        <w:t>Radiat</w:t>
      </w:r>
      <w:proofErr w:type="spellEnd"/>
      <w:r w:rsidRPr="005933CC">
        <w:rPr>
          <w:sz w:val="20"/>
          <w:szCs w:val="20"/>
        </w:rPr>
        <w:t xml:space="preserve">. </w:t>
      </w:r>
      <w:proofErr w:type="spellStart"/>
      <w:r w:rsidRPr="005933CC">
        <w:rPr>
          <w:sz w:val="20"/>
          <w:szCs w:val="20"/>
        </w:rPr>
        <w:t>Oncol</w:t>
      </w:r>
      <w:proofErr w:type="spellEnd"/>
      <w:r w:rsidRPr="005933CC">
        <w:rPr>
          <w:sz w:val="20"/>
          <w:szCs w:val="20"/>
        </w:rPr>
        <w:t>. Biol. Phys.</w:t>
      </w:r>
      <w:r w:rsidRPr="00CA4714">
        <w:rPr>
          <w:sz w:val="20"/>
          <w:szCs w:val="20"/>
          <w:lang w:eastAsia="en-GB"/>
        </w:rPr>
        <w:t xml:space="preserve"> 1989</w:t>
      </w:r>
      <w:r>
        <w:rPr>
          <w:sz w:val="20"/>
          <w:szCs w:val="20"/>
          <w:lang w:eastAsia="en-GB"/>
        </w:rPr>
        <w:t>; 16:</w:t>
      </w:r>
      <w:r w:rsidRPr="00CA4714">
        <w:rPr>
          <w:sz w:val="20"/>
          <w:szCs w:val="20"/>
          <w:lang w:eastAsia="en-GB"/>
        </w:rPr>
        <w:t>1623-1630.</w:t>
      </w:r>
    </w:p>
    <w:p w:rsidR="00047AD6" w:rsidRPr="007C7074" w:rsidRDefault="00047AD6" w:rsidP="00047AD6">
      <w:pPr>
        <w:autoSpaceDE w:val="0"/>
        <w:autoSpaceDN w:val="0"/>
        <w:adjustRightInd w:val="0"/>
        <w:spacing w:line="360" w:lineRule="auto"/>
        <w:rPr>
          <w:sz w:val="20"/>
          <w:szCs w:val="20"/>
          <w:lang w:val="en-US"/>
        </w:rPr>
      </w:pPr>
      <w:r w:rsidRPr="00CA4714">
        <w:rPr>
          <w:sz w:val="20"/>
          <w:szCs w:val="20"/>
          <w:lang w:val="en-US"/>
        </w:rPr>
        <w:t xml:space="preserve"> </w:t>
      </w:r>
      <w:r w:rsidRPr="007C7074">
        <w:rPr>
          <w:sz w:val="20"/>
          <w:szCs w:val="20"/>
          <w:lang w:val="en-US"/>
        </w:rPr>
        <w:t>[</w:t>
      </w:r>
      <w:r>
        <w:rPr>
          <w:sz w:val="20"/>
          <w:szCs w:val="20"/>
          <w:lang w:val="en-US"/>
        </w:rPr>
        <w:t>6</w:t>
      </w:r>
      <w:r w:rsidRPr="007C7074">
        <w:rPr>
          <w:sz w:val="20"/>
          <w:szCs w:val="20"/>
          <w:lang w:val="en-US"/>
        </w:rPr>
        <w:t xml:space="preserve">] </w:t>
      </w:r>
      <w:r>
        <w:rPr>
          <w:sz w:val="20"/>
          <w:szCs w:val="20"/>
          <w:lang w:val="en-US"/>
        </w:rPr>
        <w:t>Kutcher G, Burman C, Brewster L</w:t>
      </w:r>
      <w:r w:rsidRPr="007C7074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>et al</w:t>
      </w:r>
      <w:r w:rsidRPr="007C7074">
        <w:rPr>
          <w:sz w:val="20"/>
          <w:szCs w:val="20"/>
          <w:lang w:val="en-US"/>
        </w:rPr>
        <w:t xml:space="preserve">. </w:t>
      </w:r>
      <w:r w:rsidRPr="00F37E6C">
        <w:rPr>
          <w:sz w:val="20"/>
          <w:szCs w:val="20"/>
          <w:lang w:val="en-US"/>
        </w:rPr>
        <w:t xml:space="preserve">Histogram reduction method for calculating complication probabilities for three-dimensional treatment planning evaluations. </w:t>
      </w:r>
      <w:r w:rsidRPr="005933CC">
        <w:rPr>
          <w:sz w:val="20"/>
          <w:szCs w:val="20"/>
        </w:rPr>
        <w:t xml:space="preserve">Int. J. </w:t>
      </w:r>
      <w:proofErr w:type="spellStart"/>
      <w:r w:rsidRPr="005933CC">
        <w:rPr>
          <w:sz w:val="20"/>
          <w:szCs w:val="20"/>
        </w:rPr>
        <w:t>Radiat</w:t>
      </w:r>
      <w:proofErr w:type="spellEnd"/>
      <w:r w:rsidRPr="005933CC">
        <w:rPr>
          <w:sz w:val="20"/>
          <w:szCs w:val="20"/>
        </w:rPr>
        <w:t xml:space="preserve">. </w:t>
      </w:r>
      <w:proofErr w:type="spellStart"/>
      <w:r w:rsidRPr="005933CC">
        <w:rPr>
          <w:sz w:val="20"/>
          <w:szCs w:val="20"/>
        </w:rPr>
        <w:t>Oncol</w:t>
      </w:r>
      <w:proofErr w:type="spellEnd"/>
      <w:r w:rsidRPr="005933CC">
        <w:rPr>
          <w:sz w:val="20"/>
          <w:szCs w:val="20"/>
        </w:rPr>
        <w:t>. Biol. Phys.</w:t>
      </w:r>
      <w:r>
        <w:rPr>
          <w:sz w:val="20"/>
          <w:szCs w:val="20"/>
        </w:rPr>
        <w:t xml:space="preserve"> </w:t>
      </w:r>
      <w:r w:rsidRPr="007C7074">
        <w:rPr>
          <w:sz w:val="20"/>
          <w:szCs w:val="20"/>
          <w:lang w:val="en-US"/>
        </w:rPr>
        <w:t>1991; 21:137-146.</w:t>
      </w:r>
    </w:p>
    <w:p w:rsidR="00047AD6" w:rsidRPr="007C7074" w:rsidRDefault="00047AD6" w:rsidP="00047AD6">
      <w:pPr>
        <w:pStyle w:val="NormalWeb"/>
        <w:spacing w:before="0" w:beforeAutospacing="0" w:after="0" w:afterAutospacing="0" w:line="360" w:lineRule="auto"/>
        <w:rPr>
          <w:sz w:val="20"/>
          <w:szCs w:val="20"/>
          <w:lang w:eastAsia="en-GB"/>
        </w:rPr>
      </w:pPr>
      <w:r w:rsidRPr="007C7074">
        <w:rPr>
          <w:sz w:val="20"/>
          <w:szCs w:val="20"/>
          <w:lang w:eastAsia="en-GB"/>
        </w:rPr>
        <w:t xml:space="preserve"> [</w:t>
      </w:r>
      <w:r>
        <w:rPr>
          <w:sz w:val="20"/>
          <w:szCs w:val="20"/>
          <w:lang w:eastAsia="en-GB"/>
        </w:rPr>
        <w:t>7</w:t>
      </w:r>
      <w:r w:rsidRPr="007C7074">
        <w:rPr>
          <w:sz w:val="20"/>
          <w:szCs w:val="20"/>
          <w:lang w:eastAsia="en-GB"/>
        </w:rPr>
        <w:t xml:space="preserve">] Lyman J. Complication probability as assessed from dose-volume histograms. </w:t>
      </w:r>
      <w:proofErr w:type="spellStart"/>
      <w:r w:rsidRPr="007C7074">
        <w:rPr>
          <w:sz w:val="20"/>
          <w:szCs w:val="20"/>
          <w:lang w:eastAsia="en-GB"/>
        </w:rPr>
        <w:t>Radiat</w:t>
      </w:r>
      <w:proofErr w:type="spellEnd"/>
      <w:r w:rsidRPr="007C7074">
        <w:rPr>
          <w:sz w:val="20"/>
          <w:szCs w:val="20"/>
          <w:lang w:eastAsia="en-GB"/>
        </w:rPr>
        <w:t xml:space="preserve"> Res. 1985;</w:t>
      </w:r>
      <w:r>
        <w:rPr>
          <w:sz w:val="20"/>
          <w:szCs w:val="20"/>
          <w:lang w:eastAsia="en-GB"/>
        </w:rPr>
        <w:t xml:space="preserve"> </w:t>
      </w:r>
      <w:proofErr w:type="spellStart"/>
      <w:r w:rsidRPr="007C7074">
        <w:rPr>
          <w:sz w:val="20"/>
          <w:szCs w:val="20"/>
          <w:lang w:eastAsia="en-GB"/>
        </w:rPr>
        <w:t>Supl</w:t>
      </w:r>
      <w:proofErr w:type="spellEnd"/>
      <w:r w:rsidRPr="007C7074">
        <w:rPr>
          <w:sz w:val="20"/>
          <w:szCs w:val="20"/>
          <w:lang w:eastAsia="en-GB"/>
        </w:rPr>
        <w:t xml:space="preserve"> 8(104):S13-S19.</w:t>
      </w:r>
    </w:p>
    <w:p w:rsidR="00047AD6" w:rsidRPr="007C7074" w:rsidRDefault="00047AD6" w:rsidP="00047AD6">
      <w:pPr>
        <w:autoSpaceDE w:val="0"/>
        <w:autoSpaceDN w:val="0"/>
        <w:adjustRightInd w:val="0"/>
        <w:spacing w:line="360" w:lineRule="auto"/>
        <w:rPr>
          <w:sz w:val="20"/>
          <w:szCs w:val="20"/>
          <w:lang w:val="en-US"/>
        </w:rPr>
      </w:pPr>
      <w:r w:rsidRPr="007C7074">
        <w:rPr>
          <w:sz w:val="20"/>
          <w:szCs w:val="20"/>
          <w:lang w:val="en-US"/>
        </w:rPr>
        <w:t>[</w:t>
      </w:r>
      <w:r>
        <w:rPr>
          <w:sz w:val="20"/>
          <w:szCs w:val="20"/>
          <w:lang w:val="en-US"/>
        </w:rPr>
        <w:t>8</w:t>
      </w:r>
      <w:r w:rsidRPr="007C7074">
        <w:rPr>
          <w:sz w:val="20"/>
          <w:szCs w:val="20"/>
          <w:lang w:val="en-US"/>
        </w:rPr>
        <w:t xml:space="preserve">] </w:t>
      </w:r>
      <w:proofErr w:type="spellStart"/>
      <w:r w:rsidRPr="007C7074">
        <w:rPr>
          <w:sz w:val="20"/>
          <w:szCs w:val="20"/>
          <w:lang w:val="en-US"/>
        </w:rPr>
        <w:t>Emami</w:t>
      </w:r>
      <w:proofErr w:type="spellEnd"/>
      <w:r w:rsidRPr="007C7074">
        <w:rPr>
          <w:sz w:val="20"/>
          <w:szCs w:val="20"/>
          <w:lang w:val="en-US"/>
        </w:rPr>
        <w:t xml:space="preserve"> B, Lyman, J, Br</w:t>
      </w:r>
      <w:r>
        <w:rPr>
          <w:sz w:val="20"/>
          <w:szCs w:val="20"/>
          <w:lang w:val="en-US"/>
        </w:rPr>
        <w:t>own, A</w:t>
      </w:r>
      <w:r w:rsidRPr="007C7074">
        <w:rPr>
          <w:sz w:val="20"/>
          <w:szCs w:val="20"/>
          <w:lang w:val="en-US"/>
        </w:rPr>
        <w:t xml:space="preserve"> et al. Tolerance of normal tissue to therapeutic irradiation. </w:t>
      </w:r>
      <w:r w:rsidRPr="005933CC">
        <w:rPr>
          <w:sz w:val="20"/>
          <w:szCs w:val="20"/>
        </w:rPr>
        <w:t xml:space="preserve">Int. J. </w:t>
      </w:r>
      <w:proofErr w:type="spellStart"/>
      <w:r w:rsidRPr="005933CC">
        <w:rPr>
          <w:sz w:val="20"/>
          <w:szCs w:val="20"/>
        </w:rPr>
        <w:t>Radiat</w:t>
      </w:r>
      <w:proofErr w:type="spellEnd"/>
      <w:r w:rsidRPr="005933CC">
        <w:rPr>
          <w:sz w:val="20"/>
          <w:szCs w:val="20"/>
        </w:rPr>
        <w:t xml:space="preserve">. </w:t>
      </w:r>
      <w:proofErr w:type="spellStart"/>
      <w:r w:rsidRPr="005933CC">
        <w:rPr>
          <w:sz w:val="20"/>
          <w:szCs w:val="20"/>
        </w:rPr>
        <w:t>Oncol</w:t>
      </w:r>
      <w:proofErr w:type="spellEnd"/>
      <w:r w:rsidRPr="005933CC">
        <w:rPr>
          <w:sz w:val="20"/>
          <w:szCs w:val="20"/>
        </w:rPr>
        <w:t>. Biol. Phys.</w:t>
      </w:r>
      <w:r>
        <w:rPr>
          <w:sz w:val="20"/>
          <w:szCs w:val="20"/>
        </w:rPr>
        <w:t xml:space="preserve"> 1991;</w:t>
      </w:r>
      <w:r w:rsidRPr="007C7074">
        <w:rPr>
          <w:sz w:val="20"/>
          <w:szCs w:val="20"/>
          <w:lang w:val="en-US"/>
        </w:rPr>
        <w:t xml:space="preserve"> 21:109-122</w:t>
      </w:r>
    </w:p>
    <w:p w:rsidR="00047AD6" w:rsidRDefault="00047AD6" w:rsidP="00047AD6">
      <w:pPr>
        <w:pStyle w:val="NormalWeb"/>
        <w:spacing w:before="0" w:beforeAutospacing="0" w:after="0" w:afterAutospacing="0" w:line="360" w:lineRule="auto"/>
        <w:rPr>
          <w:sz w:val="20"/>
          <w:szCs w:val="20"/>
          <w:lang w:eastAsia="en-GB"/>
        </w:rPr>
      </w:pPr>
      <w:r w:rsidRPr="007C7074">
        <w:rPr>
          <w:sz w:val="20"/>
          <w:szCs w:val="20"/>
          <w:lang w:eastAsia="en-GB"/>
        </w:rPr>
        <w:t>[</w:t>
      </w:r>
      <w:r>
        <w:rPr>
          <w:sz w:val="20"/>
          <w:szCs w:val="20"/>
          <w:lang w:eastAsia="en-GB"/>
        </w:rPr>
        <w:t>9</w:t>
      </w:r>
      <w:r w:rsidRPr="007C7074">
        <w:rPr>
          <w:sz w:val="20"/>
          <w:szCs w:val="20"/>
          <w:lang w:eastAsia="en-GB"/>
        </w:rPr>
        <w:t xml:space="preserve">] </w:t>
      </w:r>
      <w:r>
        <w:rPr>
          <w:sz w:val="20"/>
          <w:szCs w:val="20"/>
          <w:lang w:eastAsia="en-GB"/>
        </w:rPr>
        <w:t>Burman C, Kutcher</w:t>
      </w:r>
      <w:r w:rsidRPr="007C7074">
        <w:rPr>
          <w:sz w:val="20"/>
          <w:szCs w:val="20"/>
          <w:lang w:eastAsia="en-GB"/>
        </w:rPr>
        <w:t xml:space="preserve"> G</w:t>
      </w:r>
      <w:r>
        <w:rPr>
          <w:sz w:val="20"/>
          <w:szCs w:val="20"/>
          <w:lang w:eastAsia="en-GB"/>
        </w:rPr>
        <w:t xml:space="preserve">, </w:t>
      </w:r>
      <w:proofErr w:type="spellStart"/>
      <w:r>
        <w:rPr>
          <w:sz w:val="20"/>
          <w:szCs w:val="20"/>
          <w:lang w:eastAsia="en-GB"/>
        </w:rPr>
        <w:t>Emami</w:t>
      </w:r>
      <w:proofErr w:type="spellEnd"/>
      <w:r>
        <w:rPr>
          <w:sz w:val="20"/>
          <w:szCs w:val="20"/>
          <w:lang w:eastAsia="en-GB"/>
        </w:rPr>
        <w:t xml:space="preserve"> B et al</w:t>
      </w:r>
      <w:r w:rsidRPr="007C7074">
        <w:rPr>
          <w:sz w:val="20"/>
          <w:szCs w:val="20"/>
          <w:lang w:eastAsia="en-GB"/>
        </w:rPr>
        <w:t xml:space="preserve">. Fitting of normal tissue tolerance data to an analytic function. </w:t>
      </w:r>
      <w:r w:rsidRPr="005933CC">
        <w:rPr>
          <w:sz w:val="20"/>
          <w:szCs w:val="20"/>
        </w:rPr>
        <w:t xml:space="preserve">Int. J. </w:t>
      </w:r>
      <w:proofErr w:type="spellStart"/>
      <w:r w:rsidRPr="005933CC">
        <w:rPr>
          <w:sz w:val="20"/>
          <w:szCs w:val="20"/>
        </w:rPr>
        <w:t>Radiat</w:t>
      </w:r>
      <w:proofErr w:type="spellEnd"/>
      <w:r w:rsidRPr="005933CC">
        <w:rPr>
          <w:sz w:val="20"/>
          <w:szCs w:val="20"/>
        </w:rPr>
        <w:t xml:space="preserve">. </w:t>
      </w:r>
      <w:proofErr w:type="spellStart"/>
      <w:r w:rsidRPr="005933CC">
        <w:rPr>
          <w:sz w:val="20"/>
          <w:szCs w:val="20"/>
        </w:rPr>
        <w:t>Oncol</w:t>
      </w:r>
      <w:proofErr w:type="spellEnd"/>
      <w:r w:rsidRPr="005933CC">
        <w:rPr>
          <w:sz w:val="20"/>
          <w:szCs w:val="20"/>
        </w:rPr>
        <w:t>. Biol. Phys.</w:t>
      </w:r>
      <w:r>
        <w:rPr>
          <w:sz w:val="20"/>
          <w:szCs w:val="20"/>
        </w:rPr>
        <w:t xml:space="preserve"> 1991.</w:t>
      </w:r>
      <w:r w:rsidRPr="007C7074">
        <w:rPr>
          <w:sz w:val="20"/>
          <w:szCs w:val="20"/>
          <w:lang w:eastAsia="en-GB"/>
        </w:rPr>
        <w:t xml:space="preserve"> 21:123-135.</w:t>
      </w:r>
    </w:p>
    <w:p w:rsidR="00BA3354" w:rsidRDefault="00BA3354">
      <w:pPr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br w:type="page"/>
      </w:r>
    </w:p>
    <w:p w:rsidR="00047AD6" w:rsidRPr="00BA3354" w:rsidRDefault="00047AD6" w:rsidP="00BA3354">
      <w:pPr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:rsidR="00883221" w:rsidRDefault="00883221" w:rsidP="00883221">
      <w:pPr>
        <w:autoSpaceDE w:val="0"/>
        <w:autoSpaceDN w:val="0"/>
        <w:adjustRightInd w:val="0"/>
        <w:spacing w:line="240" w:lineRule="auto"/>
        <w:jc w:val="center"/>
        <w:rPr>
          <w:sz w:val="20"/>
          <w:szCs w:val="20"/>
        </w:rPr>
      </w:pPr>
    </w:p>
    <w:p w:rsidR="00883221" w:rsidRDefault="00883221" w:rsidP="008832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883221">
        <w:rPr>
          <w:rFonts w:ascii="Times New Roman" w:hAnsi="Times New Roman" w:cs="Times New Roman"/>
          <w:sz w:val="24"/>
          <w:szCs w:val="20"/>
        </w:rPr>
        <w:t>Table 1. OAR desired clinical dose and acceptance criteria.</w:t>
      </w:r>
      <w:r w:rsidR="0030269A">
        <w:rPr>
          <w:rFonts w:ascii="Times New Roman" w:hAnsi="Times New Roman" w:cs="Times New Roman"/>
          <w:sz w:val="24"/>
          <w:szCs w:val="20"/>
        </w:rPr>
        <w:t xml:space="preserve"> </w:t>
      </w:r>
    </w:p>
    <w:p w:rsidR="00BA3354" w:rsidRDefault="00BA3354" w:rsidP="008832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0"/>
        </w:rPr>
      </w:pPr>
    </w:p>
    <w:p w:rsidR="00BA3354" w:rsidRPr="00883221" w:rsidRDefault="00BA3354" w:rsidP="008832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0"/>
        </w:rPr>
      </w:pPr>
    </w:p>
    <w:p w:rsidR="00BA3354" w:rsidRDefault="008417D4" w:rsidP="008417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17D4">
        <w:rPr>
          <w:rFonts w:ascii="Times New Roman" w:hAnsi="Times New Roman" w:cs="Times New Roman"/>
          <w:sz w:val="24"/>
          <w:szCs w:val="24"/>
        </w:rPr>
        <w:t xml:space="preserve">Table 2. </w:t>
      </w:r>
      <w:r w:rsidR="0030269A" w:rsidRPr="0030269A">
        <w:rPr>
          <w:rFonts w:ascii="Times New Roman" w:hAnsi="Times New Roman" w:cs="Times New Roman"/>
          <w:sz w:val="24"/>
          <w:szCs w:val="24"/>
        </w:rPr>
        <w:t>TCP parameter values.</w:t>
      </w:r>
    </w:p>
    <w:p w:rsidR="00BA3354" w:rsidRDefault="00BA3354" w:rsidP="008417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17D4" w:rsidRDefault="008417D4" w:rsidP="008417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3354" w:rsidRDefault="008417D4" w:rsidP="0030269A">
      <w:pPr>
        <w:pStyle w:val="Tabletitle"/>
      </w:pPr>
      <w:r w:rsidRPr="008417D4">
        <w:t xml:space="preserve">Table 3. </w:t>
      </w:r>
      <w:r w:rsidR="0030269A" w:rsidRPr="0030269A">
        <w:t>Parameters used for NTCP calculation for selected OARs.</w:t>
      </w:r>
    </w:p>
    <w:p w:rsidR="00BA3354" w:rsidRPr="00BA3354" w:rsidRDefault="00BA3354" w:rsidP="00BA3354">
      <w:pPr>
        <w:rPr>
          <w:lang w:eastAsia="en-GB"/>
        </w:rPr>
      </w:pPr>
    </w:p>
    <w:p w:rsidR="008417D4" w:rsidRDefault="008417D4" w:rsidP="008417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17D4" w:rsidRDefault="008417D4" w:rsidP="008417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17D4" w:rsidRPr="008417D4" w:rsidRDefault="008417D4" w:rsidP="008417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7AD6" w:rsidRPr="00883221" w:rsidRDefault="00047AD6" w:rsidP="007E25EE">
      <w:pPr>
        <w:rPr>
          <w:b/>
        </w:rPr>
      </w:pPr>
    </w:p>
    <w:sectPr w:rsidR="00047AD6" w:rsidRPr="00883221" w:rsidSect="00A054DE">
      <w:pgSz w:w="12240" w:h="15840"/>
      <w:pgMar w:top="2261" w:right="1440" w:bottom="1440" w:left="22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5EE"/>
    <w:rsid w:val="00047AD6"/>
    <w:rsid w:val="00140AD9"/>
    <w:rsid w:val="0030269A"/>
    <w:rsid w:val="00617E81"/>
    <w:rsid w:val="007E25EE"/>
    <w:rsid w:val="008417D4"/>
    <w:rsid w:val="00883221"/>
    <w:rsid w:val="009D3B89"/>
    <w:rsid w:val="00A054DE"/>
    <w:rsid w:val="00BA3354"/>
    <w:rsid w:val="00BD53FC"/>
    <w:rsid w:val="00E465DB"/>
    <w:rsid w:val="00E54B6B"/>
    <w:rsid w:val="00F7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DDB24-CE46-4B06-97BC-1107D296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qFormat/>
    <w:rsid w:val="00047AD6"/>
    <w:pPr>
      <w:keepNext/>
      <w:spacing w:before="360" w:after="60" w:line="360" w:lineRule="auto"/>
      <w:ind w:right="567"/>
      <w:contextualSpacing/>
      <w:outlineLvl w:val="1"/>
    </w:pPr>
    <w:rPr>
      <w:rFonts w:ascii="Times New Roman" w:eastAsia="Times New Roman" w:hAnsi="Times New Roman" w:cs="Arial"/>
      <w:b/>
      <w:bCs/>
      <w:i/>
      <w:iCs/>
      <w:sz w:val="24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47AD6"/>
    <w:rPr>
      <w:rFonts w:ascii="Times New Roman" w:eastAsia="Times New Roman" w:hAnsi="Times New Roman" w:cs="Arial"/>
      <w:b/>
      <w:bCs/>
      <w:i/>
      <w:iCs/>
      <w:sz w:val="24"/>
      <w:szCs w:val="28"/>
      <w:lang w:val="en-GB" w:eastAsia="en-GB"/>
    </w:rPr>
  </w:style>
  <w:style w:type="paragraph" w:customStyle="1" w:styleId="Tabletitle">
    <w:name w:val="Table title"/>
    <w:basedOn w:val="Normal"/>
    <w:next w:val="Normal"/>
    <w:qFormat/>
    <w:rsid w:val="00047AD6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PlainTable21">
    <w:name w:val="Plain Table 21"/>
    <w:basedOn w:val="TableNormal"/>
    <w:uiPriority w:val="42"/>
    <w:rsid w:val="00047AD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unhideWhenUsed/>
    <w:rsid w:val="00047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Light">
    <w:name w:val="Grid Table Light"/>
    <w:basedOn w:val="TableNormal"/>
    <w:uiPriority w:val="40"/>
    <w:rsid w:val="00047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0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Ureba</dc:creator>
  <cp:keywords/>
  <dc:description/>
  <cp:lastModifiedBy>Jamuna Chandrashekar</cp:lastModifiedBy>
  <cp:revision>2</cp:revision>
  <cp:lastPrinted>2023-08-05T13:45:00Z</cp:lastPrinted>
  <dcterms:created xsi:type="dcterms:W3CDTF">2023-08-22T04:19:00Z</dcterms:created>
  <dcterms:modified xsi:type="dcterms:W3CDTF">2023-08-22T04:19:00Z</dcterms:modified>
</cp:coreProperties>
</file>