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76"/>
        <w:gridCol w:w="1681"/>
        <w:gridCol w:w="1681"/>
      </w:tblGrid>
      <w:tr w:rsidR="00FA1B0A" w:rsidTr="00EA2884">
        <w:tc>
          <w:tcPr>
            <w:tcW w:w="9628" w:type="dxa"/>
            <w:gridSpan w:val="3"/>
          </w:tcPr>
          <w:p w:rsidR="00C330DB" w:rsidRDefault="00FA1B0A" w:rsidP="00EA2884">
            <w:pPr>
              <w:spacing w:line="480" w:lineRule="auto"/>
              <w:rPr>
                <w:rFonts w:ascii="Calibri" w:hAnsi="Calibri" w:cs="Calibri"/>
                <w:sz w:val="22"/>
                <w:szCs w:val="22"/>
              </w:rPr>
            </w:pPr>
            <w:r w:rsidRPr="00FA1B0A">
              <w:rPr>
                <w:rFonts w:ascii="Calibri" w:hAnsi="Calibri" w:cs="Calibri"/>
                <w:sz w:val="22"/>
                <w:szCs w:val="22"/>
              </w:rPr>
              <w:t xml:space="preserve">Supplementary figure 1abc. Kaplan-Meier estimates of overall survival in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(a) </w:t>
            </w:r>
            <w:r w:rsidRPr="00FA1B0A">
              <w:rPr>
                <w:rFonts w:ascii="Calibri" w:hAnsi="Calibri" w:cs="Calibri"/>
                <w:sz w:val="22"/>
                <w:szCs w:val="22"/>
              </w:rPr>
              <w:t>the complete Danish glioblastoma cohort (n=2416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), (b) patients assigned to conventionally fractionated radiotherapy (n=1571), and (c) patients assigned to short-course hypofractionated radiotherapy (n=388) </w:t>
            </w:r>
            <w:r w:rsidRPr="00FA1B0A">
              <w:rPr>
                <w:rFonts w:ascii="Calibri" w:hAnsi="Calibri" w:cs="Calibri"/>
                <w:sz w:val="22"/>
                <w:szCs w:val="22"/>
              </w:rPr>
              <w:t>2011-2019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="00EA2884">
              <w:rPr>
                <w:rFonts w:ascii="Calibri" w:hAnsi="Calibri" w:cs="Calibri"/>
                <w:sz w:val="22"/>
                <w:szCs w:val="22"/>
              </w:rPr>
              <w:t xml:space="preserve"> 95% confidence intervals are shown in light colours.</w:t>
            </w:r>
          </w:p>
        </w:tc>
      </w:tr>
      <w:tr w:rsidR="00FA1B0A" w:rsidTr="00EA2884">
        <w:tc>
          <w:tcPr>
            <w:tcW w:w="3209" w:type="dxa"/>
          </w:tcPr>
          <w:p w:rsidR="00FA1B0A" w:rsidRDefault="00C330DB" w:rsidP="00EA2884">
            <w:pPr>
              <w:spacing w:line="480" w:lineRule="auto"/>
              <w:rPr>
                <w:rFonts w:ascii="Calibri" w:hAnsi="Calibri" w:cs="Calibri"/>
                <w:sz w:val="22"/>
                <w:szCs w:val="22"/>
              </w:rPr>
            </w:pPr>
            <w:r w:rsidRPr="00C330DB">
              <w:rPr>
                <w:rFonts w:ascii="Calibri" w:hAnsi="Calibri" w:cs="Calibri"/>
                <w:noProof/>
                <w:sz w:val="22"/>
                <w:szCs w:val="22"/>
                <w:lang w:val="en-IN" w:eastAsia="en-IN"/>
              </w:rPr>
              <w:drawing>
                <wp:inline distT="0" distB="0" distL="0" distR="0">
                  <wp:extent cx="3838575" cy="2686050"/>
                  <wp:effectExtent l="0" t="0" r="9525" b="0"/>
                  <wp:docPr id="4" name="Picture 4" descr="C:\Users\Jamuna.chandrashekar\Downloads\20230626 Supplementary figure 1a[AU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Jamuna.chandrashekar\Downloads\20230626 Supplementary figure 1a[AU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38575" cy="268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9" w:type="dxa"/>
          </w:tcPr>
          <w:p w:rsidR="00C330DB" w:rsidRDefault="00C330DB" w:rsidP="00EA2884">
            <w:pPr>
              <w:spacing w:line="48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10" w:type="dxa"/>
          </w:tcPr>
          <w:p w:rsidR="00FA1B0A" w:rsidRDefault="00FA1B0A" w:rsidP="00EA2884">
            <w:pPr>
              <w:spacing w:line="48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A1B0A" w:rsidTr="00EA2884">
        <w:tc>
          <w:tcPr>
            <w:tcW w:w="3209" w:type="dxa"/>
          </w:tcPr>
          <w:p w:rsidR="00FA1B0A" w:rsidRPr="00C330DB" w:rsidRDefault="00FA1B0A" w:rsidP="00C330DB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rFonts w:ascii="Calibri" w:hAnsi="Calibri" w:cs="Calibri"/>
                <w:sz w:val="22"/>
                <w:szCs w:val="22"/>
              </w:rPr>
            </w:pPr>
            <w:bookmarkStart w:id="0" w:name="_GoBack"/>
            <w:bookmarkEnd w:id="0"/>
            <w:r w:rsidRPr="00C330DB">
              <w:rPr>
                <w:rFonts w:ascii="Calibri" w:hAnsi="Calibri" w:cs="Calibri"/>
                <w:sz w:val="22"/>
                <w:szCs w:val="22"/>
              </w:rPr>
              <w:t>Complete Danish cohort</w:t>
            </w:r>
          </w:p>
          <w:p w:rsidR="00C330DB" w:rsidRPr="00C330DB" w:rsidRDefault="00C330DB" w:rsidP="00C330DB">
            <w:pPr>
              <w:spacing w:line="480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C330DB" w:rsidRPr="00C330DB" w:rsidRDefault="00C330DB" w:rsidP="00C330DB">
            <w:pPr>
              <w:spacing w:line="480" w:lineRule="auto"/>
              <w:rPr>
                <w:rFonts w:ascii="Calibri" w:hAnsi="Calibri" w:cs="Calibri"/>
                <w:sz w:val="22"/>
                <w:szCs w:val="22"/>
              </w:rPr>
            </w:pPr>
            <w:r w:rsidRPr="00C330DB">
              <w:rPr>
                <w:noProof/>
                <w:lang w:val="en-IN" w:eastAsia="en-IN"/>
              </w:rPr>
              <w:drawing>
                <wp:inline distT="0" distB="0" distL="0" distR="0">
                  <wp:extent cx="3838575" cy="2686050"/>
                  <wp:effectExtent l="0" t="0" r="9525" b="0"/>
                  <wp:docPr id="7" name="Picture 7" descr="C:\Users\Jamuna.chandrashekar\Downloads\20230626 Supplementary figure 1b[AU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Jamuna.chandrashekar\Downloads\20230626 Supplementary figure 1b[AU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38575" cy="268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9" w:type="dxa"/>
          </w:tcPr>
          <w:p w:rsidR="00C330DB" w:rsidRDefault="00C330DB" w:rsidP="00EA2884">
            <w:pPr>
              <w:spacing w:line="48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     </w:t>
            </w:r>
          </w:p>
          <w:p w:rsidR="00C330DB" w:rsidRDefault="00C330DB" w:rsidP="00EA2884">
            <w:pPr>
              <w:spacing w:line="480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C330DB" w:rsidRDefault="00C330DB" w:rsidP="00EA2884">
            <w:pPr>
              <w:spacing w:line="480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C330DB" w:rsidRDefault="00C330DB" w:rsidP="00EA2884">
            <w:pPr>
              <w:spacing w:line="480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C330DB" w:rsidRDefault="00C330DB" w:rsidP="00EA2884">
            <w:pPr>
              <w:spacing w:line="480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C330DB" w:rsidRDefault="00C330DB" w:rsidP="00EA2884">
            <w:pPr>
              <w:spacing w:line="480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C330DB" w:rsidRDefault="00C330DB" w:rsidP="00EA2884">
            <w:pPr>
              <w:spacing w:line="480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C330DB" w:rsidRDefault="00C330DB" w:rsidP="00EA2884">
            <w:pPr>
              <w:spacing w:line="480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C330DB" w:rsidRDefault="00C330DB" w:rsidP="00EA2884">
            <w:pPr>
              <w:spacing w:line="480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C330DB" w:rsidRDefault="00C330DB" w:rsidP="00EA2884">
            <w:pPr>
              <w:spacing w:line="480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FA1B0A" w:rsidRDefault="00C330DB" w:rsidP="00EA2884">
            <w:pPr>
              <w:spacing w:line="48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                          </w:t>
            </w:r>
          </w:p>
        </w:tc>
        <w:tc>
          <w:tcPr>
            <w:tcW w:w="3210" w:type="dxa"/>
          </w:tcPr>
          <w:p w:rsidR="00C330DB" w:rsidRDefault="00C330DB" w:rsidP="00C330DB">
            <w:pPr>
              <w:spacing w:line="480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C330DB" w:rsidRDefault="00C330DB" w:rsidP="00C330DB">
            <w:pPr>
              <w:spacing w:line="480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C330DB" w:rsidRDefault="00C330DB" w:rsidP="00C330DB">
            <w:pPr>
              <w:spacing w:line="480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C330DB" w:rsidRDefault="00C330DB" w:rsidP="00C330DB">
            <w:pPr>
              <w:spacing w:line="480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C330DB" w:rsidRDefault="00C330DB" w:rsidP="00C330DB">
            <w:pPr>
              <w:spacing w:line="480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C330DB" w:rsidRDefault="00C330DB" w:rsidP="00C330DB">
            <w:pPr>
              <w:spacing w:line="480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C330DB" w:rsidRDefault="00C330DB" w:rsidP="00C330DB">
            <w:pPr>
              <w:spacing w:line="480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C330DB" w:rsidRDefault="00C330DB" w:rsidP="00C330DB">
            <w:pPr>
              <w:spacing w:line="480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C330DB" w:rsidRDefault="00C330DB" w:rsidP="00C330DB">
            <w:pPr>
              <w:spacing w:line="480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FA1B0A" w:rsidRDefault="00FA1B0A" w:rsidP="00C330DB">
            <w:pPr>
              <w:spacing w:line="48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C330DB" w:rsidRDefault="00C330DB" w:rsidP="00EA2884">
      <w:pPr>
        <w:spacing w:line="480" w:lineRule="auto"/>
        <w:rPr>
          <w:rFonts w:ascii="Calibri" w:hAnsi="Calibri" w:cs="Calibri"/>
          <w:sz w:val="22"/>
          <w:szCs w:val="22"/>
        </w:rPr>
      </w:pPr>
      <w:r w:rsidRPr="00C330DB">
        <w:rPr>
          <w:rFonts w:ascii="Calibri" w:hAnsi="Calibri" w:cs="Calibri"/>
          <w:sz w:val="22"/>
          <w:szCs w:val="22"/>
        </w:rPr>
        <w:t>b) Conventionally fractionated radiotherapy</w:t>
      </w:r>
    </w:p>
    <w:p w:rsidR="00C330DB" w:rsidRDefault="00C330DB" w:rsidP="00EA2884">
      <w:pPr>
        <w:spacing w:line="480" w:lineRule="auto"/>
        <w:rPr>
          <w:rFonts w:ascii="Calibri" w:hAnsi="Calibri" w:cs="Calibri"/>
          <w:sz w:val="22"/>
          <w:szCs w:val="22"/>
        </w:rPr>
      </w:pPr>
      <w:r w:rsidRPr="00C330DB">
        <w:rPr>
          <w:rFonts w:ascii="Calibri" w:hAnsi="Calibri" w:cs="Calibri"/>
          <w:noProof/>
          <w:sz w:val="22"/>
          <w:szCs w:val="22"/>
          <w:lang w:val="en-IN" w:eastAsia="en-IN"/>
        </w:rPr>
        <w:lastRenderedPageBreak/>
        <w:drawing>
          <wp:inline distT="0" distB="0" distL="0" distR="0">
            <wp:extent cx="3838575" cy="2686050"/>
            <wp:effectExtent l="0" t="0" r="9525" b="0"/>
            <wp:docPr id="8" name="Picture 8" descr="C:\Users\Jamuna.chandrashekar\Downloads\20230626 Supplementary figure 1c[AU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Jamuna.chandrashekar\Downloads\20230626 Supplementary figure 1c[AU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0DB" w:rsidRPr="00FA1B0A" w:rsidRDefault="00C330DB" w:rsidP="00EA2884">
      <w:pPr>
        <w:spacing w:line="480" w:lineRule="auto"/>
        <w:rPr>
          <w:rFonts w:ascii="Calibri" w:hAnsi="Calibri" w:cs="Calibri"/>
          <w:sz w:val="22"/>
          <w:szCs w:val="22"/>
        </w:rPr>
      </w:pPr>
      <w:r w:rsidRPr="00C330DB">
        <w:rPr>
          <w:rFonts w:ascii="Calibri" w:hAnsi="Calibri" w:cs="Calibri"/>
          <w:sz w:val="22"/>
          <w:szCs w:val="22"/>
        </w:rPr>
        <w:t>c) Short-course hypofractionated radiotherapy</w:t>
      </w:r>
    </w:p>
    <w:sectPr w:rsidR="00C330DB" w:rsidRPr="00FA1B0A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91101B"/>
    <w:multiLevelType w:val="hybridMultilevel"/>
    <w:tmpl w:val="416665E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B0A"/>
    <w:rsid w:val="005F222D"/>
    <w:rsid w:val="0078773B"/>
    <w:rsid w:val="00C330DB"/>
    <w:rsid w:val="00EA2884"/>
    <w:rsid w:val="00FA1B0A"/>
    <w:rsid w:val="00FF6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2393FB-4A64-4494-90ED-27FC4F7BD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Verdana" w:eastAsiaTheme="minorHAnsi" w:hAnsi="Verdana" w:cstheme="minorBidi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semiHidden="1" w:uiPriority="21" w:unhideWhenUsed="1" w:qFormat="1"/>
    <w:lsdException w:name="Subtle Reference" w:uiPriority="31" w:qFormat="1"/>
    <w:lsdException w:name="Intense Reference" w:semiHidden="1" w:uiPriority="32" w:unhideWhenUsed="1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64A3"/>
    <w:pPr>
      <w:spacing w:after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5F222D"/>
    <w:pPr>
      <w:keepNext/>
      <w:keepLines/>
      <w:spacing w:before="240"/>
      <w:outlineLvl w:val="0"/>
    </w:pPr>
    <w:rPr>
      <w:rFonts w:eastAsiaTheme="majorEastAsia" w:cstheme="majorBidi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F222D"/>
    <w:pPr>
      <w:keepNext/>
      <w:keepLines/>
      <w:spacing w:before="40"/>
      <w:outlineLvl w:val="1"/>
    </w:pPr>
    <w:rPr>
      <w:rFonts w:eastAsiaTheme="majorEastAsia" w:cstheme="majorBidi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F222D"/>
    <w:pPr>
      <w:keepNext/>
      <w:keepLines/>
      <w:spacing w:before="40"/>
      <w:outlineLvl w:val="2"/>
    </w:pPr>
    <w:rPr>
      <w:rFonts w:eastAsiaTheme="majorEastAsia" w:cstheme="majorBidi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F222D"/>
    <w:pPr>
      <w:keepNext/>
      <w:keepLines/>
      <w:spacing w:before="40"/>
      <w:outlineLvl w:val="3"/>
    </w:pPr>
    <w:rPr>
      <w:rFonts w:eastAsiaTheme="majorEastAsia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222D"/>
    <w:pPr>
      <w:keepNext/>
      <w:keepLines/>
      <w:spacing w:before="40"/>
      <w:outlineLvl w:val="4"/>
    </w:pPr>
    <w:rPr>
      <w:rFonts w:eastAsiaTheme="majorEastAs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222D"/>
    <w:rPr>
      <w:rFonts w:eastAsiaTheme="majorEastAsia" w:cstheme="majorBidi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F222D"/>
    <w:rPr>
      <w:rFonts w:eastAsiaTheme="majorEastAsia" w:cstheme="majorBidi"/>
      <w:sz w:val="24"/>
      <w:szCs w:val="26"/>
    </w:rPr>
  </w:style>
  <w:style w:type="paragraph" w:styleId="NoSpacing">
    <w:name w:val="No Spacing"/>
    <w:uiPriority w:val="1"/>
    <w:qFormat/>
    <w:rsid w:val="005F222D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5F222D"/>
    <w:rPr>
      <w:rFonts w:eastAsiaTheme="majorEastAsia" w:cstheme="majorBidi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F222D"/>
    <w:rPr>
      <w:rFonts w:eastAsiaTheme="majorEastAsia" w:cstheme="majorBidi"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222D"/>
    <w:rPr>
      <w:rFonts w:eastAsiaTheme="majorEastAsia" w:cstheme="majorBidi"/>
    </w:rPr>
  </w:style>
  <w:style w:type="table" w:styleId="TableGrid">
    <w:name w:val="Table Grid"/>
    <w:basedOn w:val="TableNormal"/>
    <w:uiPriority w:val="39"/>
    <w:rsid w:val="00FA1B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330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B627E-E506-474B-B32C-38878D87E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</Words>
  <Characters>453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Region Midtjylland</Company>
  <LinksUpToDate>false</LinksUpToDate>
  <CharactersWithSpaces>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Anouk Kirsten Trip</dc:creator>
  <cp:keywords/>
  <dc:description/>
  <cp:lastModifiedBy>Jamuna Chandrashekar</cp:lastModifiedBy>
  <cp:revision>2</cp:revision>
  <dcterms:created xsi:type="dcterms:W3CDTF">2023-08-01T03:19:00Z</dcterms:created>
  <dcterms:modified xsi:type="dcterms:W3CDTF">2023-08-01T03:19:00Z</dcterms:modified>
</cp:coreProperties>
</file>