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A9BAF" w14:textId="77777777" w:rsidR="00042875" w:rsidRDefault="00042875" w:rsidP="00A820FE">
      <w:pPr>
        <w:spacing w:line="360" w:lineRule="auto"/>
        <w:rPr>
          <w:rFonts w:eastAsiaTheme="minorEastAsia"/>
          <w:b/>
          <w:bCs/>
          <w:sz w:val="22"/>
          <w:szCs w:val="22"/>
          <w:lang w:val="en-US"/>
        </w:rPr>
      </w:pPr>
      <w:bookmarkStart w:id="0" w:name="_GoBack"/>
      <w:bookmarkEnd w:id="0"/>
      <w:r>
        <w:rPr>
          <w:rFonts w:eastAsiaTheme="minorEastAsia"/>
          <w:b/>
          <w:bCs/>
          <w:sz w:val="22"/>
          <w:szCs w:val="22"/>
          <w:lang w:val="en-US"/>
        </w:rPr>
        <w:t>Supplementary methods</w:t>
      </w:r>
    </w:p>
    <w:p w14:paraId="7B3DCA80" w14:textId="77777777" w:rsidR="00042875" w:rsidRDefault="00042875" w:rsidP="00A820FE">
      <w:pPr>
        <w:spacing w:line="360" w:lineRule="auto"/>
        <w:rPr>
          <w:rFonts w:eastAsiaTheme="minorEastAsia"/>
          <w:b/>
          <w:bCs/>
          <w:sz w:val="22"/>
          <w:szCs w:val="22"/>
          <w:lang w:val="en-US"/>
        </w:rPr>
      </w:pPr>
    </w:p>
    <w:p w14:paraId="7819A854" w14:textId="37135201" w:rsidR="00A820FE" w:rsidRDefault="00A820FE" w:rsidP="00A820FE">
      <w:pPr>
        <w:spacing w:line="360" w:lineRule="auto"/>
        <w:rPr>
          <w:rFonts w:eastAsiaTheme="minorEastAsia"/>
          <w:i/>
          <w:iCs/>
          <w:sz w:val="22"/>
          <w:szCs w:val="22"/>
          <w:lang w:val="en-US"/>
        </w:rPr>
      </w:pPr>
      <w:r w:rsidRPr="56D9669F">
        <w:rPr>
          <w:rFonts w:eastAsiaTheme="minorEastAsia"/>
          <w:i/>
          <w:iCs/>
          <w:sz w:val="22"/>
          <w:szCs w:val="22"/>
          <w:lang w:val="en-US"/>
        </w:rPr>
        <w:t>Immunohistochemistry</w:t>
      </w:r>
    </w:p>
    <w:p w14:paraId="0B5B95E1" w14:textId="77777777" w:rsidR="00A820FE" w:rsidRDefault="00A820FE" w:rsidP="00A820FE">
      <w:pPr>
        <w:spacing w:line="360" w:lineRule="auto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New s</w:t>
      </w:r>
      <w:r w:rsidRPr="4290798E">
        <w:rPr>
          <w:rFonts w:eastAsiaTheme="minorEastAsia"/>
          <w:sz w:val="22"/>
          <w:szCs w:val="22"/>
          <w:lang w:val="en-US"/>
        </w:rPr>
        <w:t xml:space="preserve">ections of 4 </w:t>
      </w:r>
      <w:r w:rsidRPr="4290798E">
        <w:rPr>
          <w:rFonts w:eastAsiaTheme="minorEastAsia"/>
          <w:sz w:val="22"/>
          <w:szCs w:val="22"/>
          <w:lang w:val="el"/>
        </w:rPr>
        <w:t>μ</w:t>
      </w:r>
      <w:r w:rsidRPr="4290798E">
        <w:rPr>
          <w:rFonts w:eastAsiaTheme="minorEastAsia"/>
          <w:sz w:val="22"/>
          <w:szCs w:val="22"/>
          <w:lang w:val="en-US"/>
        </w:rPr>
        <w:t xml:space="preserve">m formalin-fixed paraffin embedded </w:t>
      </w:r>
      <w:r>
        <w:rPr>
          <w:rFonts w:eastAsiaTheme="minorEastAsia"/>
          <w:sz w:val="22"/>
          <w:szCs w:val="22"/>
          <w:lang w:val="en-US"/>
        </w:rPr>
        <w:t xml:space="preserve">(FFPE) </w:t>
      </w:r>
      <w:r w:rsidRPr="4290798E">
        <w:rPr>
          <w:rFonts w:eastAsiaTheme="minorEastAsia"/>
          <w:sz w:val="22"/>
          <w:szCs w:val="22"/>
          <w:lang w:val="en-US"/>
        </w:rPr>
        <w:t>prostate needle biopsies were deparaffinized</w:t>
      </w:r>
      <w:r>
        <w:rPr>
          <w:rFonts w:eastAsiaTheme="minorEastAsia"/>
          <w:sz w:val="22"/>
          <w:szCs w:val="22"/>
          <w:lang w:val="en-US"/>
        </w:rPr>
        <w:t xml:space="preserve">, </w:t>
      </w:r>
      <w:r w:rsidRPr="4290798E">
        <w:rPr>
          <w:rFonts w:eastAsiaTheme="minorEastAsia"/>
          <w:sz w:val="22"/>
          <w:szCs w:val="22"/>
          <w:lang w:val="en-US"/>
        </w:rPr>
        <w:t>rehydrated</w:t>
      </w:r>
      <w:r>
        <w:rPr>
          <w:rFonts w:eastAsiaTheme="minorEastAsia"/>
          <w:sz w:val="22"/>
          <w:szCs w:val="22"/>
          <w:lang w:val="en-US"/>
        </w:rPr>
        <w:t xml:space="preserve">, and </w:t>
      </w:r>
      <w:r w:rsidRPr="4290798E">
        <w:rPr>
          <w:rFonts w:eastAsiaTheme="minorEastAsia"/>
          <w:sz w:val="22"/>
          <w:szCs w:val="22"/>
          <w:lang w:val="en-US"/>
        </w:rPr>
        <w:t>used for</w:t>
      </w:r>
      <w:r>
        <w:rPr>
          <w:rFonts w:eastAsiaTheme="minorEastAsia"/>
          <w:sz w:val="22"/>
          <w:szCs w:val="22"/>
          <w:lang w:val="en-US"/>
        </w:rPr>
        <w:t xml:space="preserve"> immunohistochemical analysis. For PSA, the primary antibody (A0562, DAKO) was incubated at 1:1000 dilution for 28 minutes without antigen retrieval. For Ki67, the prediluted primary antibody 30-9 (790-4286, Ventana) was incubated for 32 minutes after antigen retrieval with CC1 for 64 minutes. Staining was performed using Benchmark Ultra with ultraView Universal DAB Detection Kit (760-500, Ventana).</w:t>
      </w:r>
    </w:p>
    <w:p w14:paraId="13C8141E" w14:textId="77777777" w:rsidR="00A820FE" w:rsidRDefault="00A820FE" w:rsidP="00A820FE">
      <w:pPr>
        <w:spacing w:line="360" w:lineRule="auto"/>
        <w:ind w:firstLine="851"/>
        <w:rPr>
          <w:rFonts w:eastAsiaTheme="minorEastAsia"/>
          <w:sz w:val="22"/>
          <w:szCs w:val="22"/>
          <w:lang w:val="en-US"/>
        </w:rPr>
      </w:pPr>
    </w:p>
    <w:p w14:paraId="7DB88728" w14:textId="77777777" w:rsidR="00A820FE" w:rsidRPr="00A338F1" w:rsidRDefault="00A820FE" w:rsidP="00A820FE">
      <w:pPr>
        <w:spacing w:line="360" w:lineRule="auto"/>
        <w:rPr>
          <w:lang w:val="en-US"/>
        </w:rPr>
      </w:pPr>
      <w:r w:rsidRPr="56D9669F">
        <w:rPr>
          <w:rFonts w:eastAsiaTheme="minorEastAsia"/>
          <w:i/>
          <w:iCs/>
          <w:sz w:val="22"/>
          <w:szCs w:val="22"/>
          <w:lang w:val="en-US"/>
        </w:rPr>
        <w:t xml:space="preserve">Evaluation of histology and </w:t>
      </w:r>
      <w:r>
        <w:rPr>
          <w:rFonts w:eastAsiaTheme="minorEastAsia"/>
          <w:i/>
          <w:iCs/>
          <w:sz w:val="22"/>
          <w:szCs w:val="22"/>
          <w:lang w:val="en-US"/>
        </w:rPr>
        <w:t>Ki67</w:t>
      </w:r>
      <w:r w:rsidRPr="56D9669F">
        <w:rPr>
          <w:rFonts w:eastAsiaTheme="minorEastAsia"/>
          <w:i/>
          <w:iCs/>
          <w:sz w:val="22"/>
          <w:szCs w:val="22"/>
          <w:lang w:val="en-US"/>
        </w:rPr>
        <w:t xml:space="preserve"> and PSA staining</w:t>
      </w:r>
    </w:p>
    <w:p w14:paraId="2B25F594" w14:textId="196DBC43" w:rsidR="00A820FE" w:rsidRPr="00AD4CDD" w:rsidRDefault="00A820FE" w:rsidP="00A820FE">
      <w:pPr>
        <w:spacing w:line="360" w:lineRule="auto"/>
        <w:jc w:val="both"/>
        <w:rPr>
          <w:rFonts w:eastAsiaTheme="minorEastAsia"/>
          <w:sz w:val="22"/>
          <w:szCs w:val="22"/>
          <w:lang w:val="en-US"/>
        </w:rPr>
      </w:pPr>
      <w:r w:rsidRPr="3560DD2E">
        <w:rPr>
          <w:rFonts w:eastAsiaTheme="minorEastAsia"/>
          <w:sz w:val="22"/>
          <w:szCs w:val="22"/>
          <w:lang w:val="en-US"/>
        </w:rPr>
        <w:t xml:space="preserve">Hematoxylin and eosin-stained </w:t>
      </w:r>
      <w:r>
        <w:rPr>
          <w:rFonts w:eastAsiaTheme="minorEastAsia"/>
          <w:sz w:val="22"/>
          <w:szCs w:val="22"/>
          <w:lang w:val="en-US"/>
        </w:rPr>
        <w:t>biopsies</w:t>
      </w:r>
      <w:r w:rsidRPr="3560DD2E">
        <w:rPr>
          <w:rFonts w:eastAsiaTheme="minorEastAsia"/>
          <w:sz w:val="22"/>
          <w:szCs w:val="22"/>
          <w:lang w:val="en-US"/>
        </w:rPr>
        <w:t xml:space="preserve"> were Gleason graded according to the 2014 ISUP Consensus Conference. PSA immunoreactivity score </w:t>
      </w:r>
      <w:r>
        <w:rPr>
          <w:rFonts w:eastAsiaTheme="minorEastAsia"/>
          <w:sz w:val="22"/>
          <w:szCs w:val="22"/>
          <w:lang w:val="en-US"/>
        </w:rPr>
        <w:t xml:space="preserve">was calculated </w:t>
      </w:r>
      <w:r w:rsidRPr="3560DD2E">
        <w:rPr>
          <w:rFonts w:eastAsiaTheme="minorEastAsia"/>
          <w:sz w:val="22"/>
          <w:szCs w:val="22"/>
          <w:lang w:val="en-US"/>
        </w:rPr>
        <w:t xml:space="preserve">using a percentage scale for distribution (0: no staining, 1: 1-25%, 2: 26-50%, 3: 51-75%, 4: 76-100%) </w:t>
      </w:r>
      <w:r>
        <w:rPr>
          <w:rFonts w:eastAsiaTheme="minorEastAsia"/>
          <w:sz w:val="22"/>
          <w:szCs w:val="22"/>
          <w:lang w:val="en-US"/>
        </w:rPr>
        <w:t>multiplied with the score</w:t>
      </w:r>
      <w:r w:rsidRPr="3560DD2E">
        <w:rPr>
          <w:rFonts w:eastAsiaTheme="minorEastAsia"/>
          <w:sz w:val="22"/>
          <w:szCs w:val="22"/>
          <w:lang w:val="en-US"/>
        </w:rPr>
        <w:t xml:space="preserve"> for intensity (0: negative, 1: weak, 2: moderate, 3: strong)</w:t>
      </w:r>
      <w:r>
        <w:rPr>
          <w:rFonts w:eastAsiaTheme="minorEastAsia"/>
          <w:sz w:val="22"/>
          <w:szCs w:val="22"/>
          <w:lang w:val="en-US"/>
        </w:rPr>
        <w:t xml:space="preserve"> </w:t>
      </w:r>
      <w:r w:rsidRPr="3560DD2E">
        <w:rPr>
          <w:rFonts w:eastAsiaTheme="minorEastAsia"/>
          <w:sz w:val="22"/>
          <w:szCs w:val="22"/>
          <w:lang w:val="en-US"/>
        </w:rPr>
        <w:t xml:space="preserve">resulting in a score of 0-12. </w:t>
      </w:r>
      <w:r>
        <w:rPr>
          <w:rFonts w:eastAsiaTheme="minorEastAsia"/>
          <w:sz w:val="22"/>
          <w:szCs w:val="22"/>
          <w:lang w:val="en-US"/>
        </w:rPr>
        <w:t>Ki67</w:t>
      </w:r>
      <w:r w:rsidRPr="3560DD2E">
        <w:rPr>
          <w:rFonts w:eastAsiaTheme="minorEastAsia"/>
          <w:sz w:val="22"/>
          <w:szCs w:val="22"/>
          <w:lang w:val="en-US"/>
        </w:rPr>
        <w:t xml:space="preserve"> </w:t>
      </w:r>
      <w:r>
        <w:rPr>
          <w:rFonts w:eastAsiaTheme="minorEastAsia"/>
          <w:sz w:val="22"/>
          <w:szCs w:val="22"/>
          <w:lang w:val="en-US"/>
        </w:rPr>
        <w:t xml:space="preserve">score </w:t>
      </w:r>
      <w:r w:rsidRPr="3560DD2E">
        <w:rPr>
          <w:rFonts w:eastAsiaTheme="minorEastAsia"/>
          <w:sz w:val="22"/>
          <w:szCs w:val="22"/>
          <w:lang w:val="en-US"/>
        </w:rPr>
        <w:t xml:space="preserve">was </w:t>
      </w:r>
      <w:r>
        <w:rPr>
          <w:rFonts w:eastAsiaTheme="minorEastAsia"/>
          <w:sz w:val="22"/>
          <w:szCs w:val="22"/>
          <w:lang w:val="en-US"/>
        </w:rPr>
        <w:t xml:space="preserve">calculated as a mean </w:t>
      </w:r>
      <w:r w:rsidRPr="3560DD2E">
        <w:rPr>
          <w:rFonts w:eastAsiaTheme="minorEastAsia"/>
          <w:sz w:val="22"/>
          <w:szCs w:val="22"/>
          <w:lang w:val="en-US"/>
        </w:rPr>
        <w:t xml:space="preserve">number of strongly positive </w:t>
      </w:r>
      <w:r>
        <w:rPr>
          <w:rFonts w:eastAsiaTheme="minorEastAsia"/>
          <w:sz w:val="22"/>
          <w:szCs w:val="22"/>
          <w:lang w:val="en-US"/>
        </w:rPr>
        <w:t>Ki67</w:t>
      </w:r>
      <w:r w:rsidRPr="3560DD2E">
        <w:rPr>
          <w:rFonts w:eastAsiaTheme="minorEastAsia"/>
          <w:sz w:val="22"/>
          <w:szCs w:val="22"/>
          <w:lang w:val="en-US"/>
        </w:rPr>
        <w:t xml:space="preserve"> epithelial nuclei </w:t>
      </w:r>
      <w:r>
        <w:rPr>
          <w:rFonts w:eastAsiaTheme="minorEastAsia"/>
          <w:sz w:val="22"/>
          <w:szCs w:val="22"/>
          <w:lang w:val="en-US"/>
        </w:rPr>
        <w:t>in</w:t>
      </w:r>
      <w:r w:rsidRPr="3560DD2E">
        <w:rPr>
          <w:rFonts w:eastAsiaTheme="minorEastAsia"/>
          <w:sz w:val="22"/>
          <w:szCs w:val="22"/>
          <w:lang w:val="en-US"/>
        </w:rPr>
        <w:t xml:space="preserve"> </w:t>
      </w:r>
      <w:r>
        <w:rPr>
          <w:rFonts w:eastAsiaTheme="minorEastAsia"/>
          <w:sz w:val="22"/>
          <w:szCs w:val="22"/>
          <w:lang w:val="en-US"/>
        </w:rPr>
        <w:t>at least 5</w:t>
      </w:r>
      <w:r w:rsidRPr="00AD4CDD">
        <w:rPr>
          <w:rFonts w:eastAsiaTheme="minorEastAsia"/>
          <w:sz w:val="22"/>
          <w:szCs w:val="22"/>
          <w:lang w:val="en-US"/>
        </w:rPr>
        <w:t xml:space="preserve">00 randomly selected malignant cells at 400 x magnification. </w:t>
      </w:r>
    </w:p>
    <w:p w14:paraId="6A4B05E8" w14:textId="77777777" w:rsidR="00A820FE" w:rsidRPr="00BC19F2" w:rsidRDefault="00A820FE" w:rsidP="00A820FE">
      <w:pPr>
        <w:spacing w:line="360" w:lineRule="auto"/>
        <w:ind w:firstLine="851"/>
        <w:jc w:val="both"/>
        <w:rPr>
          <w:rFonts w:cstheme="minorHAnsi"/>
          <w:sz w:val="22"/>
          <w:szCs w:val="22"/>
          <w:lang w:val="en-US"/>
        </w:rPr>
      </w:pPr>
      <w:r w:rsidRPr="00AD4CDD">
        <w:rPr>
          <w:rFonts w:eastAsiaTheme="minorEastAsia"/>
          <w:sz w:val="22"/>
          <w:szCs w:val="22"/>
          <w:lang w:val="en-US"/>
        </w:rPr>
        <w:t xml:space="preserve">In the Gothenburg cohort, </w:t>
      </w:r>
      <w:r>
        <w:rPr>
          <w:rFonts w:eastAsiaTheme="minorEastAsia"/>
          <w:sz w:val="22"/>
          <w:szCs w:val="22"/>
          <w:lang w:val="en-US"/>
        </w:rPr>
        <w:t xml:space="preserve">for </w:t>
      </w:r>
      <w:r w:rsidRPr="00AD4CDD">
        <w:rPr>
          <w:rFonts w:eastAsiaTheme="minorEastAsia"/>
          <w:sz w:val="22"/>
          <w:szCs w:val="22"/>
          <w:lang w:val="en-US"/>
        </w:rPr>
        <w:t xml:space="preserve">60 patients </w:t>
      </w:r>
      <w:r>
        <w:rPr>
          <w:rFonts w:eastAsiaTheme="minorEastAsia"/>
          <w:sz w:val="22"/>
          <w:szCs w:val="22"/>
          <w:lang w:val="en-US"/>
        </w:rPr>
        <w:t>two biopsies</w:t>
      </w:r>
      <w:r w:rsidRPr="00AD4CDD">
        <w:rPr>
          <w:rFonts w:eastAsiaTheme="minorEastAsia"/>
          <w:sz w:val="22"/>
          <w:szCs w:val="22"/>
          <w:lang w:val="en-US"/>
        </w:rPr>
        <w:t xml:space="preserve"> were analyzed, while for three patients only one </w:t>
      </w:r>
      <w:r>
        <w:rPr>
          <w:rFonts w:eastAsiaTheme="minorEastAsia"/>
          <w:sz w:val="22"/>
          <w:szCs w:val="22"/>
          <w:lang w:val="en-US"/>
        </w:rPr>
        <w:t>biopsy</w:t>
      </w:r>
      <w:r w:rsidRPr="00AD4CDD">
        <w:rPr>
          <w:rFonts w:eastAsiaTheme="minorEastAsia"/>
          <w:sz w:val="22"/>
          <w:szCs w:val="22"/>
          <w:lang w:val="en-US"/>
        </w:rPr>
        <w:t xml:space="preserve"> was available. The cancer tissue for each biopsy w</w:t>
      </w:r>
      <w:r>
        <w:rPr>
          <w:rFonts w:eastAsiaTheme="minorEastAsia"/>
          <w:sz w:val="22"/>
          <w:szCs w:val="22"/>
          <w:lang w:val="en-US"/>
        </w:rPr>
        <w:t>as</w:t>
      </w:r>
      <w:r w:rsidRPr="00AD4CDD">
        <w:rPr>
          <w:rFonts w:eastAsiaTheme="minorEastAsia"/>
          <w:sz w:val="22"/>
          <w:szCs w:val="22"/>
          <w:lang w:val="en-US"/>
        </w:rPr>
        <w:t xml:space="preserve"> divided in quartiles, resulting in 8 or 4 different scores for each patient,</w:t>
      </w:r>
      <w:r>
        <w:rPr>
          <w:rFonts w:eastAsiaTheme="minorEastAsia"/>
          <w:sz w:val="22"/>
          <w:szCs w:val="22"/>
          <w:lang w:val="en-US"/>
        </w:rPr>
        <w:t xml:space="preserve"> of which the mean was used as the score for each patient</w:t>
      </w:r>
      <w:r w:rsidRPr="00AD4CDD">
        <w:rPr>
          <w:rFonts w:eastAsiaTheme="minorEastAsia"/>
          <w:sz w:val="22"/>
          <w:szCs w:val="22"/>
          <w:lang w:val="en-US"/>
        </w:rPr>
        <w:t xml:space="preserve">. </w:t>
      </w:r>
      <w:r>
        <w:rPr>
          <w:rFonts w:eastAsiaTheme="minorEastAsia"/>
          <w:sz w:val="22"/>
          <w:szCs w:val="22"/>
          <w:lang w:val="en-US"/>
        </w:rPr>
        <w:t>In</w:t>
      </w:r>
      <w:r w:rsidRPr="00AD4CDD">
        <w:rPr>
          <w:rFonts w:eastAsiaTheme="minorEastAsia"/>
          <w:sz w:val="22"/>
          <w:szCs w:val="22"/>
          <w:lang w:val="en-US"/>
        </w:rPr>
        <w:t xml:space="preserve"> the Umeå cohort</w:t>
      </w:r>
      <w:r>
        <w:rPr>
          <w:rFonts w:eastAsiaTheme="minorEastAsia"/>
          <w:sz w:val="22"/>
          <w:szCs w:val="22"/>
          <w:lang w:val="en-US"/>
        </w:rPr>
        <w:t>,</w:t>
      </w:r>
      <w:r w:rsidRPr="00AD4CDD">
        <w:rPr>
          <w:rFonts w:ascii="Calibri" w:eastAsia="Calibri" w:hAnsi="Calibri" w:cs="Calibri"/>
          <w:sz w:val="22"/>
          <w:szCs w:val="22"/>
          <w:lang w:val="en-US"/>
        </w:rPr>
        <w:t xml:space="preserve"> PSA and </w:t>
      </w:r>
      <w:r>
        <w:rPr>
          <w:rFonts w:ascii="Calibri" w:eastAsia="Calibri" w:hAnsi="Calibri" w:cs="Calibri"/>
          <w:sz w:val="22"/>
          <w:szCs w:val="22"/>
          <w:lang w:val="en-US"/>
        </w:rPr>
        <w:t>Ki67</w:t>
      </w:r>
      <w:r w:rsidRPr="00AD4CDD">
        <w:rPr>
          <w:rFonts w:ascii="Calibri" w:eastAsia="Calibri" w:hAnsi="Calibri" w:cs="Calibri"/>
          <w:sz w:val="22"/>
          <w:szCs w:val="22"/>
          <w:lang w:val="en-US"/>
        </w:rPr>
        <w:t xml:space="preserve"> were evaluated for </w:t>
      </w:r>
      <w:r>
        <w:rPr>
          <w:rFonts w:ascii="Calibri" w:eastAsia="Calibri" w:hAnsi="Calibri" w:cs="Calibri"/>
          <w:sz w:val="22"/>
          <w:szCs w:val="22"/>
          <w:lang w:val="en-US"/>
        </w:rPr>
        <w:t>all cancer tissue in the</w:t>
      </w:r>
      <w:r w:rsidRPr="00AD4CDD">
        <w:rPr>
          <w:rFonts w:ascii="Calibri" w:eastAsia="Calibri" w:hAnsi="Calibri" w:cs="Calibri"/>
          <w:sz w:val="22"/>
          <w:szCs w:val="22"/>
          <w:lang w:val="en-US"/>
        </w:rPr>
        <w:t xml:space="preserve"> biops</w:t>
      </w:r>
      <w:r>
        <w:rPr>
          <w:rFonts w:ascii="Calibri" w:eastAsia="Calibri" w:hAnsi="Calibri" w:cs="Calibri"/>
          <w:sz w:val="22"/>
          <w:szCs w:val="22"/>
          <w:lang w:val="en-US"/>
        </w:rPr>
        <w:t>ies</w:t>
      </w:r>
      <w:r w:rsidRPr="00AD4CDD">
        <w:rPr>
          <w:rFonts w:ascii="Calibri" w:eastAsia="Calibri" w:hAnsi="Calibri" w:cs="Calibri"/>
          <w:sz w:val="22"/>
          <w:szCs w:val="22"/>
          <w:lang w:val="en-US"/>
        </w:rPr>
        <w:t xml:space="preserve"> and a mean value were used. </w:t>
      </w:r>
      <w:r w:rsidRPr="00AD4CDD">
        <w:rPr>
          <w:rFonts w:cstheme="minorHAnsi"/>
          <w:sz w:val="22"/>
          <w:szCs w:val="22"/>
          <w:lang w:val="en-US"/>
        </w:rPr>
        <w:t xml:space="preserve">Comparison of the two different cohorts and the validity to combine them are presented in supplementary </w:t>
      </w:r>
      <w:r>
        <w:rPr>
          <w:rFonts w:cstheme="minorHAnsi"/>
          <w:sz w:val="22"/>
          <w:szCs w:val="22"/>
          <w:lang w:val="en-US"/>
        </w:rPr>
        <w:t>files (Supplementary Fig. S2, Supplementary Table S1)</w:t>
      </w:r>
      <w:r w:rsidRPr="00AD4CDD">
        <w:rPr>
          <w:rFonts w:cstheme="minorHAnsi"/>
          <w:sz w:val="22"/>
          <w:szCs w:val="22"/>
          <w:lang w:val="en-US"/>
        </w:rPr>
        <w:t>.</w:t>
      </w:r>
    </w:p>
    <w:p w14:paraId="5B2E78A3" w14:textId="77777777" w:rsidR="00A820FE" w:rsidRDefault="00A820FE" w:rsidP="00A820FE">
      <w:pPr>
        <w:spacing w:line="360" w:lineRule="auto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For</w:t>
      </w:r>
      <w:r w:rsidRPr="52C17893">
        <w:rPr>
          <w:rFonts w:eastAsiaTheme="minorEastAsia"/>
          <w:sz w:val="22"/>
          <w:szCs w:val="22"/>
          <w:lang w:val="en-US"/>
        </w:rPr>
        <w:t xml:space="preserve"> the survival analysis, </w:t>
      </w:r>
      <w:r>
        <w:rPr>
          <w:rFonts w:eastAsiaTheme="minorEastAsia"/>
          <w:sz w:val="22"/>
          <w:szCs w:val="22"/>
          <w:lang w:val="en-US"/>
        </w:rPr>
        <w:t xml:space="preserve">the </w:t>
      </w:r>
      <w:r w:rsidRPr="52C17893">
        <w:rPr>
          <w:rFonts w:eastAsiaTheme="minorEastAsia"/>
          <w:sz w:val="22"/>
          <w:szCs w:val="22"/>
          <w:lang w:val="en-US"/>
        </w:rPr>
        <w:t xml:space="preserve">ISUP score assigned in the clinical pathology report was used, while individual </w:t>
      </w:r>
      <w:r>
        <w:rPr>
          <w:rFonts w:eastAsiaTheme="minorEastAsia"/>
          <w:sz w:val="22"/>
          <w:szCs w:val="22"/>
          <w:lang w:val="en-US"/>
        </w:rPr>
        <w:t xml:space="preserve">PSA, Ki67, and </w:t>
      </w:r>
      <w:r w:rsidRPr="52C17893">
        <w:rPr>
          <w:rFonts w:eastAsiaTheme="minorEastAsia"/>
          <w:sz w:val="22"/>
          <w:szCs w:val="22"/>
          <w:lang w:val="en-US"/>
        </w:rPr>
        <w:t xml:space="preserve">ISUP scores were used for correlation with gene expression data. </w:t>
      </w:r>
      <w:r>
        <w:rPr>
          <w:rFonts w:eastAsiaTheme="minorEastAsia"/>
          <w:sz w:val="22"/>
          <w:szCs w:val="22"/>
          <w:lang w:val="en-US"/>
        </w:rPr>
        <w:t>The</w:t>
      </w:r>
      <w:r w:rsidRPr="52C17893">
        <w:rPr>
          <w:rFonts w:eastAsiaTheme="minorEastAsia"/>
          <w:sz w:val="22"/>
          <w:szCs w:val="22"/>
          <w:lang w:val="en-US"/>
        </w:rPr>
        <w:t xml:space="preserve"> ratio of Ki67/PSA scores was used to construct four groups by the quartiles, used in the Kaplan-Meier survival analyses.  </w:t>
      </w:r>
    </w:p>
    <w:p w14:paraId="48FC7E65" w14:textId="77777777" w:rsidR="00AC5E34" w:rsidRPr="00A820FE" w:rsidRDefault="00AC5E34" w:rsidP="00A820FE">
      <w:pPr>
        <w:rPr>
          <w:lang w:val="en-US"/>
        </w:rPr>
      </w:pPr>
    </w:p>
    <w:sectPr w:rsidR="00AC5E34" w:rsidRPr="00A820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0DD"/>
    <w:rsid w:val="00042875"/>
    <w:rsid w:val="00111375"/>
    <w:rsid w:val="003A4E80"/>
    <w:rsid w:val="005C40DD"/>
    <w:rsid w:val="00A820FE"/>
    <w:rsid w:val="00AC5E34"/>
    <w:rsid w:val="00C0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D89ED"/>
  <w15:chartTrackingRefBased/>
  <w15:docId w15:val="{82CA132A-BE50-4949-AE59-2CB348430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0F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A820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20F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820F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Welen</dc:creator>
  <cp:keywords/>
  <dc:description/>
  <cp:lastModifiedBy>Jamuna Chandrashekar</cp:lastModifiedBy>
  <cp:revision>2</cp:revision>
  <dcterms:created xsi:type="dcterms:W3CDTF">2023-09-11T01:25:00Z</dcterms:created>
  <dcterms:modified xsi:type="dcterms:W3CDTF">2023-09-11T01:25:00Z</dcterms:modified>
</cp:coreProperties>
</file>