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20" w:rsidRDefault="002C4120" w:rsidP="002C4120">
      <w:pPr>
        <w:tabs>
          <w:tab w:val="left" w:pos="913"/>
        </w:tabs>
      </w:pPr>
      <w:bookmarkStart w:id="0" w:name="_GoBack"/>
      <w:bookmarkEnd w:id="0"/>
      <w:r>
        <w:t xml:space="preserve">Supplementary table 1. </w:t>
      </w:r>
      <w:proofErr w:type="gramStart"/>
      <w:r>
        <w:t>p53/p16</w:t>
      </w:r>
      <w:proofErr w:type="gramEnd"/>
      <w:r>
        <w:t xml:space="preserve"> immunostaining and cancer phenotype</w:t>
      </w:r>
    </w:p>
    <w:p w:rsidR="00425404" w:rsidRPr="002C4120" w:rsidRDefault="002C4120" w:rsidP="002C4120">
      <w:pPr>
        <w:tabs>
          <w:tab w:val="left" w:pos="913"/>
        </w:tabs>
      </w:pPr>
      <w:r>
        <w:t>Supplementary figure 1. Neoadjuvant chemotherapy and p53 or p16 expression</w:t>
      </w:r>
    </w:p>
    <w:sectPr w:rsidR="00425404" w:rsidRPr="002C41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20"/>
    <w:rsid w:val="002C4120"/>
    <w:rsid w:val="0042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BC9BD3-6066-4A55-B5A2-DCF2D7B30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2023-11-07T02:50:00Z</dcterms:created>
  <dcterms:modified xsi:type="dcterms:W3CDTF">2023-11-07T02:50:00Z</dcterms:modified>
</cp:coreProperties>
</file>