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FE8" w:rsidRPr="00B21FDB" w:rsidRDefault="00B06FE8" w:rsidP="00B06FE8">
      <w:pPr>
        <w:pageBreakBefore/>
        <w:spacing w:line="480" w:lineRule="auto"/>
        <w:rPr>
          <w:b/>
          <w:bCs/>
          <w:color w:val="000000" w:themeColor="text1"/>
          <w:lang w:val="en-US"/>
        </w:rPr>
      </w:pPr>
      <w:r w:rsidRPr="00B21FDB">
        <w:rPr>
          <w:b/>
          <w:bCs/>
          <w:color w:val="000000" w:themeColor="text1"/>
          <w:lang w:val="en-US"/>
        </w:rPr>
        <w:t>Supplementary data</w:t>
      </w:r>
    </w:p>
    <w:p w:rsidR="00B06FE8" w:rsidRPr="00B21FDB" w:rsidRDefault="00B06FE8" w:rsidP="00B06FE8">
      <w:pPr>
        <w:spacing w:line="480" w:lineRule="auto"/>
        <w:rPr>
          <w:b/>
          <w:bCs/>
          <w:i/>
          <w:iCs/>
          <w:color w:val="000000" w:themeColor="text1"/>
          <w:lang w:val="en-US"/>
        </w:rPr>
      </w:pPr>
      <w:r w:rsidRPr="00B21FDB">
        <w:rPr>
          <w:b/>
          <w:bCs/>
          <w:i/>
          <w:iCs/>
          <w:color w:val="000000" w:themeColor="text1"/>
          <w:lang w:val="en-US"/>
        </w:rPr>
        <w:t>Data collection details</w:t>
      </w:r>
    </w:p>
    <w:p w:rsidR="00B06FE8" w:rsidRPr="007C2E82" w:rsidRDefault="00B06FE8" w:rsidP="00B06FE8">
      <w:pPr>
        <w:spacing w:line="480" w:lineRule="auto"/>
        <w:rPr>
          <w:color w:val="000000" w:themeColor="text1"/>
          <w:lang w:val="en-US"/>
        </w:rPr>
      </w:pPr>
      <w:r>
        <w:rPr>
          <w:color w:val="000000" w:themeColor="text1"/>
          <w:lang w:val="en-US"/>
        </w:rPr>
        <w:t xml:space="preserve">In this study, two patients had bilateral tumors. One patient had bilateral tumors of different approximate subtypes, and these were included in the study as if belonging to two different patients, as described in the method. However, the second patient with bilateral tumors was included only once. Unfortunately, it was impossible to distinguish the second patient’s tumors’ subtypes based on the reported tumor characteristics. Both tumors are described as ER positive and HER2-positive, but the tumor grade and Ki67 expression is reported only once and not attributed specifically to either one of the tumors. Therefore, we chose to include only the largest one of the bilateral tumors and attributed the reported characteristics to this tumor. </w:t>
      </w:r>
    </w:p>
    <w:p w:rsidR="00B06FE8" w:rsidRPr="008A3DE3" w:rsidRDefault="00B06FE8" w:rsidP="00B06FE8">
      <w:pPr>
        <w:spacing w:line="480" w:lineRule="auto"/>
        <w:ind w:firstLine="1304"/>
        <w:rPr>
          <w:color w:val="000000" w:themeColor="text1"/>
          <w:lang w:val="en-US"/>
        </w:rPr>
      </w:pPr>
      <w:r w:rsidRPr="7174F026">
        <w:rPr>
          <w:color w:val="000000" w:themeColor="text1"/>
          <w:lang w:val="en-US"/>
        </w:rPr>
        <w:t xml:space="preserve">The report on tumor size was based on measurements from mammographic images or ultrasounds. In four cases the tumor size was retrospectively estimated by an </w:t>
      </w:r>
      <w:r w:rsidRPr="008A3DE3">
        <w:rPr>
          <w:color w:val="000000" w:themeColor="text1"/>
          <w:lang w:val="en-US"/>
        </w:rPr>
        <w:t xml:space="preserve">experienced radiologist (EM). </w:t>
      </w:r>
    </w:p>
    <w:p w:rsidR="00B06FE8" w:rsidRPr="00F109A0" w:rsidRDefault="00B06FE8" w:rsidP="00B06FE8">
      <w:pPr>
        <w:spacing w:line="480" w:lineRule="auto"/>
        <w:ind w:firstLine="1304"/>
        <w:rPr>
          <w:color w:val="000000" w:themeColor="text1"/>
          <w:lang w:val="en-US"/>
        </w:rPr>
      </w:pPr>
      <w:r w:rsidRPr="008A3DE3">
        <w:rPr>
          <w:color w:val="000000" w:themeColor="text1"/>
          <w:lang w:val="en-US"/>
        </w:rPr>
        <w:t>Cancer stage was reported according to the Tumor, Node, Metastasis (TNM) classification system, as described in the 7</w:t>
      </w:r>
      <w:r w:rsidRPr="008A3DE3">
        <w:rPr>
          <w:color w:val="000000" w:themeColor="text1"/>
          <w:vertAlign w:val="superscript"/>
          <w:lang w:val="en-US"/>
        </w:rPr>
        <w:t>th</w:t>
      </w:r>
      <w:r w:rsidRPr="008A3DE3">
        <w:rPr>
          <w:color w:val="000000" w:themeColor="text1"/>
          <w:lang w:val="en-US"/>
        </w:rPr>
        <w:t xml:space="preserve"> and 8</w:t>
      </w:r>
      <w:r w:rsidRPr="008A3DE3">
        <w:rPr>
          <w:color w:val="000000" w:themeColor="text1"/>
          <w:vertAlign w:val="superscript"/>
          <w:lang w:val="en-US"/>
        </w:rPr>
        <w:t>th</w:t>
      </w:r>
      <w:r w:rsidRPr="008A3DE3">
        <w:rPr>
          <w:color w:val="000000" w:themeColor="text1"/>
          <w:lang w:val="en-US"/>
        </w:rPr>
        <w:t xml:space="preserve"> edition of the AJCC cancer staging </w:t>
      </w:r>
      <w:r w:rsidRPr="00F109A0">
        <w:rPr>
          <w:color w:val="000000" w:themeColor="text1"/>
          <w:lang w:val="en-US"/>
        </w:rPr>
        <w:t xml:space="preserve">manual </w:t>
      </w:r>
      <w:r w:rsidRPr="00F109A0">
        <w:rPr>
          <w:color w:val="000000" w:themeColor="text1"/>
          <w:lang w:val="en-US"/>
        </w:rPr>
        <w:fldChar w:fldCharType="begin"/>
      </w:r>
      <w:r>
        <w:rPr>
          <w:color w:val="000000" w:themeColor="text1"/>
          <w:lang w:val="en-US"/>
        </w:rPr>
        <w:instrText xml:space="preserve"> ADDIN EN.CITE &lt;EndNote&gt;&lt;Cite&gt;&lt;Author&gt;Edge&lt;/Author&gt;&lt;Year&gt;2010&lt;/Year&gt;&lt;RecNum&gt;143&lt;/RecNum&gt;&lt;DisplayText&gt;[54,55]&lt;/DisplayText&gt;&lt;record&gt;&lt;rec-number&gt;143&lt;/rec-number&gt;&lt;foreign-keys&gt;&lt;key app="EN" db-id="pp9xzrtd0v9xs2ee9ad5w0xu9aesdavxprsz" timestamp="1684830164"&gt;143&lt;/key&gt;&lt;/foreign-keys&gt;&lt;ref-type name="Book"&gt;6&lt;/ref-type&gt;&lt;contributors&gt;&lt;authors&gt;&lt;author&gt;Edge, Stephen B&lt;/author&gt;&lt;author&gt;Byrd, David R&lt;/author&gt;&lt;author&gt;Carducci, Michael A&lt;/author&gt;&lt;author&gt;Compton, Carolyn C&lt;/author&gt;&lt;author&gt;Fritz, A&lt;/author&gt;&lt;author&gt;Greene, F&lt;/author&gt;&lt;/authors&gt;&lt;/contributors&gt;&lt;titles&gt;&lt;title&gt;AJCC cancer staging manual&lt;/title&gt;&lt;/titles&gt;&lt;volume&gt;7&lt;/volume&gt;&lt;dates&gt;&lt;year&gt;2010&lt;/year&gt;&lt;/dates&gt;&lt;publisher&gt;Springer&lt;/publisher&gt;&lt;urls&gt;&lt;/urls&gt;&lt;/record&gt;&lt;/Cite&gt;&lt;Cite&gt;&lt;Author&gt;Amin&lt;/Author&gt;&lt;Year&gt;2017&lt;/Year&gt;&lt;RecNum&gt;144&lt;/RecNum&gt;&lt;record&gt;&lt;rec-number&gt;144&lt;/rec-number&gt;&lt;foreign-keys&gt;&lt;key app="EN" db-id="pp9xzrtd0v9xs2ee9ad5w0xu9aesdavxprsz" timestamp="1684830179"&gt;144&lt;/key&gt;&lt;/foreign-keys&gt;&lt;ref-type name="Book"&gt;6&lt;/ref-type&gt;&lt;contributors&gt;&lt;authors&gt;&lt;author&gt;Amin, Mahul B&lt;/author&gt;&lt;author&gt;Edge, Stephen B&lt;/author&gt;&lt;author&gt;Greene, Frederick L&lt;/author&gt;&lt;author&gt;Byrd, David R&lt;/author&gt;&lt;author&gt;Brookland, Robert K&lt;/author&gt;&lt;author&gt;Washington, Mary Kay&lt;/author&gt;&lt;author&gt;Gershenwald, Jeffrey E&lt;/author&gt;&lt;author&gt;Compton, Carolyn C&lt;/author&gt;&lt;author&gt;Hess, Kenneth R&lt;/author&gt;&lt;author&gt;Sullivan, Daniel C&lt;/author&gt;&lt;/authors&gt;&lt;/contributors&gt;&lt;titles&gt;&lt;title&gt;AJCC cancer staging manual&lt;/title&gt;&lt;/titles&gt;&lt;volume&gt;1024&lt;/volume&gt;&lt;dates&gt;&lt;year&gt;2017&lt;/year&gt;&lt;/dates&gt;&lt;publisher&gt;Springer&lt;/publisher&gt;&lt;urls&gt;&lt;/urls&gt;&lt;/record&gt;&lt;/Cite&gt;&lt;/EndNote&gt;</w:instrText>
      </w:r>
      <w:r w:rsidRPr="00F109A0">
        <w:rPr>
          <w:color w:val="000000" w:themeColor="text1"/>
          <w:lang w:val="en-US"/>
        </w:rPr>
        <w:fldChar w:fldCharType="separate"/>
      </w:r>
      <w:r>
        <w:rPr>
          <w:noProof/>
          <w:color w:val="000000" w:themeColor="text1"/>
          <w:lang w:val="en-US"/>
        </w:rPr>
        <w:t>[54,55]</w:t>
      </w:r>
      <w:r w:rsidRPr="00F109A0">
        <w:rPr>
          <w:color w:val="000000" w:themeColor="text1"/>
          <w:lang w:val="en-US"/>
        </w:rPr>
        <w:fldChar w:fldCharType="end"/>
      </w:r>
      <w:r w:rsidRPr="00F109A0">
        <w:rPr>
          <w:color w:val="000000" w:themeColor="text1"/>
          <w:lang w:val="en-US"/>
        </w:rPr>
        <w:t>. The 8</w:t>
      </w:r>
      <w:r w:rsidRPr="00F109A0">
        <w:rPr>
          <w:color w:val="000000" w:themeColor="text1"/>
          <w:vertAlign w:val="superscript"/>
          <w:lang w:val="en-US"/>
        </w:rPr>
        <w:t>th</w:t>
      </w:r>
      <w:r w:rsidRPr="00F109A0">
        <w:rPr>
          <w:color w:val="000000" w:themeColor="text1"/>
          <w:lang w:val="en-US"/>
        </w:rPr>
        <w:t xml:space="preserve"> edition was implemented in 2017. </w:t>
      </w:r>
    </w:p>
    <w:p w:rsidR="00B06FE8" w:rsidRPr="00F109A0" w:rsidRDefault="00B06FE8" w:rsidP="00B06FE8">
      <w:pPr>
        <w:spacing w:line="480" w:lineRule="auto"/>
        <w:ind w:firstLine="1304"/>
        <w:rPr>
          <w:color w:val="000000" w:themeColor="text1"/>
          <w:lang w:val="en-US"/>
        </w:rPr>
      </w:pPr>
      <w:r w:rsidRPr="008B2EFF">
        <w:rPr>
          <w:color w:val="000000"/>
          <w:lang w:val="en-US"/>
        </w:rPr>
        <w:t xml:space="preserve">The core needle biopsies in this study were predominantly performed at the </w:t>
      </w:r>
      <w:proofErr w:type="spellStart"/>
      <w:r w:rsidRPr="008B2EFF">
        <w:rPr>
          <w:color w:val="000000"/>
          <w:lang w:val="en-US"/>
        </w:rPr>
        <w:t>Sahlgrenska</w:t>
      </w:r>
      <w:proofErr w:type="spellEnd"/>
      <w:r w:rsidRPr="008B2EFF">
        <w:rPr>
          <w:color w:val="000000"/>
          <w:lang w:val="en-US"/>
        </w:rPr>
        <w:t xml:space="preserve"> University Hospital, although in the later stages of the study, </w:t>
      </w:r>
      <w:proofErr w:type="spellStart"/>
      <w:r w:rsidRPr="008B2EFF">
        <w:rPr>
          <w:color w:val="000000"/>
          <w:lang w:val="en-US"/>
        </w:rPr>
        <w:t>mammographers</w:t>
      </w:r>
      <w:proofErr w:type="spellEnd"/>
      <w:r w:rsidRPr="008B2EFF">
        <w:rPr>
          <w:color w:val="000000"/>
          <w:lang w:val="en-US"/>
        </w:rPr>
        <w:t xml:space="preserve"> at </w:t>
      </w:r>
      <w:proofErr w:type="spellStart"/>
      <w:r w:rsidRPr="008B2EFF">
        <w:rPr>
          <w:color w:val="000000" w:themeColor="text1"/>
          <w:lang w:val="en-US"/>
        </w:rPr>
        <w:t>Unilabs</w:t>
      </w:r>
      <w:proofErr w:type="spellEnd"/>
      <w:r w:rsidRPr="008B2EFF">
        <w:rPr>
          <w:color w:val="000000" w:themeColor="text1"/>
          <w:lang w:val="en-US"/>
        </w:rPr>
        <w:t xml:space="preserve"> </w:t>
      </w:r>
      <w:r w:rsidRPr="008B2EFF">
        <w:rPr>
          <w:color w:val="000000"/>
          <w:lang w:val="en-US"/>
        </w:rPr>
        <w:t xml:space="preserve">also offered this service. Typically, a target lesion is sampled with 2-6 needle biopsy extractions. Among these, three samples are usually obtained with ultrasound guidance using a 14G or 16G needle, or a 10G needle with vacuum-assistance in selected cases. Ordinarily, additional biopsies are performed using stereotactic guidance. The tissue cylinders range from 2 to 35 millimeters in </w:t>
      </w:r>
      <w:r w:rsidRPr="008B2EFF">
        <w:rPr>
          <w:color w:val="000000"/>
          <w:lang w:val="en-US"/>
        </w:rPr>
        <w:lastRenderedPageBreak/>
        <w:t xml:space="preserve">length and 1 to 2 millimeters in width. All collected samples in this study underwent formalin fixation, paraffin embedding and were stained with hematoxylin and eosin. </w:t>
      </w:r>
    </w:p>
    <w:p w:rsidR="00B06FE8" w:rsidRPr="00BB0121" w:rsidRDefault="00B06FE8" w:rsidP="00B06FE8">
      <w:pPr>
        <w:spacing w:line="480" w:lineRule="auto"/>
        <w:ind w:firstLine="1304"/>
        <w:rPr>
          <w:b/>
          <w:bCs/>
          <w:i/>
          <w:iCs/>
          <w:color w:val="000000" w:themeColor="text1"/>
          <w:lang w:val="en-US"/>
        </w:rPr>
      </w:pPr>
      <w:r w:rsidRPr="00F109A0">
        <w:rPr>
          <w:color w:val="000000" w:themeColor="text1"/>
          <w:lang w:val="en-US"/>
        </w:rPr>
        <w:t>The mammography</w:t>
      </w:r>
      <w:r w:rsidRPr="008A3DE3">
        <w:rPr>
          <w:color w:val="000000" w:themeColor="text1"/>
          <w:lang w:val="en-US"/>
        </w:rPr>
        <w:t xml:space="preserve"> department </w:t>
      </w:r>
      <w:r w:rsidRPr="00B40AD2">
        <w:rPr>
          <w:color w:val="000000" w:themeColor="text1"/>
          <w:lang w:val="en-US"/>
        </w:rPr>
        <w:t xml:space="preserve">at our institution </w:t>
      </w:r>
      <w:r w:rsidRPr="00690529">
        <w:rPr>
          <w:color w:val="000000" w:themeColor="text1"/>
          <w:lang w:val="en-US"/>
        </w:rPr>
        <w:t xml:space="preserve">provided baseline mammographic images of the participants, the majority of which were performed within 35 days of diagnosis. For some patients the acquired mammograms exceeded this time frame (N=21; time rage for outliers: 37-171 days). The </w:t>
      </w:r>
      <w:r w:rsidRPr="2B0C79AE">
        <w:rPr>
          <w:color w:val="000000" w:themeColor="text1"/>
          <w:lang w:val="en-US"/>
        </w:rPr>
        <w:t>breast density was estimated from mammographic images of both breasts. If the density differed between the two breasts, the denser one was used for evaluation, as recommended by the American College of Radiology</w:t>
      </w:r>
      <w:r>
        <w:rPr>
          <w:color w:val="000000" w:themeColor="text1"/>
          <w:lang w:val="en-US"/>
        </w:rPr>
        <w:t xml:space="preserve"> </w:t>
      </w:r>
      <w:r>
        <w:rPr>
          <w:color w:val="000000" w:themeColor="text1"/>
          <w:lang w:val="en-US"/>
        </w:rPr>
        <w:fldChar w:fldCharType="begin">
          <w:fldData xml:space="preserve">PEVuZE5vdGU+PENpdGU+PEF1dGhvcj5TcGFrPC9BdXRob3I+PFllYXI+MjAxNzwvWWVhcj48UmVj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</w:fldData>
        </w:fldChar>
      </w:r>
      <w:r>
        <w:rPr>
          <w:color w:val="000000" w:themeColor="text1"/>
          <w:lang w:val="en-US"/>
        </w:rPr>
        <w:instrText xml:space="preserve"> ADDIN EN.CITE </w:instrText>
      </w:r>
      <w:r>
        <w:rPr>
          <w:color w:val="000000" w:themeColor="text1"/>
          <w:lang w:val="en-US"/>
        </w:rPr>
        <w:fldChar w:fldCharType="begin">
          <w:fldData xml:space="preserve">PEVuZE5vdGU+PENpdGU+PEF1dGhvcj5TcGFrPC9BdXRob3I+PFllYXI+MjAxNzwvWWVhcj48UmVj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</w:fldData>
        </w:fldChar>
      </w:r>
      <w:r>
        <w:rPr>
          <w:color w:val="000000" w:themeColor="text1"/>
          <w:lang w:val="en-US"/>
        </w:rPr>
        <w:instrText xml:space="preserve"> ADDIN EN.CITE.DATA </w:instrText>
      </w:r>
      <w:r>
        <w:rPr>
          <w:color w:val="000000" w:themeColor="text1"/>
          <w:lang w:val="en-US"/>
        </w:rPr>
      </w:r>
      <w:r>
        <w:rPr>
          <w:color w:val="000000" w:themeColor="text1"/>
          <w:lang w:val="en-US"/>
        </w:rPr>
        <w:fldChar w:fldCharType="end"/>
      </w:r>
      <w:r>
        <w:rPr>
          <w:color w:val="000000" w:themeColor="text1"/>
          <w:lang w:val="en-US"/>
        </w:rPr>
      </w:r>
      <w:r>
        <w:rPr>
          <w:color w:val="000000" w:themeColor="text1"/>
          <w:lang w:val="en-US"/>
        </w:rPr>
        <w:fldChar w:fldCharType="separate"/>
      </w:r>
      <w:r>
        <w:rPr>
          <w:noProof/>
          <w:color w:val="000000" w:themeColor="text1"/>
          <w:lang w:val="en-US"/>
        </w:rPr>
        <w:t>[36]</w:t>
      </w:r>
      <w:r>
        <w:rPr>
          <w:color w:val="000000" w:themeColor="text1"/>
          <w:lang w:val="en-US"/>
        </w:rPr>
        <w:fldChar w:fldCharType="end"/>
      </w:r>
      <w:r w:rsidRPr="2B0C79AE">
        <w:rPr>
          <w:color w:val="000000" w:themeColor="text1"/>
          <w:lang w:val="en-US"/>
        </w:rPr>
        <w:t xml:space="preserve">. However, if the patient had previously undergone unilateral mastectomy, mammographic images of only one breast were used for MD evaluation (N=2). Breasts containing implants were scored based on the tissue surrounding the breast implant (N=5). One patient had no available mammographic images. Instead, unilateral control images following pre-NAST clips insertion in the tumor-containing breast were used for density evaluation (N=1). </w:t>
      </w:r>
    </w:p>
    <w:p w:rsidR="00B06FE8" w:rsidRDefault="00B06FE8" w:rsidP="00B06FE8">
      <w:pPr>
        <w:rPr>
          <w:color w:val="000000" w:themeColor="text1"/>
          <w:lang w:val="en-US"/>
        </w:rPr>
      </w:pPr>
    </w:p>
    <w:p w:rsidR="00B06FE8" w:rsidRDefault="00B06FE8" w:rsidP="00B06FE8">
      <w:pPr>
        <w:pageBreakBefore/>
        <w:rPr>
          <w:color w:val="000000" w:themeColor="text1"/>
          <w:lang w:val="en-US"/>
        </w:rPr>
      </w:pPr>
      <w:r>
        <w:rPr>
          <w:color w:val="000000" w:themeColor="text1"/>
          <w:lang w:val="en-US"/>
        </w:rPr>
        <w:lastRenderedPageBreak/>
        <w:t xml:space="preserve">Supplementary table 1. </w:t>
      </w:r>
      <w:proofErr w:type="spellStart"/>
      <w:r w:rsidRPr="002374C4">
        <w:rPr>
          <w:color w:val="000000" w:themeColor="text1"/>
          <w:lang w:val="en-US"/>
        </w:rPr>
        <w:t>Univariable</w:t>
      </w:r>
      <w:proofErr w:type="spellEnd"/>
      <w:r>
        <w:rPr>
          <w:color w:val="000000" w:themeColor="text1"/>
          <w:lang w:val="en-US"/>
        </w:rPr>
        <w:t xml:space="preserve"> binary logistic regression analysis of remaining </w:t>
      </w:r>
      <w:proofErr w:type="spellStart"/>
      <w:r>
        <w:rPr>
          <w:color w:val="000000" w:themeColor="text1"/>
          <w:lang w:val="en-US"/>
        </w:rPr>
        <w:t>clinicopathological</w:t>
      </w:r>
      <w:proofErr w:type="spellEnd"/>
      <w:r>
        <w:rPr>
          <w:color w:val="000000" w:themeColor="text1"/>
          <w:lang w:val="en-US"/>
        </w:rPr>
        <w:t xml:space="preserve"> variables with pathological complete response set as the dependent variable.</w:t>
      </w:r>
    </w:p>
    <w:p w:rsidR="00B06FE8" w:rsidRDefault="00B06FE8" w:rsidP="00B06FE8">
      <w:pPr>
        <w:rPr>
          <w:color w:val="000000" w:themeColor="text1"/>
          <w:lang w:val="en-US"/>
        </w:rPr>
      </w:pP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268"/>
        <w:gridCol w:w="1276"/>
        <w:gridCol w:w="1418"/>
        <w:gridCol w:w="992"/>
      </w:tblGrid>
      <w:tr w:rsidR="00B06FE8" w:rsidRPr="00F93648" w:rsidTr="008837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vAlign w:val="center"/>
          </w:tcPr>
          <w:p w:rsidR="00B06FE8" w:rsidRPr="00F93648" w:rsidRDefault="00B06FE8" w:rsidP="0088378A">
            <w:pPr>
              <w:spacing w:line="480" w:lineRule="auto"/>
              <w:rPr>
                <w:sz w:val="16"/>
                <w:szCs w:val="16"/>
                <w:lang w:val="en-US"/>
              </w:rPr>
            </w:pPr>
          </w:p>
        </w:tc>
        <w:tc>
          <w:tcPr>
            <w:tcW w:w="1276" w:type="dxa"/>
            <w:tcBorders>
              <w:bottom w:val="single" w:sz="4" w:space="0" w:color="auto"/>
            </w:tcBorders>
            <w:vAlign w:val="center"/>
          </w:tcPr>
          <w:p w:rsidR="00B06FE8" w:rsidRPr="00F93648" w:rsidRDefault="00B06FE8" w:rsidP="0088378A">
            <w:pPr>
              <w:spacing w:line="480" w:lineRule="auto"/>
              <w:cnfStyle w:val="100000000000" w:firstRow="1" w:lastRow="0" w:firstColumn="0" w:lastColumn="0" w:oddVBand="0" w:evenVBand="0" w:oddHBand="0" w:evenHBand="0" w:firstRowFirstColumn="0" w:firstRowLastColumn="0" w:lastRowFirstColumn="0" w:lastRowLastColumn="0"/>
              <w:rPr>
                <w:sz w:val="16"/>
                <w:szCs w:val="16"/>
                <w:lang w:val="en-US"/>
              </w:rPr>
            </w:pPr>
            <w:r w:rsidRPr="00F93648">
              <w:rPr>
                <w:sz w:val="16"/>
                <w:szCs w:val="16"/>
              </w:rPr>
              <w:t>Total cohort</w:t>
            </w:r>
          </w:p>
        </w:tc>
        <w:tc>
          <w:tcPr>
            <w:tcW w:w="2410" w:type="dxa"/>
            <w:gridSpan w:val="2"/>
            <w:tcBorders>
              <w:bottom w:val="single" w:sz="4" w:space="0" w:color="auto"/>
            </w:tcBorders>
            <w:vAlign w:val="center"/>
          </w:tcPr>
          <w:p w:rsidR="00B06FE8" w:rsidRPr="00F93648" w:rsidRDefault="00B06FE8" w:rsidP="0088378A">
            <w:pPr>
              <w:spacing w:line="480" w:lineRule="auto"/>
              <w:cnfStyle w:val="100000000000" w:firstRow="1" w:lastRow="0" w:firstColumn="0" w:lastColumn="0" w:oddVBand="0" w:evenVBand="0" w:oddHBand="0" w:evenHBand="0" w:firstRowFirstColumn="0" w:firstRowLastColumn="0" w:lastRowFirstColumn="0" w:lastRowLastColumn="0"/>
              <w:rPr>
                <w:sz w:val="16"/>
                <w:szCs w:val="16"/>
                <w:lang w:val="en-US"/>
              </w:rPr>
            </w:pPr>
            <w:r w:rsidRPr="00F93648">
              <w:rPr>
                <w:sz w:val="16"/>
                <w:szCs w:val="16"/>
              </w:rPr>
              <w:t>Univariable analysis</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vAlign w:val="center"/>
          </w:tcPr>
          <w:p w:rsidR="00B06FE8" w:rsidRPr="00F93648" w:rsidRDefault="00B06FE8" w:rsidP="0088378A">
            <w:pPr>
              <w:spacing w:line="480" w:lineRule="auto"/>
              <w:rPr>
                <w:sz w:val="16"/>
                <w:szCs w:val="16"/>
                <w:lang w:val="en-US"/>
              </w:rPr>
            </w:pPr>
          </w:p>
        </w:tc>
        <w:tc>
          <w:tcPr>
            <w:tcW w:w="1276" w:type="dxa"/>
            <w:tcBorders>
              <w:bottom w:val="single" w:sz="4" w:space="0" w:color="auto"/>
            </w:tcBorders>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00F93648">
              <w:rPr>
                <w:sz w:val="16"/>
                <w:szCs w:val="16"/>
              </w:rPr>
              <w:t>N (N with pCR)</w:t>
            </w:r>
          </w:p>
        </w:tc>
        <w:tc>
          <w:tcPr>
            <w:tcW w:w="1418" w:type="dxa"/>
            <w:tcBorders>
              <w:bottom w:val="single" w:sz="4" w:space="0" w:color="auto"/>
            </w:tcBorders>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00F93648">
              <w:rPr>
                <w:sz w:val="16"/>
                <w:szCs w:val="16"/>
              </w:rPr>
              <w:t>OR (95% CI)</w:t>
            </w:r>
          </w:p>
        </w:tc>
        <w:tc>
          <w:tcPr>
            <w:tcW w:w="992" w:type="dxa"/>
            <w:tcBorders>
              <w:bottom w:val="single" w:sz="4" w:space="0" w:color="auto"/>
            </w:tcBorders>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lang w:val="en-US"/>
              </w:rPr>
            </w:pPr>
            <w:r w:rsidRPr="00F93648">
              <w:rPr>
                <w:i/>
                <w:iCs/>
                <w:sz w:val="16"/>
                <w:szCs w:val="16"/>
              </w:rPr>
              <w:t xml:space="preserve">p </w:t>
            </w:r>
            <w:r w:rsidRPr="00F93648">
              <w:rPr>
                <w:sz w:val="16"/>
                <w:szCs w:val="16"/>
              </w:rPr>
              <w:t>value</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sz w:val="16"/>
                <w:szCs w:val="16"/>
              </w:rPr>
              <w:t>BMI</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306 (130)</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0.97 (0.93–1.02)</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0.219</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sz w:val="16"/>
                <w:szCs w:val="16"/>
              </w:rPr>
              <w:t>Tumor size (mm)</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313 (135)</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0.99 (0.98–1.00)</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0.105</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sz w:val="16"/>
                <w:szCs w:val="16"/>
              </w:rPr>
              <w:t>Menopausal status</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b w:val="0"/>
                <w:bCs w:val="0"/>
                <w:sz w:val="16"/>
                <w:szCs w:val="16"/>
              </w:rPr>
              <w:t>Premenopausal</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187</w:t>
            </w:r>
            <w:r>
              <w:rPr>
                <w:sz w:val="16"/>
                <w:szCs w:val="16"/>
              </w:rPr>
              <w:t xml:space="preserve"> (88)</w:t>
            </w:r>
            <w:r w:rsidRPr="00F93648">
              <w:rPr>
                <w:sz w:val="16"/>
                <w:szCs w:val="16"/>
              </w:rPr>
              <w:t xml:space="preserve"> </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1.00 (reference)</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b w:val="0"/>
                <w:bCs w:val="0"/>
                <w:sz w:val="16"/>
                <w:szCs w:val="16"/>
              </w:rPr>
              <w:t>Postmenopausal</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128</w:t>
            </w:r>
            <w:r>
              <w:rPr>
                <w:sz w:val="16"/>
                <w:szCs w:val="16"/>
              </w:rPr>
              <w:t xml:space="preserve"> (48)</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0.68 (0.43–1.07)</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0.093</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sz w:val="16"/>
                <w:szCs w:val="16"/>
              </w:rPr>
              <w:t>Tumor grade</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b w:val="0"/>
                <w:bCs w:val="0"/>
                <w:sz w:val="16"/>
                <w:szCs w:val="16"/>
              </w:rPr>
              <w:t>1 and 2</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180</w:t>
            </w:r>
            <w:r>
              <w:rPr>
                <w:sz w:val="16"/>
                <w:szCs w:val="16"/>
              </w:rPr>
              <w:t xml:space="preserve"> (72)</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1.00 (reference)</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b w:val="0"/>
                <w:bCs w:val="0"/>
                <w:sz w:val="16"/>
                <w:szCs w:val="16"/>
              </w:rPr>
            </w:pPr>
            <w:r w:rsidRPr="00F93648">
              <w:rPr>
                <w:b w:val="0"/>
                <w:bCs w:val="0"/>
                <w:sz w:val="16"/>
                <w:szCs w:val="16"/>
              </w:rPr>
              <w:t>3</w:t>
            </w:r>
          </w:p>
        </w:tc>
        <w:tc>
          <w:tcPr>
            <w:tcW w:w="1276" w:type="dxa"/>
            <w:shd w:val="clear" w:color="auto" w:fill="auto"/>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133</w:t>
            </w:r>
            <w:r>
              <w:rPr>
                <w:sz w:val="16"/>
                <w:szCs w:val="16"/>
              </w:rPr>
              <w:t xml:space="preserve"> (63)</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1.3</w:t>
            </w:r>
            <w:r>
              <w:rPr>
                <w:sz w:val="16"/>
                <w:szCs w:val="16"/>
              </w:rPr>
              <w:t>8</w:t>
            </w:r>
            <w:r w:rsidRPr="00F93648">
              <w:rPr>
                <w:sz w:val="16"/>
                <w:szCs w:val="16"/>
              </w:rPr>
              <w:t xml:space="preserve"> (0.8</w:t>
            </w:r>
            <w:r>
              <w:rPr>
                <w:sz w:val="16"/>
                <w:szCs w:val="16"/>
              </w:rPr>
              <w:t>8</w:t>
            </w:r>
            <w:r w:rsidRPr="00F93648">
              <w:rPr>
                <w:sz w:val="16"/>
                <w:szCs w:val="16"/>
              </w:rPr>
              <w:t>–2.12)</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0.1</w:t>
            </w:r>
            <w:r>
              <w:rPr>
                <w:sz w:val="16"/>
                <w:szCs w:val="16"/>
              </w:rPr>
              <w:t>61</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sz w:val="16"/>
                <w:szCs w:val="16"/>
              </w:rPr>
            </w:pPr>
            <w:r w:rsidRPr="00F93648">
              <w:rPr>
                <w:sz w:val="16"/>
                <w:szCs w:val="16"/>
              </w:rPr>
              <w:t>TTM</w:t>
            </w:r>
          </w:p>
        </w:tc>
        <w:tc>
          <w:tcPr>
            <w:tcW w:w="1276" w:type="dxa"/>
            <w:shd w:val="clear" w:color="auto" w:fill="auto"/>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315 (136)</w:t>
            </w:r>
          </w:p>
        </w:tc>
        <w:tc>
          <w:tcPr>
            <w:tcW w:w="1418" w:type="dxa"/>
            <w:shd w:val="clear" w:color="auto" w:fill="E7E6E6" w:themeFill="background2"/>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1.00 (0.99–1.01)</w:t>
            </w:r>
          </w:p>
        </w:tc>
        <w:tc>
          <w:tcPr>
            <w:tcW w:w="992" w:type="dxa"/>
            <w:shd w:val="clear" w:color="auto" w:fill="E7E6E6" w:themeFill="background2"/>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0.545</w:t>
            </w:r>
          </w:p>
        </w:tc>
      </w:tr>
      <w:tr w:rsidR="00B06FE8" w:rsidRPr="00F93648" w:rsidTr="0088378A">
        <w:tc>
          <w:tcPr>
            <w:cnfStyle w:val="001000000000" w:firstRow="0" w:lastRow="0" w:firstColumn="1" w:lastColumn="0" w:oddVBand="0" w:evenVBand="0" w:oddHBand="0" w:evenHBand="0" w:firstRowFirstColumn="0" w:firstRowLastColumn="0" w:lastRowFirstColumn="0" w:lastRowLastColumn="0"/>
            <w:tcW w:w="2268" w:type="dxa"/>
            <w:shd w:val="clear" w:color="auto" w:fill="auto"/>
            <w:vAlign w:val="center"/>
          </w:tcPr>
          <w:p w:rsidR="00B06FE8" w:rsidRPr="00F93648" w:rsidRDefault="00B06FE8" w:rsidP="0088378A">
            <w:pPr>
              <w:spacing w:line="480" w:lineRule="auto"/>
              <w:rPr>
                <w:sz w:val="16"/>
                <w:szCs w:val="16"/>
              </w:rPr>
            </w:pPr>
            <w:r w:rsidRPr="00F93648">
              <w:rPr>
                <w:sz w:val="16"/>
                <w:szCs w:val="16"/>
              </w:rPr>
              <w:t>TTS</w:t>
            </w:r>
          </w:p>
        </w:tc>
        <w:tc>
          <w:tcPr>
            <w:tcW w:w="1276" w:type="dxa"/>
            <w:shd w:val="clear" w:color="auto" w:fill="auto"/>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315 (</w:t>
            </w:r>
            <w:r>
              <w:rPr>
                <w:sz w:val="16"/>
                <w:szCs w:val="16"/>
              </w:rPr>
              <w:t>136)</w:t>
            </w:r>
          </w:p>
        </w:tc>
        <w:tc>
          <w:tcPr>
            <w:tcW w:w="1418"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1.01 (1.00–1.01)</w:t>
            </w:r>
          </w:p>
        </w:tc>
        <w:tc>
          <w:tcPr>
            <w:tcW w:w="992" w:type="dxa"/>
            <w:shd w:val="clear" w:color="auto" w:fill="E7E6E6" w:themeFill="background2"/>
            <w:vAlign w:val="center"/>
          </w:tcPr>
          <w:p w:rsidR="00B06FE8" w:rsidRPr="00F93648" w:rsidRDefault="00B06FE8" w:rsidP="0088378A">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F93648">
              <w:rPr>
                <w:sz w:val="16"/>
                <w:szCs w:val="16"/>
              </w:rPr>
              <w:t>0.105</w:t>
            </w:r>
          </w:p>
        </w:tc>
      </w:tr>
    </w:tbl>
    <w:p w:rsidR="00B06FE8" w:rsidRDefault="00B06FE8" w:rsidP="00B06FE8">
      <w:pPr>
        <w:rPr>
          <w:color w:val="000000" w:themeColor="text1"/>
          <w:lang w:val="en-US"/>
        </w:rPr>
      </w:pPr>
    </w:p>
    <w:p w:rsidR="00B06FE8" w:rsidRDefault="00B06FE8" w:rsidP="00B06FE8">
      <w:pPr>
        <w:widowControl w:val="0"/>
        <w:rPr>
          <w:color w:val="000000" w:themeColor="text1"/>
          <w:lang w:val="en-US"/>
        </w:rPr>
      </w:pPr>
      <w:r w:rsidRPr="00C35F09">
        <w:rPr>
          <w:color w:val="000000" w:themeColor="text1"/>
          <w:lang w:val="en-US"/>
        </w:rPr>
        <w:t xml:space="preserve">Abbreviations: N=number of patients, </w:t>
      </w:r>
      <w:proofErr w:type="spellStart"/>
      <w:r w:rsidRPr="00C35F09">
        <w:rPr>
          <w:color w:val="000000" w:themeColor="text1"/>
          <w:lang w:val="en-US"/>
        </w:rPr>
        <w:t>pCR</w:t>
      </w:r>
      <w:proofErr w:type="spellEnd"/>
      <w:r w:rsidRPr="00C35F09">
        <w:rPr>
          <w:color w:val="000000" w:themeColor="text1"/>
          <w:lang w:val="en-US"/>
        </w:rPr>
        <w:t>=pathological complete response, OR=odds ratio, CI=confidence interval, BMI=body mass index, TTM=time to diagnosis from mammography, TTS=time to surgery from diagnosis.</w:t>
      </w:r>
    </w:p>
    <w:p w:rsidR="00B06FE8" w:rsidRDefault="00B06FE8" w:rsidP="00B06FE8">
      <w:pPr>
        <w:widowControl w:val="0"/>
        <w:rPr>
          <w:color w:val="000000" w:themeColor="text1"/>
          <w:lang w:val="en-US"/>
        </w:rPr>
      </w:pPr>
    </w:p>
    <w:p w:rsidR="00B06FE8" w:rsidRDefault="00B06FE8" w:rsidP="00B06FE8">
      <w:pPr>
        <w:widowControl w:val="0"/>
        <w:rPr>
          <w:color w:val="000000" w:themeColor="text1"/>
          <w:lang w:val="en-US"/>
        </w:rPr>
      </w:pPr>
    </w:p>
    <w:p w:rsidR="00B06FE8" w:rsidRPr="00F043BB" w:rsidRDefault="00B06FE8" w:rsidP="00B06FE8">
      <w:pPr>
        <w:widowControl w:val="0"/>
        <w:rPr>
          <w:color w:val="000000" w:themeColor="text1"/>
          <w:lang w:val="en-US"/>
        </w:rPr>
      </w:pPr>
    </w:p>
    <w:p w:rsidR="00B06FE8" w:rsidRPr="00F043BB" w:rsidRDefault="00B06FE8" w:rsidP="00B06FE8">
      <w:pPr>
        <w:widowControl w:val="0"/>
        <w:rPr>
          <w:color w:val="000000" w:themeColor="text1"/>
          <w:lang w:val="en-US"/>
        </w:rPr>
      </w:pPr>
    </w:p>
    <w:p w:rsidR="00B06FE8" w:rsidRDefault="00B06FE8" w:rsidP="00B06FE8">
      <w:r>
        <w:t xml:space="preserve">References </w:t>
      </w:r>
    </w:p>
    <w:p w:rsidR="00B06FE8" w:rsidRDefault="00B06FE8" w:rsidP="00B06FE8"/>
    <w:p w:rsidR="00B06FE8" w:rsidRDefault="00B06FE8" w:rsidP="00B06FE8">
      <w:r>
        <w:t>54 Edge SB, Byrd DR, Carducci MA, et al. AJCC cancer staging manual. Vol. 7. Springer; 2010.</w:t>
      </w:r>
    </w:p>
    <w:p w:rsidR="00B06FE8" w:rsidRDefault="00B06FE8" w:rsidP="00B06FE8"/>
    <w:p w:rsidR="00482AFC" w:rsidRDefault="00B06FE8" w:rsidP="00B06FE8">
      <w:r>
        <w:t>55 Amin MB, Edge SB, Greene FL, et al. AJCC cancer staging manual. Vol. 1024. Springer; 2017.</w:t>
      </w:r>
      <w:bookmarkStart w:id="0" w:name="_GoBack"/>
      <w:bookmarkEnd w:id="0"/>
    </w:p>
    <w:sectPr w:rsidR="00482AFC" w:rsidSect="004E0296">
      <w:headerReference w:type="default" r:id="rId4"/>
      <w:pgSz w:w="11900" w:h="16840"/>
      <w:pgMar w:top="2268" w:right="1418"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68751388" w:rsidRDefault="00B06FE8" w:rsidP="004E02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E8"/>
    <w:rsid w:val="00482AFC"/>
    <w:rsid w:val="00B06F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2C2F8-F34F-4EE0-892D-E2C80ED6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B06FE8"/>
    <w:pPr>
      <w:spacing w:after="0" w:line="240" w:lineRule="auto"/>
    </w:pPr>
    <w:rPr>
      <w:rFonts w:ascii="Times New Roman" w:eastAsia="Times New Roman" w:hAnsi="Times New Roman" w:cs="Times New Roman"/>
      <w:sz w:val="24"/>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B06FE8"/>
    <w:pPr>
      <w:spacing w:after="0" w:line="240" w:lineRule="auto"/>
    </w:pPr>
    <w:rPr>
      <w:sz w:val="24"/>
      <w:szCs w:val="24"/>
      <w:lang w:val="sv-S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Jamuna Chandrashekar</dc:creator>
  <cp:keywords/>
  <dc:description/>
  <cp:lastModifiedBy>Jamuna Chandrashekar</cp:lastModifiedBy>
  <cp:revision>1</cp:revision>
  <dcterms:created xsi:type="dcterms:W3CDTF">2023-10-31T03:51:00Z</dcterms:created>
  <dcterms:modified xsi:type="dcterms:W3CDTF">2023-10-31T03:54:00Z</dcterms:modified>
</cp:coreProperties>
</file>