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27" w:rsidRPr="00FD045F" w:rsidRDefault="005E3827" w:rsidP="005E3827">
      <w:pPr>
        <w:pStyle w:val="Figurecaption"/>
        <w:rPr>
          <w:b/>
          <w:bCs/>
          <w:color w:val="000000" w:themeColor="text1"/>
        </w:rPr>
      </w:pPr>
      <w:r w:rsidRPr="00FD045F">
        <w:rPr>
          <w:b/>
          <w:bCs/>
          <w:color w:val="000000" w:themeColor="text1"/>
        </w:rPr>
        <w:t xml:space="preserve">Table 1 supplemental: table representing the 64 hotspot mutations from the nine genes detectable by </w:t>
      </w:r>
      <w:proofErr w:type="spellStart"/>
      <w:r w:rsidRPr="00FD045F">
        <w:rPr>
          <w:b/>
          <w:bCs/>
          <w:color w:val="000000" w:themeColor="text1"/>
        </w:rPr>
        <w:t>OncoScan</w:t>
      </w:r>
      <w:proofErr w:type="spellEnd"/>
      <w:r w:rsidRPr="00FD045F">
        <w:rPr>
          <w:b/>
          <w:bCs/>
          <w:color w:val="000000" w:themeColor="text1"/>
        </w:rPr>
        <w:t xml:space="preserve">. </w:t>
      </w:r>
    </w:p>
    <w:p w:rsidR="005E3827" w:rsidRPr="00FD045F" w:rsidRDefault="005E3827" w:rsidP="005E3827">
      <w:pPr>
        <w:pStyle w:val="Figurecaption"/>
        <w:rPr>
          <w:b/>
          <w:bCs/>
          <w:color w:val="000000" w:themeColor="text1"/>
        </w:rPr>
      </w:pPr>
      <w:r w:rsidRPr="00FD045F">
        <w:rPr>
          <w:b/>
          <w:bCs/>
          <w:color w:val="000000" w:themeColor="text1"/>
        </w:rPr>
        <w:t>Table 2 supplemental: table representing the 45 genes included in the analysis.</w:t>
      </w:r>
    </w:p>
    <w:p w:rsidR="005E3827" w:rsidRPr="00FD045F" w:rsidRDefault="005E3827" w:rsidP="005E3827">
      <w:pPr>
        <w:pStyle w:val="Figurecaption"/>
        <w:rPr>
          <w:color w:val="000000" w:themeColor="text1"/>
        </w:rPr>
      </w:pPr>
      <w:r w:rsidRPr="00FD045F">
        <w:rPr>
          <w:b/>
          <w:bCs/>
          <w:color w:val="000000" w:themeColor="text1"/>
        </w:rPr>
        <w:t xml:space="preserve">Figure 1 supplemental: </w:t>
      </w:r>
      <w:bookmarkStart w:id="0" w:name="_Hlk137197572"/>
      <w:r w:rsidRPr="002D3900">
        <w:rPr>
          <w:b/>
          <w:bCs/>
          <w:color w:val="FF0000"/>
        </w:rPr>
        <w:t xml:space="preserve">Illustration representing SCNAs </w:t>
      </w:r>
      <w:r w:rsidRPr="00FD045F">
        <w:rPr>
          <w:b/>
          <w:bCs/>
          <w:color w:val="000000" w:themeColor="text1"/>
        </w:rPr>
        <w:t xml:space="preserve">detected in 45 preselected genes in biopsies from the 33 </w:t>
      </w:r>
      <w:proofErr w:type="spellStart"/>
      <w:r w:rsidRPr="00FD045F">
        <w:rPr>
          <w:b/>
          <w:bCs/>
          <w:color w:val="000000" w:themeColor="text1"/>
        </w:rPr>
        <w:t>tumors</w:t>
      </w:r>
      <w:proofErr w:type="spellEnd"/>
      <w:r w:rsidRPr="00FD045F">
        <w:rPr>
          <w:b/>
          <w:bCs/>
          <w:color w:val="000000" w:themeColor="text1"/>
        </w:rPr>
        <w:t>, grouped by biopsy location</w:t>
      </w:r>
      <w:r w:rsidRPr="00FD045F">
        <w:rPr>
          <w:color w:val="000000" w:themeColor="text1"/>
        </w:rPr>
        <w:t>. The Y-axis depicts the 45 preselected genes and the X-axis depicts the</w:t>
      </w:r>
      <w:r>
        <w:rPr>
          <w:color w:val="000000" w:themeColor="text1"/>
        </w:rPr>
        <w:t xml:space="preserve"> </w:t>
      </w:r>
      <w:r w:rsidRPr="00FD045F">
        <w:rPr>
          <w:color w:val="000000" w:themeColor="text1"/>
        </w:rPr>
        <w:t xml:space="preserve">biopsies grouped and ordered by biopsy location. 1: </w:t>
      </w:r>
      <w:r>
        <w:rPr>
          <w:color w:val="000000" w:themeColor="text1"/>
        </w:rPr>
        <w:t>c</w:t>
      </w:r>
      <w:r w:rsidRPr="00FD045F">
        <w:rPr>
          <w:color w:val="000000" w:themeColor="text1"/>
        </w:rPr>
        <w:t xml:space="preserve">entral, 2: semi-peripheral, 3: peripheral. </w:t>
      </w:r>
      <w:bookmarkStart w:id="1" w:name="_Hlk147247795"/>
      <w:bookmarkEnd w:id="0"/>
      <w:r w:rsidRPr="004F114E">
        <w:rPr>
          <w:color w:val="FF0000"/>
        </w:rPr>
        <w:t>At the bottom, sample numbers are visible</w:t>
      </w:r>
      <w:r>
        <w:rPr>
          <w:bCs/>
          <w:color w:val="FF0000"/>
          <w:lang w:val="en-US"/>
        </w:rPr>
        <w:t xml:space="preserve">. </w:t>
      </w:r>
      <w:r w:rsidRPr="00795D96">
        <w:rPr>
          <w:bCs/>
          <w:color w:val="FF0000"/>
          <w:lang w:val="en-US"/>
        </w:rPr>
        <w:t xml:space="preserve">The patient order </w:t>
      </w:r>
      <w:r>
        <w:rPr>
          <w:bCs/>
          <w:color w:val="FF0000"/>
          <w:lang w:val="en-US"/>
        </w:rPr>
        <w:t xml:space="preserve">at the X-axis </w:t>
      </w:r>
      <w:r w:rsidRPr="00795D96">
        <w:rPr>
          <w:bCs/>
          <w:color w:val="FF0000"/>
          <w:lang w:val="en-US"/>
        </w:rPr>
        <w:t>is chronological (except for the lymph nodes)</w:t>
      </w:r>
      <w:r>
        <w:rPr>
          <w:bCs/>
          <w:lang w:val="en-US"/>
        </w:rPr>
        <w:t>.</w:t>
      </w:r>
      <w:bookmarkEnd w:id="1"/>
      <w:r>
        <w:rPr>
          <w:bCs/>
          <w:lang w:val="en-US"/>
        </w:rPr>
        <w:t xml:space="preserve"> </w:t>
      </w:r>
      <w:r w:rsidRPr="00FD045F">
        <w:rPr>
          <w:color w:val="000000" w:themeColor="text1"/>
        </w:rPr>
        <w:t xml:space="preserve">The </w:t>
      </w:r>
      <w:proofErr w:type="spellStart"/>
      <w:r w:rsidRPr="00FD045F">
        <w:rPr>
          <w:color w:val="000000" w:themeColor="text1"/>
        </w:rPr>
        <w:t>color</w:t>
      </w:r>
      <w:proofErr w:type="spellEnd"/>
      <w:r w:rsidRPr="00FD045F">
        <w:rPr>
          <w:color w:val="000000" w:themeColor="text1"/>
        </w:rPr>
        <w:t xml:space="preserve"> bar to the right depicts the actual aberration in the specific gene. Abbreviations: A: amplification, D: deletion, LOH: loss of heterozygosity, NO: none observed</w:t>
      </w:r>
    </w:p>
    <w:p w:rsidR="005E3827" w:rsidRPr="00FD045F" w:rsidRDefault="005E3827" w:rsidP="005E3827">
      <w:pPr>
        <w:pStyle w:val="Figurecaption"/>
        <w:rPr>
          <w:color w:val="000000" w:themeColor="text1"/>
        </w:rPr>
      </w:pPr>
      <w:r w:rsidRPr="00FD045F">
        <w:rPr>
          <w:b/>
          <w:bCs/>
          <w:color w:val="000000" w:themeColor="text1"/>
        </w:rPr>
        <w:t xml:space="preserve">Figure 2 supplemental: </w:t>
      </w:r>
      <w:proofErr w:type="spellStart"/>
      <w:r w:rsidRPr="00FD045F">
        <w:rPr>
          <w:b/>
          <w:bCs/>
          <w:color w:val="000000" w:themeColor="text1"/>
        </w:rPr>
        <w:t>Dendrogram</w:t>
      </w:r>
      <w:proofErr w:type="spellEnd"/>
      <w:r w:rsidRPr="00FD045F">
        <w:rPr>
          <w:b/>
          <w:bCs/>
          <w:color w:val="000000" w:themeColor="text1"/>
        </w:rPr>
        <w:t xml:space="preserve"> from the five patients with both primary and lymph node metastasis visualizing genomic differences</w:t>
      </w:r>
      <w:r w:rsidRPr="00FD045F">
        <w:rPr>
          <w:color w:val="000000" w:themeColor="text1"/>
        </w:rPr>
        <w:t xml:space="preserve">. Samples were clustered by similar aberration profiles.  </w:t>
      </w:r>
    </w:p>
    <w:p w:rsidR="00D25027" w:rsidRDefault="00D25027">
      <w:bookmarkStart w:id="2" w:name="_GoBack"/>
      <w:bookmarkEnd w:id="2"/>
    </w:p>
    <w:sectPr w:rsidR="00D25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27"/>
    <w:rsid w:val="005E3827"/>
    <w:rsid w:val="00D2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5DA1E-A1DB-4681-95B7-328A8B57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5E3827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2023-10-19T03:15:00Z</dcterms:created>
  <dcterms:modified xsi:type="dcterms:W3CDTF">2023-10-19T03:16:00Z</dcterms:modified>
</cp:coreProperties>
</file>